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51231.htm"/>
      <w:bookmarkStart w:id="1" w:name="ksoesx20251231"/>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December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001-33887</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(920) 892-9340</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There were 4,052,863 shares of the Registrant’s common stock outstanding on February 4, 2026.</w:t>
      </w:r>
    </w:p>
    <w:p>
      <w:pPr>
        <w:pStyle w:val="TextBody"/>
        <w:pBdr>
          <w:bottom w:val="double" w:sz="4" w:space="3"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ORION ENERGY SYSTEMS,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 ENDED DECEMBER 31, 2025</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5"/>
        <w:gridCol w:w="8713"/>
        <w:gridCol w:w="657"/>
      </w:tblGrid>
      <w:tr>
        <w:trPr/>
        <w:tc>
          <w:tcPr>
            <w:tcW w:w="835" w:type="dxa"/>
            <w:tcBorders/>
            <w:vAlign w:val="center"/>
          </w:tcPr>
          <w:p>
            <w:pPr>
              <w:pStyle w:val="TableContents"/>
              <w:bidi w:val="0"/>
              <w:spacing w:before="0" w:after="283"/>
              <w:jc w:val="left"/>
              <w:rPr>
                <w:sz w:val="4"/>
                <w:szCs w:val="4"/>
              </w:rPr>
            </w:pPr>
            <w:r>
              <w:rPr>
                <w:sz w:val="4"/>
                <w:szCs w:val="4"/>
              </w:rPr>
            </w:r>
          </w:p>
        </w:tc>
        <w:tc>
          <w:tcPr>
            <w:tcW w:w="871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3" w:type="dxa"/>
            <w:tcBorders/>
            <w:tcMar>
              <w:top w:w="0" w:type="dxa"/>
              <w:left w:w="0" w:type="dxa"/>
              <w:bottom w:w="0" w:type="dxa"/>
              <w:right w:w="0" w:type="dxa"/>
            </w:tcMar>
            <w:vAlign w:val="center"/>
          </w:tcPr>
          <w:p>
            <w:pPr>
              <w:pStyle w:val="TableContents"/>
              <w:bidi w:val="0"/>
              <w:spacing w:before="40" w:after="40"/>
              <w:jc w:val="left"/>
              <w:rPr/>
            </w:pPr>
            <w:r>
              <w:rPr/>
              <w:t> </w:t>
            </w:r>
          </w:p>
        </w:tc>
        <w:tc>
          <w:tcPr>
            <w:tcW w:w="657"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Page(s)</w:t>
            </w:r>
          </w:p>
        </w:tc>
      </w:tr>
      <w:tr>
        <w:trPr/>
        <w:tc>
          <w:tcPr>
            <w:tcW w:w="9548" w:type="dxa"/>
            <w:gridSpan w:val="2"/>
            <w:tcBorders/>
            <w:tcMar>
              <w:top w:w="0" w:type="dxa"/>
              <w:left w:w="0" w:type="dxa"/>
              <w:bottom w:w="0" w:type="dxa"/>
              <w:right w:w="0" w:type="dxa"/>
            </w:tcMar>
            <w:vAlign w:val="center"/>
          </w:tcPr>
          <w:p>
            <w:pPr>
              <w:pStyle w:val="TableContents"/>
              <w:bidi w:val="0"/>
              <w:spacing w:before="40" w:after="40"/>
              <w:jc w:val="left"/>
              <w:rPr/>
            </w:pPr>
            <w:hyperlink w:anchor="part_i_financial_information">
              <w:r>
                <w:rPr>
                  <w:rStyle w:val="InternetLink"/>
                  <w:rFonts w:ascii="Times New Roman" w:hAnsi="Times New Roman"/>
                  <w:color w:val="0000FF"/>
                  <w:sz w:val="20"/>
                  <w:u w:val="single"/>
                </w:rPr>
                <w:t>PART I FINANCIAL INFORMATION</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1__financial_statements">
              <w:r>
                <w:rPr>
                  <w:rStyle w:val="InternetLink"/>
                  <w:rFonts w:ascii="Times New Roman" w:hAnsi="Times New Roman"/>
                  <w:color w:val="0000FF"/>
                  <w:sz w:val="20"/>
                  <w:u w:val="single"/>
                </w:rPr>
                <w:t>Financial Statements (unaudited)</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condensed_consolidated_balance">
              <w:r>
                <w:rPr>
                  <w:rStyle w:val="InternetLink"/>
                  <w:rFonts w:ascii="Times New Roman" w:hAnsi="Times New Roman"/>
                  <w:color w:val="0000FF"/>
                  <w:sz w:val="20"/>
                  <w:u w:val="single"/>
                </w:rPr>
                <w:t>Condensed Consolidated Balance Sheets as of December 31, 2025 and March 31, 2025</w:t>
              </w:r>
            </w:hyperlink>
          </w:p>
        </w:tc>
        <w:tc>
          <w:tcPr>
            <w:tcW w:w="657"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20"/>
              </w:rPr>
            </w:pPr>
            <w:r>
              <w:rPr>
                <w:rFonts w:ascii="Times New Roman" w:hAnsi="Times New Roman"/>
                <w:color w:val="000000"/>
                <w:sz w:val="20"/>
              </w:rPr>
              <w:t>3</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unaudited_condensed_consolidated_stateme">
              <w:r>
                <w:rPr>
                  <w:rStyle w:val="InternetLink"/>
                  <w:rFonts w:ascii="Times New Roman" w:hAnsi="Times New Roman"/>
                  <w:color w:val="0000FF"/>
                  <w:sz w:val="20"/>
                  <w:u w:val="single"/>
                </w:rPr>
                <w:t>Condensed Consolidated Statements of Operations for the Three and Nine Months Ended December 31, 2025 and December 31, 2024</w:t>
              </w:r>
            </w:hyperlink>
          </w:p>
        </w:tc>
        <w:tc>
          <w:tcPr>
            <w:tcW w:w="657"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4</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statements_shareholders_equity">
              <w:r>
                <w:rPr>
                  <w:rStyle w:val="InternetLink"/>
                  <w:rFonts w:ascii="Times New Roman" w:hAnsi="Times New Roman"/>
                  <w:color w:val="0000FF"/>
                  <w:sz w:val="20"/>
                  <w:u w:val="single"/>
                </w:rPr>
                <w:t>Condensed Consolidated Statements of Shareholders’ Equity for the Three and Nine Months Ended December 31, 2025 and December 31, 2024</w:t>
              </w:r>
            </w:hyperlink>
          </w:p>
        </w:tc>
        <w:tc>
          <w:tcPr>
            <w:tcW w:w="657" w:type="dxa"/>
            <w:tcBorders/>
            <w:tcMar>
              <w:top w:w="0" w:type="dxa"/>
              <w:left w:w="0" w:type="dxa"/>
              <w:bottom w:w="0" w:type="dxa"/>
              <w:right w:w="0" w:type="dxa"/>
            </w:tcMar>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5</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consolidated_stateme_cash_flow">
              <w:r>
                <w:rPr>
                  <w:rStyle w:val="InternetLink"/>
                  <w:rFonts w:ascii="Times New Roman" w:hAnsi="Times New Roman"/>
                  <w:color w:val="0000FF"/>
                  <w:sz w:val="20"/>
                  <w:u w:val="single"/>
                </w:rPr>
                <w:t>Condensed Consolidated Statements of Cash Flows for the Nine Months Ended December 31, 2025 and December 31, 2024</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5" w:type="dxa"/>
            <w:tcBorders/>
            <w:tcMar>
              <w:top w:w="0" w:type="dxa"/>
              <w:left w:w="0" w:type="dxa"/>
              <w:bottom w:w="0" w:type="dxa"/>
              <w:right w:w="0" w:type="dxa"/>
            </w:tcMar>
            <w:vAlign w:val="center"/>
          </w:tcPr>
          <w:p>
            <w:pPr>
              <w:pStyle w:val="TableContents"/>
              <w:bidi w:val="0"/>
              <w:spacing w:before="40" w:after="40"/>
              <w:jc w:val="left"/>
              <w:rPr/>
            </w:pPr>
            <w:r>
              <w:rPr/>
              <w:t> </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notes_to_condensed_consolidate_financial">
              <w:r>
                <w:rPr>
                  <w:rStyle w:val="InternetLink"/>
                  <w:rFonts w:ascii="Times New Roman" w:hAnsi="Times New Roman"/>
                  <w:color w:val="0000FF"/>
                  <w:sz w:val="20"/>
                  <w:u w:val="single"/>
                </w:rPr>
                <w:t>Notes to the Condensed Consolidated Financial Statements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2__management_s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3.</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3__quantitative_and_qualitative_dis">
              <w:r>
                <w:rPr>
                  <w:rStyle w:val="InternetLink"/>
                  <w:rFonts w:ascii="Times New Roman" w:hAnsi="Times New Roman"/>
                  <w:color w:val="0000FF"/>
                  <w:sz w:val="20"/>
                  <w:u w:val="single"/>
                </w:rPr>
                <w:t>Quantitative and Qualitative Disclosures about Market Risk</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4.</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4__controls_and_procedures">
              <w:r>
                <w:rPr>
                  <w:rStyle w:val="InternetLink"/>
                  <w:rFonts w:ascii="Times New Roman" w:hAnsi="Times New Roman"/>
                  <w:color w:val="0000FF"/>
                  <w:sz w:val="20"/>
                  <w:u w:val="single"/>
                </w:rPr>
                <w:t>Controls and Procedures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548" w:type="dxa"/>
            <w:gridSpan w:val="2"/>
            <w:tcBorders/>
            <w:tcMar>
              <w:top w:w="0" w:type="dxa"/>
              <w:left w:w="0" w:type="dxa"/>
              <w:bottom w:w="0" w:type="dxa"/>
              <w:right w:w="0" w:type="dxa"/>
            </w:tcMar>
            <w:vAlign w:val="center"/>
          </w:tcPr>
          <w:p>
            <w:pPr>
              <w:pStyle w:val="TableContents"/>
              <w:bidi w:val="0"/>
              <w:spacing w:before="40" w:after="40"/>
              <w:jc w:val="left"/>
              <w:rPr/>
            </w:pPr>
            <w:hyperlink w:anchor="part_ii_other_information">
              <w:r>
                <w:rPr>
                  <w:rStyle w:val="InternetLink"/>
                  <w:rFonts w:ascii="Times New Roman" w:hAnsi="Times New Roman"/>
                  <w:color w:val="0000FF"/>
                  <w:sz w:val="20"/>
                  <w:u w:val="single"/>
                </w:rPr>
                <w:t>PART II OTHER INFORMATION</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1__legal_proceedings">
              <w:r>
                <w:rPr>
                  <w:rStyle w:val="InternetLink"/>
                  <w:rFonts w:ascii="Times New Roman" w:hAnsi="Times New Roman"/>
                  <w:color w:val="0000FF"/>
                  <w:sz w:val="20"/>
                  <w:u w:val="single"/>
                </w:rPr>
                <w:t>Legal Proceedings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1A.</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1a__risk_factors">
              <w:r>
                <w:rPr>
                  <w:rStyle w:val="InternetLink"/>
                  <w:rFonts w:ascii="Times New Roman" w:hAnsi="Times New Roman"/>
                  <w:color w:val="0000FF"/>
                  <w:sz w:val="20"/>
                  <w:u w:val="single"/>
                </w:rPr>
                <w:t>Risk Factors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2__unregistered_sale_of_equity_secu">
              <w:r>
                <w:rPr>
                  <w:rStyle w:val="InternetLink"/>
                  <w:rFonts w:ascii="Times New Roman" w:hAnsi="Times New Roman"/>
                  <w:color w:val="0000FF"/>
                  <w:sz w:val="20"/>
                  <w:u w:val="single"/>
                </w:rPr>
                <w:t>Unregistered Sales of Equity Securities and Use of Proceeds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5.</w:t>
            </w:r>
          </w:p>
        </w:tc>
        <w:tc>
          <w:tcPr>
            <w:tcW w:w="8713"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35"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6.</w:t>
            </w:r>
          </w:p>
        </w:tc>
        <w:tc>
          <w:tcPr>
            <w:tcW w:w="8713" w:type="dxa"/>
            <w:tcBorders/>
            <w:tcMar>
              <w:top w:w="0" w:type="dxa"/>
              <w:left w:w="0" w:type="dxa"/>
              <w:bottom w:w="0" w:type="dxa"/>
              <w:right w:w="0" w:type="dxa"/>
            </w:tcMar>
            <w:vAlign w:val="center"/>
          </w:tcPr>
          <w:p>
            <w:pPr>
              <w:pStyle w:val="TableContents"/>
              <w:bidi w:val="0"/>
              <w:spacing w:before="40" w:after="40"/>
              <w:jc w:val="left"/>
              <w:rPr/>
            </w:pPr>
            <w:hyperlink w:anchor="item_6__exhibits">
              <w:r>
                <w:rPr>
                  <w:rStyle w:val="InternetLink"/>
                  <w:rFonts w:ascii="Times New Roman" w:hAnsi="Times New Roman"/>
                  <w:color w:val="0000FF"/>
                  <w:sz w:val="20"/>
                  <w:u w:val="single"/>
                </w:rPr>
                <w:t>Exhibits</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548" w:type="dxa"/>
            <w:gridSpan w:val="2"/>
            <w:tcBorders/>
            <w:tcMar>
              <w:top w:w="0" w:type="dxa"/>
              <w:left w:w="0" w:type="dxa"/>
              <w:bottom w:w="0" w:type="dxa"/>
              <w:right w:w="0" w:type="dxa"/>
            </w:tcMar>
            <w:vAlign w:val="center"/>
          </w:tcPr>
          <w:p>
            <w:pPr>
              <w:pStyle w:val="TableContents"/>
              <w:bidi w:val="0"/>
              <w:spacing w:before="40" w:after="40"/>
              <w:jc w:val="left"/>
              <w:rPr/>
            </w:pPr>
            <w:hyperlink w:anchor="signature">
              <w:r>
                <w:rPr>
                  <w:rStyle w:val="InternetLink"/>
                  <w:rFonts w:ascii="Times New Roman" w:hAnsi="Times New Roman"/>
                  <w:color w:val="0000FF"/>
                  <w:sz w:val="20"/>
                  <w:u w:val="single"/>
                </w:rPr>
                <w:t>SIGNATURE</w:t>
              </w:r>
            </w:hyperlink>
          </w:p>
        </w:tc>
        <w:tc>
          <w:tcPr>
            <w:tcW w:w="6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both"/>
        <w:rPr>
          <w:rFonts w:ascii="Times New Roman" w:hAnsi="Times New Roman"/>
          <w:b/>
          <w:color w:val="000000"/>
          <w:sz w:val="20"/>
        </w:rPr>
      </w:pPr>
      <w:bookmarkStart w:id="4" w:name="item_1_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bookmarkStart w:id="5" w:name="unaudited_condensed_consolidated_balance"/>
      <w:bookmarkEnd w:id="5"/>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6" w:name="condensed_consolidated_balance"/>
      <w:bookmarkEnd w:id="6"/>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2"/>
        <w:gridCol w:w="146"/>
        <w:gridCol w:w="269"/>
        <w:gridCol w:w="1075"/>
        <w:gridCol w:w="166"/>
        <w:gridCol w:w="146"/>
        <w:gridCol w:w="237"/>
        <w:gridCol w:w="950"/>
        <w:gridCol w:w="414"/>
      </w:tblGrid>
      <w:tr>
        <w:trPr/>
        <w:tc>
          <w:tcPr>
            <w:tcW w:w="6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December 31, 2025 and March 31, 2025; no shares issued and outstanding at December 31, 2025 and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 at </w:t>
              <w:br/>
              <w:t xml:space="preserve">December 31, 2025 and March 31, 2025; shares issued: 4,314,582 at </w:t>
              <w:br/>
              <w:t xml:space="preserve">December 31, 2025 and 4,247,023 at March 31, 2025; shares outstanding: </w:t>
              <w:br/>
              <w:t>3,552,077 at December 31, 2025 and 3,298,389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762,505 at December 31, 2025 and 948,634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22, 2025, Orion enacted a 1-for-10 reverse stock split on all common stock. All current and prior periods have been adjusted to accurately show the amount of shares post-split.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7" w:name="unaudited_condensed_consolidated_stateme"/>
      <w:bookmarkEnd w:id="7"/>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9999" w:type="dxa"/>
        <w:jc w:val="left"/>
        <w:tblInd w:w="0" w:type="dxa"/>
        <w:tblLayout w:type="fixed"/>
        <w:tblCellMar>
          <w:top w:w="28" w:type="dxa"/>
          <w:left w:w="28" w:type="dxa"/>
          <w:bottom w:w="28" w:type="dxa"/>
          <w:right w:w="28" w:type="dxa"/>
        </w:tblCellMar>
      </w:tblPr>
      <w:tblGrid>
        <w:gridCol w:w="3916"/>
        <w:gridCol w:w="146"/>
        <w:gridCol w:w="214"/>
        <w:gridCol w:w="947"/>
        <w:gridCol w:w="168"/>
        <w:gridCol w:w="148"/>
        <w:gridCol w:w="214"/>
        <w:gridCol w:w="947"/>
        <w:gridCol w:w="166"/>
        <w:gridCol w:w="146"/>
        <w:gridCol w:w="211"/>
        <w:gridCol w:w="931"/>
        <w:gridCol w:w="166"/>
        <w:gridCol w:w="146"/>
        <w:gridCol w:w="211"/>
        <w:gridCol w:w="931"/>
        <w:gridCol w:w="3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3,637,008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22, 2025, Orion enacted a 1-for-10 reverse stock split on all common stock. All current and prior periods have been adjusted to accurately show the amount of shares post-split.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8" w:name="statements_shareholders_equity"/>
      <w:bookmarkEnd w:id="8"/>
      <w:r>
        <w:rPr>
          <w:rFonts w:ascii="Times New Roman" w:hAnsi="Times New Roman"/>
          <w:b/>
          <w:color w:val="000000"/>
          <w:sz w:val="20"/>
        </w:rPr>
        <w:t>UNAUDITED 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04"/>
        <w:gridCol w:w="146"/>
        <w:gridCol w:w="146"/>
        <w:gridCol w:w="931"/>
        <w:gridCol w:w="166"/>
        <w:gridCol w:w="146"/>
        <w:gridCol w:w="211"/>
        <w:gridCol w:w="781"/>
        <w:gridCol w:w="166"/>
        <w:gridCol w:w="146"/>
        <w:gridCol w:w="211"/>
        <w:gridCol w:w="736"/>
        <w:gridCol w:w="166"/>
        <w:gridCol w:w="146"/>
        <w:gridCol w:w="211"/>
        <w:gridCol w:w="841"/>
        <w:gridCol w:w="166"/>
        <w:gridCol w:w="146"/>
        <w:gridCol w:w="267"/>
        <w:gridCol w:w="860"/>
        <w:gridCol w:w="212"/>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to Final Frontier as partial payment of the accrued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tax withholdings on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5"/>
        <w:gridCol w:w="146"/>
        <w:gridCol w:w="146"/>
        <w:gridCol w:w="931"/>
        <w:gridCol w:w="166"/>
        <w:gridCol w:w="146"/>
        <w:gridCol w:w="211"/>
        <w:gridCol w:w="781"/>
        <w:gridCol w:w="146"/>
        <w:gridCol w:w="146"/>
        <w:gridCol w:w="211"/>
        <w:gridCol w:w="736"/>
        <w:gridCol w:w="166"/>
        <w:gridCol w:w="146"/>
        <w:gridCol w:w="211"/>
        <w:gridCol w:w="841"/>
        <w:gridCol w:w="166"/>
        <w:gridCol w:w="146"/>
        <w:gridCol w:w="272"/>
        <w:gridCol w:w="874"/>
        <w:gridCol w:w="212"/>
      </w:tblGrid>
      <w:tr>
        <w:trPr/>
        <w:tc>
          <w:tcPr>
            <w:tcW w:w="3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tax withholdings on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22, 2025, Orion enacted a 1-for-10 reverse stock split on all common stock. All current and prior periods have been adjusted to accurately show the amount of shares post-split.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statements_of_cas"/>
      <w:bookmarkEnd w:id="9"/>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10" w:name="consolidated_stateme_cash_flow"/>
      <w:bookmarkEnd w:id="10"/>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58"/>
        <w:gridCol w:w="146"/>
        <w:gridCol w:w="262"/>
        <w:gridCol w:w="787"/>
        <w:gridCol w:w="207"/>
        <w:gridCol w:w="181"/>
        <w:gridCol w:w="262"/>
        <w:gridCol w:w="787"/>
        <w:gridCol w:w="615"/>
      </w:tblGrid>
      <w:tr>
        <w:trPr/>
        <w:tc>
          <w:tcPr>
            <w:tcW w:w="6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w:t>
              <w:b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patents and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incurred related to issuance of 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equity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to Final Frontier, LLC as partial payment of earnout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subordinated debt for earnout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ion_energy_systems_inc_subsidiaries"/>
      <w:bookmarkEnd w:id="11"/>
      <w:r>
        <w:rPr>
          <w:rFonts w:ascii="Times New Roman" w:hAnsi="Times New Roman"/>
          <w:b/>
          <w:color w:val="000000"/>
          <w:sz w:val="20"/>
        </w:rPr>
        <w:t>ORION ENERGY SYSTEMS, INC. AND SUBSIDIARIES</w:t>
      </w:r>
    </w:p>
    <w:p>
      <w:pPr>
        <w:pStyle w:val="TextBody"/>
        <w:bidi w:val="0"/>
        <w:jc w:val="center"/>
        <w:rPr>
          <w:rFonts w:ascii="Times New Roman" w:hAnsi="Times New Roman"/>
          <w:sz w:val="20"/>
        </w:rPr>
      </w:pPr>
      <w:bookmarkStart w:id="12" w:name="notes_to_condensed_consolidate_financial"/>
      <w:bookmarkEnd w:id="12"/>
      <w:r>
        <w:rPr>
          <w:rFonts w:ascii="Times New Roman" w:hAnsi="Times New Roman"/>
          <w:b/>
          <w:color w:val="000000"/>
          <w:sz w:val="20"/>
        </w:rPr>
        <w:t>UNAUDITED NOTES TO THE CONDENSED C</w:t>
      </w:r>
      <w:bookmarkStart w:id="13" w:name="unaudited_notes_to_condensed_consolidate"/>
      <w:bookmarkEnd w:id="13"/>
      <w:r>
        <w:rPr>
          <w:rFonts w:ascii="Times New Roman" w:hAnsi="Times New Roman"/>
          <w:b/>
          <w:color w:val="000000"/>
          <w:sz w:val="20"/>
        </w:rPr>
        <w:t>ONSOLIDATED FINANCIAL STATEMENTS</w:t>
      </w:r>
    </w:p>
    <w:p>
      <w:pPr>
        <w:pStyle w:val="TextBody"/>
        <w:bidi w:val="0"/>
        <w:spacing w:before="180" w:after="283"/>
        <w:jc w:val="left"/>
        <w:rPr>
          <w:rFonts w:ascii="Times New Roman" w:hAnsi="Times New Roman"/>
          <w:b/>
          <w:color w:val="000000"/>
          <w:sz w:val="20"/>
        </w:rPr>
      </w:pPr>
      <w:bookmarkStart w:id="14" w:name="note_1___description_of_business"/>
      <w:bookmarkEnd w:id="14"/>
      <w:r>
        <w:rPr>
          <w:rFonts w:ascii="Times New Roman" w:hAnsi="Times New Roman"/>
          <w:b/>
          <w:color w:val="000000"/>
          <w:sz w:val="20"/>
        </w:rPr>
        <w:t>NOTE 1 — DESCRIPTION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corporate offices and leased primary manufacturing operations are located in Manitowoc, Wisconsin. Orion also leases office space in Jacksonville, Florida and Lawrence, Massachusetts.</w:t>
      </w:r>
    </w:p>
    <w:p>
      <w:pPr>
        <w:pStyle w:val="TextBody"/>
        <w:bidi w:val="0"/>
        <w:spacing w:before="280" w:after="283"/>
        <w:jc w:val="left"/>
        <w:rPr>
          <w:rFonts w:ascii="Times New Roman" w:hAnsi="Times New Roman"/>
          <w:b/>
          <w:color w:val="000000"/>
          <w:sz w:val="20"/>
        </w:rPr>
      </w:pPr>
      <w:bookmarkStart w:id="15" w:name="note_2___summary_of_significant_accounti"/>
      <w:bookmarkEnd w:id="15"/>
      <w:r>
        <w:rPr>
          <w:rFonts w:ascii="Times New Roman" w:hAnsi="Times New Roman"/>
          <w:b/>
          <w:color w:val="000000"/>
          <w:sz w:val="20"/>
        </w:rPr>
        <w:t>NOTE 2 —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consolidated financial statements include the accounts of Orion Energy Systems, Inc. and its wholly-owned subsidiaries. All intercompany transactions and balances have been eliminated in consolidation.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2026 or other interim periods.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Condensed Consolidated Balance Sheet as of March 31, 2025 has been derived from the audited consolidated financial statements at that date but does not include all of the information required by GAAP for complete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footnotes thereto included in Orion’s Annual Report on Form 10-K for the fiscal year ended March 31, 2025 filed with the SEC on June 26,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22, 2025, Orion enacted a 1-for-10 reverse stock split in order to remain compliant with the Minimum Bid Price Rule as defined below. The par value was not adjusted for the reverse stock split. All share and per share data have been adjusted for all periods presented to reflect the reverse stock split.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management estimates include revenue recognition, net realizable value of inventory, allowance for credit losses, accruals for warranty, loss contingencies, earnout, income taxes, impairment analyses, and certain equity transactions. Accordingly,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purchases components necessary for its lighting products, including lamps and LED components, from multiple suppliers. For the three and nine months ended December 31, 2025 and 2024, no suppliers accounted for more than 10% of total cost of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December 31, 2025, two customers accounted for 30.7% and 14.1% of total revenue, respectively. For the nine months ended December 31, 2025, two customers accounted for 31.7% and 10.5% of total revenue, respectively. For the three months ended December 31, 2024, two customers accounted for 26.7% and 10.4% of total revenue, respectively. For the nine months ended December 31, 2024, one customer accounted for 24.2% of total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two customers accounted for 17.3% and 15.3% of accounts receivable, respectively. As of March 31, 2025, one customer accounted for 13.0% of accounts receivable.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Compliance with the Continued Listing Standards of the Nasdaq Capital Market (“NASDAQ”)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disclosed, on September 20, 2024, Orion received written notice from the Listing Qualifications Department (the “Staff”) of NASDAQ notifying Orion that it was not in compliance with the minimum bid price requirements set forth in Nasdaq Listing Rule 5550(a)(2) (the “Minimum Bid Price Rule”) for continued listing on NASDAQ, as the closing bid price of the Orion’s common stock had been below $1.00 per share for 30 consecutive trading days. Pursuant to Nasdaq Listing Rule 5810(c)(3)(A), Orion was granted 180 calendar days, or until March 19, 2025, to regain compliance with the Minimum Bid Price Rule which was followed by another 180-day extension. On March 19, 2025, Orion submitted a formal request to NASDAQ for an additional 180-calendar day period to regain compliance with the Minimum Bid Price Rule and provided written notice to NASDAQ of its intent to effectuate a reverse stock split during the additional compliance period if necessary to regain compliance with the Minimum Bid Price Rule.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20, 2025, Orion received a letter from NASDAQ granting Orion the additional period, through September 15, 2025, to regain compliance with the Minimum Bid Price Rule.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Ultimately, in order to regain compliance with the Minimum Bid Price Rule, Orion effected a 1-for-10 reverse stock split of its common stock as of the opening of trading on August 22,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effect of Orion's reverse stock split, on September 8, 2025, Orion received a written notification from the Staff indicating that Orion had regained compliance with the Minimum Bid Price Rule. Consequently, Orion is now in compliance with all applicable listing standards of, and remains listed on, the Nasdaq.</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Issued: Not Yet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December 2025, the Financial Accounting Standards Board (FASB) issued Accounting Standards Update (ASU) No. 2025-11, which is intended to improve the navigability of the guidance in Accounting Standards Codification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the ASU, the amendments are not intended to "change the fundamental nature of interim reporting or expand or reduce current interim disclosure requirements." The amendments will be effective for interim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periods within annual reporting periods beginning after December 15, 2027.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July 2025, the FASB issued ASU No. 2025-05, Financial Instruments - Credit Losses (Topic 326), which modifies the current credit loss guidance in Topic 326 to expand on how an entity develops and estimate of expected credit losses. The amendments in this update provide (1) all entities with a practical expedient and (2) entities other than public business entities with an accounting policy election when estimating expected credit loses for current accounts receivable and current contract assets arising from transactions accounted for under "Revenue from Contracts with Customers" Topic 606, ASC 606, as follows: "1. Practical expedient. In developing reasonable and supportable forecasts as part of estimating expected credit losses, all entities may elect a practical expedient that assumes that current conditions as of the balance sheet date do not change for the remaining life of the asset. 2. Accounting policy election. An entity other than a public business entity that elects the practical expedient is permitted to make an accounting policy election to consider collection activity after the balance sheet date when estimating expected credit losses."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Orion is currently evaluating the impact that this guidance will have on the presentation of its consolidated financial statements and accompanying notes.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(Subtopic 220-40), which modifies the disclosure and presentation requirements relating to expenses shown on the statements of operations. The amendments in the update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pStyle w:val="TextBody"/>
        <w:bidi w:val="0"/>
        <w:spacing w:before="280" w:after="283"/>
        <w:jc w:val="both"/>
        <w:rPr>
          <w:rFonts w:ascii="Times New Roman" w:hAnsi="Times New Roman"/>
          <w:b/>
          <w:color w:val="000000"/>
          <w:sz w:val="20"/>
        </w:rPr>
      </w:pPr>
      <w:bookmarkStart w:id="16" w:name="note_3___revenue"/>
      <w:bookmarkEnd w:id="16"/>
      <w:r>
        <w:rPr>
          <w:rFonts w:ascii="Times New Roman" w:hAnsi="Times New Roman"/>
          <w:b/>
          <w:color w:val="000000"/>
          <w:sz w:val="20"/>
        </w:rPr>
        <w:t>NOTE 3 —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generates revenue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management expects to receive in exchange for those goods or services. Prices are generally fixed at the time of order confirmation, either for the contract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Statements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Revenue from the lighting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Statements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provide detail of Orion’s total revenue for the three and nine months ended December 31, 2025 and December 31, 2024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11"/>
        <w:gridCol w:w="571"/>
        <w:gridCol w:w="146"/>
        <w:gridCol w:w="146"/>
        <w:gridCol w:w="211"/>
        <w:gridCol w:w="676"/>
        <w:gridCol w:w="146"/>
        <w:gridCol w:w="146"/>
        <w:gridCol w:w="211"/>
        <w:gridCol w:w="676"/>
        <w:gridCol w:w="146"/>
        <w:gridCol w:w="146"/>
        <w:gridCol w:w="211"/>
        <w:gridCol w:w="676"/>
        <w:gridCol w:w="146"/>
        <w:gridCol w:w="146"/>
        <w:gridCol w:w="211"/>
        <w:gridCol w:w="676"/>
        <w:gridCol w:w="2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From time to time, Orion sells the receivables from one customer to a financing institution. The total amount received from the advances of these receivables was $0.9 million and $1.5 million for the three and nine months ended December 31, 2025, respectively. Orion's gains on these sales were $45 thousand and $43 thousand for the three and nine months ended December 31, 2025, respectively, and are included in Interest expense in the Condensed Consolidated Statements of Operations. The total amount received from the advances of these receivables was $0.7 million and $1.3 million for the three and nine months ended December 31, 2024. Orion's losses on these sales were $12 thousand and $30 thousand for the three and nine months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balance of Orion’s receivables arising from contracts with customers, contract assets and contract liabilities as of December 31, 2025 and March 31, 2025 (dollars in thousands):</w:t>
      </w:r>
    </w:p>
    <w:p>
      <w:pPr>
        <w:pStyle w:val="TextBody"/>
        <w:bidi w:val="0"/>
        <w:jc w:val="both"/>
        <w:rPr/>
      </w:pPr>
      <w:r>
        <w:rPr/>
        <w:t> </w:t>
      </w:r>
    </w:p>
    <w:tbl>
      <w:tblPr>
        <w:tblW w:w="6641" w:type="dxa"/>
        <w:jc w:val="left"/>
        <w:tblInd w:w="0" w:type="dxa"/>
        <w:tblLayout w:type="fixed"/>
        <w:tblCellMar>
          <w:top w:w="28" w:type="dxa"/>
          <w:left w:w="28" w:type="dxa"/>
          <w:bottom w:w="28" w:type="dxa"/>
          <w:right w:w="28" w:type="dxa"/>
        </w:tblCellMar>
      </w:tblPr>
      <w:tblGrid>
        <w:gridCol w:w="2851"/>
        <w:gridCol w:w="146"/>
        <w:gridCol w:w="260"/>
        <w:gridCol w:w="835"/>
        <w:gridCol w:w="146"/>
        <w:gridCol w:w="146"/>
        <w:gridCol w:w="211"/>
        <w:gridCol w:w="676"/>
        <w:gridCol w:w="146"/>
        <w:gridCol w:w="146"/>
        <w:gridCol w:w="211"/>
        <w:gridCol w:w="676"/>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Within the revenue earned but not billed line on the Condensed Consolidated Balance Sheets, $0.0 million and $0.7 million was accounted for as a sales type lease under ASC 842 for December 31, 2025 and March 31, 2025, respectively, and therefore not considered a "contract asset", which is an asset defined by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Includes the unamortized portion of the funds received from the federal government in 2010 and 2011 as reimbursement for the costs to build the two facilities related to the power purchase agreements. As the transaction is not considered a contract with a customer, this value is not a contract liability as defined by ASC 606.</w:t>
      </w:r>
    </w:p>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significant changes in the contract assets outside of standard increases due to timing of contract completion, offset by the reclassifications to accounts receivable, net upon billing. Deferred revenue, current as of December 31, 2025, and March 31, 2025, includes $0.1 million and $0.4 million, respectively, of contract liabilities which represent consideration received from a new customer contract on which installation has not yet begun and Orion has not fulfilled the promises included. Of the $0.4 million outstanding as of March 31, 2025, $0.3 million has been recognized as revenue for the nine months ended December 31,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pStyle w:val="TextBody"/>
        <w:bidi w:val="0"/>
        <w:spacing w:before="280" w:after="283"/>
        <w:jc w:val="both"/>
        <w:rPr>
          <w:rFonts w:ascii="Times New Roman" w:hAnsi="Times New Roman"/>
          <w:b/>
          <w:color w:val="000000"/>
          <w:sz w:val="20"/>
        </w:rPr>
      </w:pPr>
      <w:bookmarkStart w:id="17" w:name="note_4___accounts_receivable"/>
      <w:bookmarkEnd w:id="17"/>
      <w:r>
        <w:rPr>
          <w:rFonts w:ascii="Times New Roman" w:hAnsi="Times New Roman"/>
          <w:b/>
          <w:color w:val="000000"/>
          <w:sz w:val="20"/>
        </w:rPr>
        <w:t>NOTE 4 —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and March 31, 2025, Orion's accounts receivable and allowance for credit losses balances were as follows (dollars in thousands):</w:t>
      </w:r>
    </w:p>
    <w:p>
      <w:pPr>
        <w:pStyle w:val="TextBody"/>
        <w:bidi w:val="0"/>
        <w:jc w:val="both"/>
        <w:rPr/>
      </w:pPr>
      <w:r>
        <w:rPr/>
        <w:t> </w:t>
      </w:r>
    </w:p>
    <w:tbl>
      <w:tblPr>
        <w:tblW w:w="4947" w:type="dxa"/>
        <w:jc w:val="left"/>
        <w:tblInd w:w="0" w:type="dxa"/>
        <w:tblLayout w:type="fixed"/>
        <w:tblCellMar>
          <w:top w:w="28" w:type="dxa"/>
          <w:left w:w="28" w:type="dxa"/>
          <w:bottom w:w="28" w:type="dxa"/>
          <w:right w:w="28" w:type="dxa"/>
        </w:tblCellMar>
      </w:tblPr>
      <w:tblGrid>
        <w:gridCol w:w="2296"/>
        <w:gridCol w:w="146"/>
        <w:gridCol w:w="260"/>
        <w:gridCol w:w="835"/>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Changes in Orion’s allowance for credit losses were as follows (dollars in thousands):</w:t>
      </w:r>
    </w:p>
    <w:tbl>
      <w:tblPr>
        <w:tblW w:w="6725" w:type="dxa"/>
        <w:jc w:val="left"/>
        <w:tblInd w:w="0" w:type="dxa"/>
        <w:tblLayout w:type="fixed"/>
        <w:tblCellMar>
          <w:top w:w="28" w:type="dxa"/>
          <w:left w:w="28" w:type="dxa"/>
          <w:bottom w:w="28" w:type="dxa"/>
          <w:right w:w="28" w:type="dxa"/>
        </w:tblCellMar>
      </w:tblPr>
      <w:tblGrid>
        <w:gridCol w:w="1771"/>
        <w:gridCol w:w="146"/>
        <w:gridCol w:w="272"/>
        <w:gridCol w:w="621"/>
        <w:gridCol w:w="214"/>
        <w:gridCol w:w="188"/>
        <w:gridCol w:w="272"/>
        <w:gridCol w:w="621"/>
        <w:gridCol w:w="166"/>
        <w:gridCol w:w="146"/>
        <w:gridCol w:w="261"/>
        <w:gridCol w:w="595"/>
        <w:gridCol w:w="205"/>
        <w:gridCol w:w="180"/>
        <w:gridCol w:w="261"/>
        <w:gridCol w:w="595"/>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18" w:name="note_5___inventories"/>
      <w:bookmarkEnd w:id="18"/>
      <w:r>
        <w:rPr>
          <w:rFonts w:ascii="Times New Roman" w:hAnsi="Times New Roman"/>
          <w:b/>
          <w:color w:val="000000"/>
          <w:sz w:val="20"/>
        </w:rPr>
        <w:t>NOTE 5 —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and March 31, 2025, Orion's inventory balances, net of excess and obsolete reserves of $2.1 million and $1.8 million, respectively, were as follows (dollars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2841"/>
        <w:gridCol w:w="146"/>
        <w:gridCol w:w="217"/>
        <w:gridCol w:w="699"/>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Inventories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NOTE 6 —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 primarily of prepaid insurance premiums, prepaid subscription fees, prepaid networking services for EV products, ERP system implementation fees, and value added tax receivable. Prepaid expenses totaled $1.4 million and $1.9 million as of December 31, 2025 and March 31, 2025, respectively.</w:t>
      </w:r>
    </w:p>
    <w:p>
      <w:pPr>
        <w:pStyle w:val="TextBody"/>
        <w:bidi w:val="0"/>
        <w:jc w:val="both"/>
        <w:rPr/>
      </w:pPr>
      <w:r>
        <w:rPr/>
        <w:t> </w:t>
      </w:r>
    </w:p>
    <w:p>
      <w:pPr>
        <w:pStyle w:val="TextBody"/>
        <w:bidi w:val="0"/>
        <w:spacing w:before="280" w:after="283"/>
        <w:jc w:val="left"/>
        <w:rPr>
          <w:rFonts w:ascii="Times New Roman" w:hAnsi="Times New Roman"/>
          <w:b/>
          <w:color w:val="000000"/>
          <w:sz w:val="20"/>
        </w:rPr>
      </w:pPr>
      <w:bookmarkStart w:id="19" w:name="note_7___property_and_equipment"/>
      <w:bookmarkEnd w:id="19"/>
      <w:r>
        <w:rPr>
          <w:rFonts w:ascii="Times New Roman" w:hAnsi="Times New Roman"/>
          <w:b/>
          <w:color w:val="000000"/>
          <w:sz w:val="20"/>
        </w:rPr>
        <w:t>NOTE 7 —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and March 31, 2025, property and equipment, net, included the following (dollars in thousands):</w:t>
      </w:r>
    </w:p>
    <w:p>
      <w:pPr>
        <w:pStyle w:val="TextBody"/>
        <w:bidi w:val="0"/>
        <w:jc w:val="left"/>
        <w:rPr/>
      </w:pPr>
      <w:r>
        <w:rPr/>
        <w:t> </w:t>
      </w:r>
    </w:p>
    <w:tbl>
      <w:tblPr>
        <w:tblW w:w="6157" w:type="dxa"/>
        <w:jc w:val="left"/>
        <w:tblInd w:w="0" w:type="dxa"/>
        <w:tblLayout w:type="fixed"/>
        <w:tblCellMar>
          <w:top w:w="28" w:type="dxa"/>
          <w:left w:w="28" w:type="dxa"/>
          <w:bottom w:w="28" w:type="dxa"/>
          <w:right w:w="28" w:type="dxa"/>
        </w:tblCellMar>
      </w:tblPr>
      <w:tblGrid>
        <w:gridCol w:w="3346"/>
        <w:gridCol w:w="146"/>
        <w:gridCol w:w="244"/>
        <w:gridCol w:w="851"/>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building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leases assets from third parties. Orion also leases certain assets to third parties.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ASC 842, both finance and operating lease Right-Of-Use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 summary of Orion’s assets leased from third parties follows (dollars in thousands):</w:t>
      </w:r>
    </w:p>
    <w:tbl>
      <w:tblPr>
        <w:tblW w:w="8772" w:type="dxa"/>
        <w:jc w:val="left"/>
        <w:tblInd w:w="0" w:type="dxa"/>
        <w:tblLayout w:type="fixed"/>
        <w:tblCellMar>
          <w:top w:w="28" w:type="dxa"/>
          <w:left w:w="28" w:type="dxa"/>
          <w:bottom w:w="28" w:type="dxa"/>
          <w:right w:w="28" w:type="dxa"/>
        </w:tblCellMar>
      </w:tblPr>
      <w:tblGrid>
        <w:gridCol w:w="2406"/>
        <w:gridCol w:w="146"/>
        <w:gridCol w:w="2431"/>
        <w:gridCol w:w="146"/>
        <w:gridCol w:w="403"/>
        <w:gridCol w:w="1097"/>
        <w:gridCol w:w="146"/>
        <w:gridCol w:w="146"/>
        <w:gridCol w:w="340"/>
        <w:gridCol w:w="920"/>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Orion had operating lease costs of $0.3 million and $0.9 million for the three and nine months ended December 31, 2025, respectively. Orion had operating lease costs of $0.3 million and $0.9 million for the three and nine months ended December 31,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maturity of lease liabilities for each of the remaining years is shown below (dollars in thousands):</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Orion Leases to Other Parties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provides long-term financing to one customer who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Revenues, and production and acquisition costs, associated with sales-type leases are included in Product revenue and Cost of product revenue in the Condensed Consolidated Statements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amount of revenue and cost of sales arising from sales-type leases during the quarter ended December 31, 2025 and 2024 (dollars in thousands):</w:t>
      </w:r>
    </w:p>
    <w:p>
      <w:pPr>
        <w:pStyle w:val="TextBody"/>
        <w:bidi w:val="0"/>
        <w:spacing w:before="180" w:after="283"/>
        <w:jc w:val="both"/>
        <w:rPr/>
      </w:pPr>
      <w:r>
        <w:rPr/>
        <w:t> </w:t>
      </w:r>
    </w:p>
    <w:tbl>
      <w:tblPr>
        <w:tblW w:w="7886" w:type="dxa"/>
        <w:jc w:val="left"/>
        <w:tblInd w:w="0" w:type="dxa"/>
        <w:tblLayout w:type="fixed"/>
        <w:tblCellMar>
          <w:top w:w="28" w:type="dxa"/>
          <w:left w:w="28" w:type="dxa"/>
          <w:bottom w:w="28" w:type="dxa"/>
          <w:right w:w="28" w:type="dxa"/>
        </w:tblCellMar>
      </w:tblPr>
      <w:tblGrid>
        <w:gridCol w:w="2071"/>
        <w:gridCol w:w="146"/>
        <w:gridCol w:w="358"/>
        <w:gridCol w:w="714"/>
        <w:gridCol w:w="247"/>
        <w:gridCol w:w="247"/>
        <w:gridCol w:w="358"/>
        <w:gridCol w:w="714"/>
        <w:gridCol w:w="146"/>
        <w:gridCol w:w="146"/>
        <w:gridCol w:w="345"/>
        <w:gridCol w:w="690"/>
        <w:gridCol w:w="239"/>
        <w:gridCol w:w="239"/>
        <w:gridCol w:w="345"/>
        <w:gridCol w:w="690"/>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pPr>
      <w:r>
        <w:rPr/>
        <w:t> </w:t>
      </w:r>
    </w:p>
    <w:p>
      <w:pPr>
        <w:pStyle w:val="TextBody"/>
        <w:bidi w:val="0"/>
        <w:spacing w:before="280" w:after="283"/>
        <w:jc w:val="left"/>
        <w:rPr>
          <w:rFonts w:ascii="Times New Roman" w:hAnsi="Times New Roman"/>
          <w:b/>
          <w:color w:val="000000"/>
          <w:sz w:val="20"/>
        </w:rPr>
      </w:pPr>
      <w:bookmarkStart w:id="20" w:name="note_8___intangible_assets"/>
      <w:bookmarkEnd w:id="20"/>
      <w:r>
        <w:rPr>
          <w:rFonts w:ascii="Times New Roman" w:hAnsi="Times New Roman"/>
          <w:b/>
          <w:color w:val="000000"/>
          <w:sz w:val="20"/>
        </w:rPr>
        <w:t>NOTE 9 — 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$0.9 million of goodwill related to its purchase of Voltrek LLC ("Voltrek") in the third quarter of fiscal 2023, ("Voltrek Acquisition"), which has an indefinite life, and is assigned to the EV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recorded $0.6 million of goodwill related to its purchase of Stay-Lite Lighting, Inc. ("Stay-Lite") during fiscal year 2022, which has an indefinite life, and is assigned to the Maintenance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and March 31, 2025, the components of, and changes in, the carrying amount of other intangible assets, net, were as follows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96"/>
        <w:gridCol w:w="601"/>
        <w:gridCol w:w="146"/>
        <w:gridCol w:w="146"/>
        <w:gridCol w:w="276"/>
        <w:gridCol w:w="805"/>
        <w:gridCol w:w="166"/>
        <w:gridCol w:w="146"/>
        <w:gridCol w:w="196"/>
        <w:gridCol w:w="511"/>
        <w:gridCol w:w="146"/>
        <w:gridCol w:w="146"/>
        <w:gridCol w:w="243"/>
        <w:gridCol w:w="578"/>
        <w:gridCol w:w="146"/>
        <w:gridCol w:w="146"/>
        <w:gridCol w:w="196"/>
        <w:gridCol w:w="601"/>
        <w:gridCol w:w="146"/>
        <w:gridCol w:w="146"/>
        <w:gridCol w:w="276"/>
        <w:gridCol w:w="805"/>
        <w:gridCol w:w="166"/>
        <w:gridCol w:w="146"/>
        <w:gridCol w:w="196"/>
        <w:gridCol w:w="511"/>
        <w:gridCol w:w="392"/>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Amortization expense on intangible assets was $0.1 million and $0.6 million for the three and nine months ended December 31, 2025, respectively. Amortization expense on intangible assets was $0.3 million and $0.8 million for the three and nine months ended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estimated amortization expense for the remainder of fiscal 2026, the next five fiscal years and beyond is shown below (dollars in thousands):</w:t>
      </w:r>
    </w:p>
    <w:p>
      <w:pPr>
        <w:pStyle w:val="TextBody"/>
        <w:bidi w:val="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 (period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21" w:name="note_9___accrued_expenses_and_other"/>
      <w:bookmarkEnd w:id="21"/>
      <w:r>
        <w:rPr>
          <w:rFonts w:ascii="Times New Roman" w:hAnsi="Times New Roman"/>
          <w:b/>
          <w:color w:val="000000"/>
          <w:sz w:val="20"/>
        </w:rPr>
        <w:t>NOTE 10 —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and March 31, 2025, accrued expenses and other included the following (dollars in thousands):</w:t>
      </w:r>
    </w:p>
    <w:p>
      <w:pPr>
        <w:pStyle w:val="TextBody"/>
        <w:bidi w:val="0"/>
        <w:jc w:val="both"/>
        <w:rPr/>
      </w:pPr>
      <w:r>
        <w:rPr/>
        <w:t> </w:t>
      </w:r>
    </w:p>
    <w:tbl>
      <w:tblPr>
        <w:tblW w:w="5227" w:type="dxa"/>
        <w:jc w:val="left"/>
        <w:tblInd w:w="0" w:type="dxa"/>
        <w:tblLayout w:type="fixed"/>
        <w:tblCellMar>
          <w:top w:w="28" w:type="dxa"/>
          <w:left w:w="28" w:type="dxa"/>
          <w:bottom w:w="28" w:type="dxa"/>
          <w:right w:w="28" w:type="dxa"/>
        </w:tblCellMar>
      </w:tblPr>
      <w:tblGrid>
        <w:gridCol w:w="2416"/>
        <w:gridCol w:w="146"/>
        <w:gridCol w:w="294"/>
        <w:gridCol w:w="801"/>
        <w:gridCol w:w="146"/>
        <w:gridCol w:w="146"/>
        <w:gridCol w:w="211"/>
        <w:gridCol w:w="676"/>
        <w:gridCol w:w="3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acquisition 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due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project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Orion generally offers a limited warranty of one to ten years on its lighting products, including the pass-through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Changes in Orion’s warranty accrual (both current and long-term) were as follows (dollars in thousands):</w:t>
      </w:r>
    </w:p>
    <w:p>
      <w:pPr>
        <w:pStyle w:val="TextBody"/>
        <w:bidi w:val="0"/>
        <w:jc w:val="both"/>
        <w:rPr/>
      </w:pPr>
      <w:r>
        <w:rPr/>
        <w:t> </w:t>
      </w:r>
    </w:p>
    <w:tbl>
      <w:tblPr>
        <w:tblW w:w="8960" w:type="dxa"/>
        <w:jc w:val="left"/>
        <w:tblInd w:w="0" w:type="dxa"/>
        <w:tblLayout w:type="fixed"/>
        <w:tblCellMar>
          <w:top w:w="28" w:type="dxa"/>
          <w:left w:w="28" w:type="dxa"/>
          <w:bottom w:w="28" w:type="dxa"/>
          <w:right w:w="28" w:type="dxa"/>
        </w:tblCellMar>
      </w:tblPr>
      <w:tblGrid>
        <w:gridCol w:w="4006"/>
        <w:gridCol w:w="146"/>
        <w:gridCol w:w="272"/>
        <w:gridCol w:w="621"/>
        <w:gridCol w:w="214"/>
        <w:gridCol w:w="188"/>
        <w:gridCol w:w="272"/>
        <w:gridCol w:w="621"/>
        <w:gridCol w:w="166"/>
        <w:gridCol w:w="146"/>
        <w:gridCol w:w="261"/>
        <w:gridCol w:w="595"/>
        <w:gridCol w:w="205"/>
        <w:gridCol w:w="180"/>
        <w:gridCol w:w="261"/>
        <w:gridCol w:w="595"/>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(net of vendor reimbursements)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As of March 31, 2025, the balance of the accrued Voltrek Acquisition earnout was $3.3 million. During the second quarter, Orion issued common stock to the prior owner of Voltrek with a value of $1 million and paid $875 thousand in cash as partial payment of the accrued acquisition earnout. See Note 12 below for additional details around the remaining accrued earnout liability. These compensatory payments have been expensed over the course of the earnout periods to the extent they were or are earned. On June 23, 2025, Orion entered into a binding term sheet (the “Initial Term Sheet”) with respect to its remaining earnout obligations owed to the prior owner of Voltrek pursuant to the Voltrek Acquisition, and on July 31, 2025, Orion entered into an amendment to the Initial Term Sheet (the "Term Sheet Amendment"), each as further described in Note 12 below. Pursuant to the Initial Term Sheet, as amended by the Term Sheet Amendment (the “Term Sheet”), on September 30, 2025, Orion, as borrower, Great Lakes Energy Technologies, LLC (“Great Lakes”), Clean Energy Solutions, LLC (“Clean Energy”), Orion Asset Management, LLC (“Asset Management”), Orion Technologies Ventures, LLC (“Orion Technology”, and together with Voltrek, Clean Energy, Asset Management and Orion Technology, the “Company Subsidiaries”) and Voltrek, as guarantors, and Final Frontier, as lender, entered into a senior subordinated loan agreement (the “Subordinated Loan Agreement”), pursuant to which Final Frontier agreed to defer payment of the Remaining Earnout Amount (as defined below) by Orion pursuant to the terms of the Subordinated Loan Agreement. Orion’s obligation to pay the Remaining Earnout Amount is further evidenced by a senior subordinated note issued by Orion under the Subordinated Loan Agreement (the “Senior Subordinated Note”).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11 — NET INCOME (LOSS PER) COMMON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Basic net income (loss) per common share is computed by dividing net income (loss) attributable to common shareholders by the weighted-average number of common shares outstanding for the period and does not consider common stock equivalents.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Diluted net income (loss) per common share reflects the dilution that would occur if restricted shares were vested. In the computation of diluted net income (loss) per common share, Orion uses the treasury stock method for outstanding options and restricted shares. Net income (loss) per common share is calculated based upon the following shares: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46"/>
        <w:gridCol w:w="146"/>
        <w:gridCol w:w="211"/>
        <w:gridCol w:w="931"/>
        <w:gridCol w:w="166"/>
        <w:gridCol w:w="146"/>
        <w:gridCol w:w="211"/>
        <w:gridCol w:w="931"/>
        <w:gridCol w:w="166"/>
        <w:gridCol w:w="146"/>
        <w:gridCol w:w="211"/>
        <w:gridCol w:w="931"/>
        <w:gridCol w:w="41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common share</w:t>
              <w:br/>
              <w:t>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indicates the number of potentially dilutive securities included in the calculation of Diluted net income (loss) per common share. The number of shares is as of the end of each period:</w:t>
      </w:r>
    </w:p>
    <w:p>
      <w:pPr>
        <w:pStyle w:val="TextBody"/>
        <w:bidi w:val="0"/>
        <w:jc w:val="left"/>
        <w:rPr/>
      </w:pPr>
      <w:r>
        <w:rPr/>
        <w:t> </w:t>
      </w:r>
    </w:p>
    <w:tbl>
      <w:tblPr>
        <w:tblW w:w="8986" w:type="dxa"/>
        <w:jc w:val="left"/>
        <w:tblInd w:w="0" w:type="dxa"/>
        <w:tblLayout w:type="fixed"/>
        <w:tblCellMar>
          <w:top w:w="28" w:type="dxa"/>
          <w:left w:w="28" w:type="dxa"/>
          <w:bottom w:w="28" w:type="dxa"/>
          <w:right w:w="28" w:type="dxa"/>
        </w:tblCellMar>
      </w:tblPr>
      <w:tblGrid>
        <w:gridCol w:w="4021"/>
        <w:gridCol w:w="146"/>
        <w:gridCol w:w="149"/>
        <w:gridCol w:w="797"/>
        <w:gridCol w:w="149"/>
        <w:gridCol w:w="149"/>
        <w:gridCol w:w="149"/>
        <w:gridCol w:w="797"/>
        <w:gridCol w:w="146"/>
        <w:gridCol w:w="146"/>
        <w:gridCol w:w="146"/>
        <w:gridCol w:w="781"/>
        <w:gridCol w:w="146"/>
        <w:gridCol w:w="146"/>
        <w:gridCol w:w="146"/>
        <w:gridCol w:w="78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Non-Qualified Stock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Non-Qualified Stock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258,529</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bookmarkStart w:id="22" w:name="note_11___debt"/>
      <w:bookmarkEnd w:id="22"/>
      <w:r>
        <w:rPr>
          <w:rFonts w:ascii="Times New Roman" w:hAnsi="Times New Roman"/>
          <w:b/>
          <w:color w:val="000000"/>
          <w:sz w:val="20"/>
        </w:rPr>
        <w:t>NOTE 12 —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Debt, including the revolving credit facility, consisted of the following (dollars in thousands):</w:t>
      </w:r>
    </w:p>
    <w:p>
      <w:pPr>
        <w:pStyle w:val="TextBody"/>
        <w:bidi w:val="0"/>
        <w:jc w:val="left"/>
        <w:rPr/>
      </w:pPr>
      <w:r>
        <w:rPr/>
        <w:t> </w:t>
      </w:r>
    </w:p>
    <w:tbl>
      <w:tblPr>
        <w:tblW w:w="5892" w:type="dxa"/>
        <w:jc w:val="left"/>
        <w:tblInd w:w="0" w:type="dxa"/>
        <w:tblLayout w:type="fixed"/>
        <w:tblCellMar>
          <w:top w:w="28" w:type="dxa"/>
          <w:left w:w="28" w:type="dxa"/>
          <w:bottom w:w="28" w:type="dxa"/>
          <w:right w:w="28" w:type="dxa"/>
        </w:tblCellMar>
      </w:tblPr>
      <w:tblGrid>
        <w:gridCol w:w="3241"/>
        <w:gridCol w:w="146"/>
        <w:gridCol w:w="294"/>
        <w:gridCol w:w="801"/>
        <w:gridCol w:w="16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value of the Company's debt approximates fair value. The estimated fair value of the Company's debt is categorized within Level 2 of the fair value hierarchy because the valuation is based on observable market inputs.</w:t>
      </w:r>
    </w:p>
    <w:p>
      <w:pPr>
        <w:pStyle w:val="TextBody"/>
        <w:bidi w:val="0"/>
        <w:spacing w:before="280" w:after="283"/>
        <w:jc w:val="left"/>
        <w:rPr>
          <w:rFonts w:ascii="Times New Roman" w:hAnsi="Times New Roman"/>
          <w:sz w:val="20"/>
        </w:rPr>
      </w:pPr>
      <w:r>
        <w:rPr>
          <w:rFonts w:ascii="Times New Roman" w:hAnsi="Times New Roman"/>
          <w:b/>
          <w:i/>
          <w:color w:val="000000"/>
          <w:sz w:val="20"/>
        </w:rPr>
        <w:t>Revolving Credit Facility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29, 2020, Orion entered into a $25 million Loan and Security Agreement with Bank of America, N.A. (“Bank of America”), as lender (as amended, the “Credit Agreement”). The Credit Agreement provides for a $25.0 million revolving credit facility (the “Credit Facility”) that matures on June 30, 2027. Borrowings under the Credit Facility are subject to a borrowing base requirement based on eligible receivables, inventory and cash. As of December 31, 2025, the borrowing base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Facility supported approximately $12.9 million of availability, with $7.1 million of remaining availability net of $5.8 million borrowed.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Secured Overnight Financing Rate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Effective November 4, 2022, Orion, with Bank of America as lender, executed Amendment No. 1 to its Credit Agreement (“Amendment No. 1”). The primary purpose of Amendment No. 1 was to include the assets of the acquired subsidiaries, Stay-Lite and Voltrek, as secured collateral under the Credit Agreement. Accordingly, eligible assets of Stay-Lite and Voltrek are be included in the borrowing base calculation for the purpose of establishing the monthly borrowing availability under the Credit Agreement. Amendment No. 1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April 22, 2024, Orion, with Bank of America as lender, executed Amendment No. 2 to its Credit Agreement (“Amendment No. 2”). The primary purpose of Amendment No. 2 was to add a $3.525 million mortgage term loan facility to the Credit Agreement secured by Orion’s office headquarters property in Manitowoc, Wisconsin. Amendment No. 2 also broadened the definition of receivables to encompass government receivables as being eligible to be included in Orion’s borrowing base calculation for the purpose of establishing Orion monthly borrowing availability under the Credit Agreement. Quarterly mortgage term loan installments of $88,125 are due on the first day of each fiscal quarter.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October 30, 2024, Orion, with Bank of America as lender, executed Amendment No. 3 ("Amendment No. 3") to its Credit Agreement. The primary purpose of Amendment No. 3 was to extend the maturity date of the Credit Facility from December 29, 2025 to June 30, 2027.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Orion was in compliance with all debt covenants under the Credit Agreement.</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Subordinated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below table outlines the total subordinated debt, net of the costs incurred to issue the debt (dollars in thousands): </w:t>
      </w:r>
    </w:p>
    <w:p>
      <w:pPr>
        <w:pStyle w:val="TextBody"/>
        <w:bidi w:val="0"/>
        <w:spacing w:before="80" w:after="283"/>
        <w:jc w:val="both"/>
        <w:rPr/>
      </w:pPr>
      <w:r>
        <w:rPr/>
        <w:t> </w:t>
      </w:r>
    </w:p>
    <w:tbl>
      <w:tblPr>
        <w:tblW w:w="4565" w:type="dxa"/>
        <w:jc w:val="left"/>
        <w:tblInd w:w="0" w:type="dxa"/>
        <w:tblLayout w:type="fixed"/>
        <w:tblCellMar>
          <w:top w:w="28" w:type="dxa"/>
          <w:left w:w="28" w:type="dxa"/>
          <w:bottom w:w="28" w:type="dxa"/>
          <w:right w:w="28" w:type="dxa"/>
        </w:tblCellMar>
      </w:tblPr>
      <w:tblGrid>
        <w:gridCol w:w="1966"/>
        <w:gridCol w:w="146"/>
        <w:gridCol w:w="294"/>
        <w:gridCol w:w="801"/>
        <w:gridCol w:w="166"/>
        <w:gridCol w:w="146"/>
        <w:gridCol w:w="322"/>
        <w:gridCol w:w="533"/>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on June 23, 2025, Orion entered into the Term Sheet with Final Frontier, LLC (“Final Frontier”) and its owner Kathleen Connors, the prior owner of Voltrek, with respect to Orion’s remaining earnout obligations owed to Final Frontier pursuant to Orion's October 5, 2022 Voltrek Acquisition. Pursuant to the Term Sheet, on August 1, 2025, Orion paid Final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Frontier $500,000, and on September 2, 2025 Orion paid an additional $375,000, in full and final payment of its fiscal 2024 Voltrek Acquisition earnout obligations. Additionally, pursuant to the Term Sheet, on July 16, 2025, Orion issued $1.0 million in common stock of Orion, constituting 164,908 shares, to Kathleen Connors in partial payment of Orion’s fiscal 2025 and aggregate fiscal 2023 through fiscal 2025 Voltrek Acquisition earnout obligations. Orion agreed with Final Frontier to pay the remainder of the finally determined remaining amount of Orion’s fiscal 2025 Voltrek Acquisition earnout obligations (the “Remaining Earnout Amount”) pursuant to the Subordinated Loan Agreement. In addition, Orion and Final Frontier agreed to submit the final determination of its Remaining Earnout Amount to binding arbitration.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 Sheet, on September 30, 2025, Orion, as borrower, the Company Subsidiaries and Voltrek, as guarantors, and Final Frontier, as lender, entered into the Subordinated Loan Agreement, pursuant to which Final Frontier agreed to defer payment of the Remaining Earnout Amount by Orion pursuant to the terms of the Subordinated Loan Agreement. Orion’s obligation to pay the Remaining Earnout Amount is further evidenced by the Senior Subordinated Note. Orion agreed to pay monthly principal payments to Final Frontier on the Senior Subordinated Note of $25,000 beginning on January 15, 2026, which will increase to $50,000 on July 15, 2026 through the maturity date of July 15, 2027. Orion also agreed to pay interest monthly to Final Frontier at the annual rate of 7% beginning on July 15, 2025, subject to adjustment following the final determination in binding arbitration of the Remaining Earnout Amount, as set forth in more detail in the Subordinated Loan Agreement. Orion has the right to pay up to 20% of the remaining principal on the Senior Subordinated Note on the maturity date in shares of its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30, 2025, in order to secure Orion’s obligations to Final Frontier under the Subordinated Loan Agreement and Senior Subordinated Note, Orion, the Company Subsidiaries and Final Frontier entered into a security agreement (the “Security Agreement”), pursuant to which Orion and each Company Subsidiary granted Final Frontier a security interest in, and lien upon, substantially all of Orion’s and each Company Subsidiary’s assets, which security interest and lien are subordinated pursuant to the Subordination Agreement (as defined below) to the first priority security interest and lien of Bank of America.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on September 30, 2025, Orion, the Company Subsidiaries, Final Frontier and Bank of America, entered into a subordination and intercreditor agreement (the “Subordination Agreement”), pursuant to which Orion and the Company Subsidiaries’ obligations under the Subordinated Loan Agreement and Senior Subordinated Note and liens granted under the Security Agreement are subordinated to Orion’s senior credit facilities with Bank of America, as set forth in more detail in the Subordination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Orion’s entry into the Subordinated Loan Agreement, Senior Subordinated Note, Security Agreement and Subordination Agreement, on September 30, 2025, Orion, the Company Subsidiaries and Bank of America entered into an Amendment No. 4 to its Credit Agreement (“Amendment No. 4”), pursuant to which Bank of America consented to the subordinated liens granted by Orion and the Company Subsidiaries in favor of Final Frontier and consented to the Remaining Earnout Amount evidenced by the Subordinated Loan Agreement, subject to: (a) a maximum amount of up $3.0 million following the final determination in binding arbitration of the Remaining Earnout Amount or (b) such higher amount as consented to in writing by Bank of America promptly following its receipt of notice of the binding arbitration decision. In addition, Amendment No. 4 permits Orion to make the cash interest and principal payments to Final Frontier as set forth in the Subordinated Loan Agreement, subject to the terms set forth in Amendment No. 4 and the Subordination Agreement.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Voltrek Earnout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initial purchase price in the Voltrek Acquisition consisted of $5.0 million cash and $1.0 million of Orion's common stock. Orion also paid $3.0 million in initial earnout payments based on Voltrek's financial performance in fiscal 2023. Orion may owe additional material earnout payments based on Voltrek's financial performance in fiscal 2025.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final Voltrek Acquisition Remaining Earnout Amount determined to be owed by us could be in excess of our current accrued liability for such Remaining Earnout Amount and could materially adversely affect our future liquidity.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3" w:name="note_12___income_taxes"/>
      <w:bookmarkEnd w:id="23"/>
      <w:r>
        <w:rPr>
          <w:rFonts w:ascii="Times New Roman" w:hAnsi="Times New Roman"/>
          <w:b/>
          <w:color w:val="000000"/>
          <w:sz w:val="20"/>
        </w:rPr>
        <w:t>NOTE 13 — INCOME TAXES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income tax provision was determined by applying an estimated annual effective tax rate, based upon the facts and circumstances known, to book loss before income tax, adjusting for discrete items. Orion’s actual effective tax rate is adjusted each interim period, as appropriate, for changes in facts and circumstances. For the three months ended December 31, 2025 and 2024, Orion recorded income tax expense of $18 thousand and $1 thousand, respectively. For the nine months ended December 31, 2025 and 2024, Orion recorded income tax expense of $41 thousand and $44 thousand,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and March 31, 2025,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Orion’s balance of gross unrecognized tax benefits was approximately $0.3 million, all of which would reduce Orion’s effective tax rate if recognized.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classified the amounts recorded for uncertain tax benefits in the Condensed Consolidated Balance Sheets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80" w:after="283"/>
        <w:jc w:val="both"/>
        <w:rPr>
          <w:rFonts w:ascii="Times New Roman" w:hAnsi="Times New Roman"/>
          <w:sz w:val="20"/>
        </w:rPr>
      </w:pPr>
      <w:bookmarkStart w:id="24" w:name="note_13___commitments_and_contingencies"/>
      <w:bookmarkEnd w:id="24"/>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 </w:t>
      </w:r>
    </w:p>
    <w:p>
      <w:pPr>
        <w:pStyle w:val="TextBody"/>
        <w:bidi w:val="0"/>
        <w:spacing w:before="280" w:after="283"/>
        <w:jc w:val="left"/>
        <w:rPr>
          <w:rFonts w:ascii="Times New Roman" w:hAnsi="Times New Roman"/>
          <w:b/>
          <w:color w:val="000000"/>
          <w:sz w:val="20"/>
        </w:rPr>
      </w:pPr>
      <w:bookmarkStart w:id="25" w:name="note_14___shareholders__equity"/>
      <w:bookmarkEnd w:id="25"/>
      <w:r>
        <w:rPr>
          <w:rFonts w:ascii="Times New Roman" w:hAnsi="Times New Roman"/>
          <w:b/>
          <w:color w:val="000000"/>
          <w:sz w:val="20"/>
        </w:rPr>
        <w:t>NOTE 15 — SHAREHOLDERS’ EQUITY</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August 22, 2025, Orion enacted a 1-for-10 reverse stock split in order to remain compliant with the Minimum Bid Price Rule. The par value was not adjusted for the reverse stock split. All share and per share data have been adjusted for all periods presented to reflect the reverse stock split.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August 2010, Orion’s board of directors approved a non-compensatory employee stock purchase plan, or “ESPP”. In the three months ended December 31, 2025, Orion issued 10 shares under the ESPP plan at a closing market price of $15.38. In the three months ended December 31, 2024, Orion issued 54 shares under the ESPP plan at a closing market price of $8.00.</w:t>
      </w:r>
    </w:p>
    <w:p>
      <w:pPr>
        <w:pStyle w:val="TextBody"/>
        <w:bidi w:val="0"/>
        <w:spacing w:before="100" w:after="283"/>
        <w:jc w:val="both"/>
        <w:rPr>
          <w:rFonts w:ascii="Times New Roman" w:hAnsi="Times New Roman"/>
          <w:b/>
          <w:i/>
          <w:color w:val="000000"/>
          <w:sz w:val="20"/>
        </w:rPr>
      </w:pPr>
      <w:r>
        <w:rPr>
          <w:rFonts w:ascii="Times New Roman" w:hAnsi="Times New Roman"/>
          <w:b/>
          <w:i/>
          <w:color w:val="000000"/>
          <w:sz w:val="20"/>
        </w:rPr>
        <w:t>Sale of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Orion filed a shelf registration statement with the Securities and Exchange Commission. Under the shelf registration statement, Orion currently has the flexibility to publicly offer and sell from time to time up to $100 million of debt and/or equity securities, subject to regulatory limitations. The filing of the shelf registration statement may help facilitate Orion’s ability to raise public equity or debt capital to expand existing businesses, fund potential acquisitions, invest in other growth opportunities, repay existing debt, or for other general corporate purposes. See Note 19 - Subsequent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16 — STOCK OPTIONS AND RESTRICTED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Orion’s 2023 annual meeting of shareholders, Orion’s shareholders approved the Orion Energy Systems, Inc. 2016 Omnibus Incentive Plan, as amended and restated (the “Amended 2016 Plan”). The Amended 2016 Plan increased the number of shares of Orion’s common stock available for issuance under the Amended 2016 Plan from 350,000 shares to 600,000 shares (an increase of 250,000 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2016 Plan also permits accelerated vesting in the event of certain changes of control of Orion as well as under other special circumstances. Certain non-employee directors have from time to time elected to receive stock awards in lieu of cash compensation pursuant to elections made under Orion’s non-employee director compensation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third quarter of fiscal 2026, it was determined that the performance obligations required for the performance-based shares granted in August 2023 were not likely to be achieved. As such, the approximately $244 thousand expense related to the 33,096 shares was reversed.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amounts of Orion's consolidated stock-based compensation were recorded (dollars in thousands):</w:t>
      </w:r>
    </w:p>
    <w:p>
      <w:pPr>
        <w:pStyle w:val="TextBody"/>
        <w:bidi w:val="0"/>
        <w:jc w:val="both"/>
        <w:rPr/>
      </w:pPr>
      <w:r>
        <w:rPr/>
        <w:t> </w:t>
      </w:r>
    </w:p>
    <w:tbl>
      <w:tblPr>
        <w:tblW w:w="7225" w:type="dxa"/>
        <w:jc w:val="left"/>
        <w:tblInd w:w="0" w:type="dxa"/>
        <w:tblLayout w:type="fixed"/>
        <w:tblCellMar>
          <w:top w:w="28" w:type="dxa"/>
          <w:left w:w="28" w:type="dxa"/>
          <w:bottom w:w="28" w:type="dxa"/>
          <w:right w:w="28" w:type="dxa"/>
        </w:tblCellMar>
      </w:tblPr>
      <w:tblGrid>
        <w:gridCol w:w="2311"/>
        <w:gridCol w:w="146"/>
        <w:gridCol w:w="301"/>
        <w:gridCol w:w="538"/>
        <w:gridCol w:w="237"/>
        <w:gridCol w:w="208"/>
        <w:gridCol w:w="301"/>
        <w:gridCol w:w="602"/>
        <w:gridCol w:w="146"/>
        <w:gridCol w:w="146"/>
        <w:gridCol w:w="284"/>
        <w:gridCol w:w="568"/>
        <w:gridCol w:w="197"/>
        <w:gridCol w:w="197"/>
        <w:gridCol w:w="284"/>
        <w:gridCol w:w="56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with respect to performance-vesting restricted stock and time vesting-restricted stock activity:</w:t>
      </w:r>
    </w:p>
    <w:p>
      <w:pPr>
        <w:pStyle w:val="TextBody"/>
        <w:bidi w:val="0"/>
        <w:jc w:val="both"/>
        <w:rPr/>
      </w:pPr>
      <w:r>
        <w:rPr/>
        <w:t> </w:t>
      </w:r>
    </w:p>
    <w:tbl>
      <w:tblPr>
        <w:tblW w:w="8628" w:type="dxa"/>
        <w:jc w:val="left"/>
        <w:tblInd w:w="0" w:type="dxa"/>
        <w:tblLayout w:type="fixed"/>
        <w:tblCellMar>
          <w:top w:w="28" w:type="dxa"/>
          <w:left w:w="28" w:type="dxa"/>
          <w:bottom w:w="28" w:type="dxa"/>
          <w:right w:w="28" w:type="dxa"/>
        </w:tblCellMar>
      </w:tblPr>
      <w:tblGrid>
        <w:gridCol w:w="3481"/>
        <w:gridCol w:w="146"/>
        <w:gridCol w:w="146"/>
        <w:gridCol w:w="781"/>
        <w:gridCol w:w="166"/>
        <w:gridCol w:w="146"/>
        <w:gridCol w:w="275"/>
        <w:gridCol w:w="745"/>
        <w:gridCol w:w="146"/>
        <w:gridCol w:w="146"/>
        <w:gridCol w:w="146"/>
        <w:gridCol w:w="781"/>
        <w:gridCol w:w="166"/>
        <w:gridCol w:w="146"/>
        <w:gridCol w:w="275"/>
        <w:gridCol w:w="745"/>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summarized information with respect to performance-based option and time-based option activity:</w:t>
      </w:r>
    </w:p>
    <w:p>
      <w:pPr>
        <w:pStyle w:val="TextBody"/>
        <w:bidi w:val="0"/>
        <w:jc w:val="both"/>
        <w:rPr/>
      </w:pPr>
      <w:r>
        <w:rPr/>
        <w:t> </w:t>
      </w:r>
    </w:p>
    <w:tbl>
      <w:tblPr>
        <w:tblW w:w="8290" w:type="dxa"/>
        <w:jc w:val="left"/>
        <w:tblInd w:w="0" w:type="dxa"/>
        <w:tblLayout w:type="fixed"/>
        <w:tblCellMar>
          <w:top w:w="28" w:type="dxa"/>
          <w:left w:w="28" w:type="dxa"/>
          <w:bottom w:w="28" w:type="dxa"/>
          <w:right w:w="28" w:type="dxa"/>
        </w:tblCellMar>
      </w:tblPr>
      <w:tblGrid>
        <w:gridCol w:w="3601"/>
        <w:gridCol w:w="146"/>
        <w:gridCol w:w="146"/>
        <w:gridCol w:w="676"/>
        <w:gridCol w:w="146"/>
        <w:gridCol w:w="146"/>
        <w:gridCol w:w="285"/>
        <w:gridCol w:w="631"/>
        <w:gridCol w:w="146"/>
        <w:gridCol w:w="146"/>
        <w:gridCol w:w="146"/>
        <w:gridCol w:w="676"/>
        <w:gridCol w:w="146"/>
        <w:gridCol w:w="146"/>
        <w:gridCol w:w="285"/>
        <w:gridCol w:w="631"/>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amount of deferred stock-based compensation expense to be recognized, over a remaining period of 1.8 years, was approximately $1.0 million.</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17 — SEGMENT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Orion evaluates and reports on the business using three segments: lighting segment, maintenance segment and electric vehicle charging segment (“EV segment”).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EV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 segment offers leading electric vehicle charging expertise, sells and installs sourced electric vehicle charging stations with related software subscriptions and renewals and provides EV turnkey installation solutions with ongoing support to all commercial verticals.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Corporate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Corporate and other is comprised of operating expenses not allocated to Orion’s segments and adjustments to reconcile to consolidated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138" w:type="dxa"/>
        <w:jc w:val="left"/>
        <w:tblInd w:w="0" w:type="dxa"/>
        <w:tblLayout w:type="fixed"/>
        <w:tblCellMar>
          <w:top w:w="28" w:type="dxa"/>
          <w:left w:w="28" w:type="dxa"/>
          <w:bottom w:w="28" w:type="dxa"/>
          <w:right w:w="28" w:type="dxa"/>
        </w:tblCellMar>
      </w:tblPr>
      <w:tblGrid>
        <w:gridCol w:w="3556"/>
        <w:gridCol w:w="211"/>
        <w:gridCol w:w="676"/>
        <w:gridCol w:w="166"/>
        <w:gridCol w:w="324"/>
        <w:gridCol w:w="877"/>
        <w:gridCol w:w="146"/>
        <w:gridCol w:w="211"/>
        <w:gridCol w:w="571"/>
        <w:gridCol w:w="146"/>
        <w:gridCol w:w="576"/>
        <w:gridCol w:w="1314"/>
        <w:gridCol w:w="166"/>
        <w:gridCol w:w="211"/>
        <w:gridCol w:w="676"/>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December 31, 2025</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10198" w:type="dxa"/>
        <w:jc w:val="left"/>
        <w:tblInd w:w="0" w:type="dxa"/>
        <w:tblLayout w:type="fixed"/>
        <w:tblCellMar>
          <w:top w:w="28" w:type="dxa"/>
          <w:left w:w="28" w:type="dxa"/>
          <w:bottom w:w="28" w:type="dxa"/>
          <w:right w:w="28" w:type="dxa"/>
        </w:tblCellMar>
      </w:tblPr>
      <w:tblGrid>
        <w:gridCol w:w="3556"/>
        <w:gridCol w:w="211"/>
        <w:gridCol w:w="676"/>
        <w:gridCol w:w="146"/>
        <w:gridCol w:w="324"/>
        <w:gridCol w:w="877"/>
        <w:gridCol w:w="146"/>
        <w:gridCol w:w="211"/>
        <w:gridCol w:w="631"/>
        <w:gridCol w:w="166"/>
        <w:gridCol w:w="576"/>
        <w:gridCol w:w="1314"/>
        <w:gridCol w:w="166"/>
        <w:gridCol w:w="211"/>
        <w:gridCol w:w="676"/>
        <w:gridCol w:w="311"/>
      </w:tblGrid>
      <w:tr>
        <w:trPr/>
        <w:tc>
          <w:tcPr>
            <w:tcW w:w="3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December 31, 2024</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23" w:type="dxa"/>
        <w:jc w:val="left"/>
        <w:tblInd w:w="0" w:type="dxa"/>
        <w:tblLayout w:type="fixed"/>
        <w:tblCellMar>
          <w:top w:w="28" w:type="dxa"/>
          <w:left w:w="28" w:type="dxa"/>
          <w:bottom w:w="28" w:type="dxa"/>
          <w:right w:w="28" w:type="dxa"/>
        </w:tblCellMar>
      </w:tblPr>
      <w:tblGrid>
        <w:gridCol w:w="3436"/>
        <w:gridCol w:w="211"/>
        <w:gridCol w:w="676"/>
        <w:gridCol w:w="166"/>
        <w:gridCol w:w="285"/>
        <w:gridCol w:w="916"/>
        <w:gridCol w:w="146"/>
        <w:gridCol w:w="211"/>
        <w:gridCol w:w="676"/>
        <w:gridCol w:w="146"/>
        <w:gridCol w:w="473"/>
        <w:gridCol w:w="1417"/>
        <w:gridCol w:w="166"/>
        <w:gridCol w:w="211"/>
        <w:gridCol w:w="676"/>
        <w:gridCol w:w="311"/>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December 31, 2025</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tbl>
      <w:tblPr>
        <w:tblW w:w="10163" w:type="dxa"/>
        <w:jc w:val="left"/>
        <w:tblInd w:w="0" w:type="dxa"/>
        <w:tblLayout w:type="fixed"/>
        <w:tblCellMar>
          <w:top w:w="28" w:type="dxa"/>
          <w:left w:w="28" w:type="dxa"/>
          <w:bottom w:w="28" w:type="dxa"/>
          <w:right w:w="28" w:type="dxa"/>
        </w:tblCellMar>
      </w:tblPr>
      <w:tblGrid>
        <w:gridCol w:w="3436"/>
        <w:gridCol w:w="211"/>
        <w:gridCol w:w="676"/>
        <w:gridCol w:w="166"/>
        <w:gridCol w:w="285"/>
        <w:gridCol w:w="916"/>
        <w:gridCol w:w="166"/>
        <w:gridCol w:w="211"/>
        <w:gridCol w:w="676"/>
        <w:gridCol w:w="166"/>
        <w:gridCol w:w="473"/>
        <w:gridCol w:w="1417"/>
        <w:gridCol w:w="166"/>
        <w:gridCol w:w="211"/>
        <w:gridCol w:w="676"/>
        <w:gridCol w:w="311"/>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December 31, 2024</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(dollars in thousands)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Lighting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Maintenance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issue cost</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26" w:type="dxa"/>
        <w:jc w:val="left"/>
        <w:tblInd w:w="0" w:type="dxa"/>
        <w:tblLayout w:type="fixed"/>
        <w:tblCellMar>
          <w:top w:w="28" w:type="dxa"/>
          <w:left w:w="28" w:type="dxa"/>
          <w:bottom w:w="28" w:type="dxa"/>
          <w:right w:w="28" w:type="dxa"/>
        </w:tblCellMar>
      </w:tblPr>
      <w:tblGrid>
        <w:gridCol w:w="1996"/>
        <w:gridCol w:w="146"/>
        <w:gridCol w:w="249"/>
        <w:gridCol w:w="678"/>
        <w:gridCol w:w="173"/>
        <w:gridCol w:w="173"/>
        <w:gridCol w:w="249"/>
        <w:gridCol w:w="678"/>
        <w:gridCol w:w="173"/>
        <w:gridCol w:w="173"/>
        <w:gridCol w:w="385"/>
        <w:gridCol w:w="632"/>
        <w:gridCol w:w="302"/>
        <w:gridCol w:w="266"/>
        <w:gridCol w:w="385"/>
        <w:gridCol w:w="577"/>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Depreciation and Amortization</w:t>
            </w:r>
          </w:p>
        </w:tc>
        <w:tc>
          <w:tcPr>
            <w:tcW w:w="25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Expenditures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5385" w:type="dxa"/>
        <w:jc w:val="left"/>
        <w:tblInd w:w="0" w:type="dxa"/>
        <w:tblLayout w:type="fixed"/>
        <w:tblCellMar>
          <w:top w:w="28" w:type="dxa"/>
          <w:left w:w="28" w:type="dxa"/>
          <w:bottom w:w="28" w:type="dxa"/>
          <w:right w:w="28" w:type="dxa"/>
        </w:tblCellMar>
      </w:tblPr>
      <w:tblGrid>
        <w:gridCol w:w="1996"/>
        <w:gridCol w:w="146"/>
        <w:gridCol w:w="357"/>
        <w:gridCol w:w="1143"/>
        <w:gridCol w:w="146"/>
        <w:gridCol w:w="146"/>
        <w:gridCol w:w="299"/>
        <w:gridCol w:w="96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Lighting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Maintenance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EV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18 — RESTRUCTURING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part of Orion's restructuring effort in fiscal 2025, Orion entered into certain retention bonus agreements with certain key employees. The remainder of those retention bonuses were paid in the third quarter of fiscal 2025 and are not anticipated to recur. In addition, an inventory write-off was recognized in the first quarter of fiscal 2025 for inventory related to a customer Orion no longer does business with due to the restructuring, along with a lease breakage fee that occurred in the second quarter of fiscal 2025 due to the closing of the Pewaukee office. Orion's restructuring expense for the three and nine months ended December 31, 2025 and 2024 is reflected within its Condensed Consolidated Statement of Operations as follows (dollars in thousands):</w:t>
      </w:r>
    </w:p>
    <w:p>
      <w:pPr>
        <w:pStyle w:val="TextBody"/>
        <w:bidi w:val="0"/>
        <w:jc w:val="both"/>
        <w:rPr/>
      </w:pPr>
      <w:r>
        <w:rPr/>
        <w:t> </w:t>
      </w:r>
    </w:p>
    <w:tbl>
      <w:tblPr>
        <w:tblW w:w="7227" w:type="dxa"/>
        <w:jc w:val="left"/>
        <w:tblInd w:w="0" w:type="dxa"/>
        <w:tblLayout w:type="fixed"/>
        <w:tblCellMar>
          <w:top w:w="28" w:type="dxa"/>
          <w:left w:w="28" w:type="dxa"/>
          <w:bottom w:w="28" w:type="dxa"/>
          <w:right w:w="28" w:type="dxa"/>
        </w:tblCellMar>
      </w:tblPr>
      <w:tblGrid>
        <w:gridCol w:w="2311"/>
        <w:gridCol w:w="146"/>
        <w:gridCol w:w="328"/>
        <w:gridCol w:w="539"/>
        <w:gridCol w:w="227"/>
        <w:gridCol w:w="227"/>
        <w:gridCol w:w="328"/>
        <w:gridCol w:w="539"/>
        <w:gridCol w:w="146"/>
        <w:gridCol w:w="146"/>
        <w:gridCol w:w="299"/>
        <w:gridCol w:w="490"/>
        <w:gridCol w:w="207"/>
        <w:gridCol w:w="207"/>
        <w:gridCol w:w="299"/>
        <w:gridCol w:w="59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Total restructuring expense by segment was recorded as follows (dollars in thousands):</w:t>
      </w:r>
    </w:p>
    <w:tbl>
      <w:tblPr>
        <w:tblW w:w="6787" w:type="dxa"/>
        <w:jc w:val="left"/>
        <w:tblInd w:w="0" w:type="dxa"/>
        <w:tblLayout w:type="fixed"/>
        <w:tblCellMar>
          <w:top w:w="28" w:type="dxa"/>
          <w:left w:w="28" w:type="dxa"/>
          <w:bottom w:w="28" w:type="dxa"/>
          <w:right w:w="28" w:type="dxa"/>
        </w:tblCellMar>
      </w:tblPr>
      <w:tblGrid>
        <w:gridCol w:w="1771"/>
        <w:gridCol w:w="146"/>
        <w:gridCol w:w="328"/>
        <w:gridCol w:w="539"/>
        <w:gridCol w:w="227"/>
        <w:gridCol w:w="227"/>
        <w:gridCol w:w="328"/>
        <w:gridCol w:w="539"/>
        <w:gridCol w:w="146"/>
        <w:gridCol w:w="146"/>
        <w:gridCol w:w="299"/>
        <w:gridCol w:w="490"/>
        <w:gridCol w:w="207"/>
        <w:gridCol w:w="207"/>
        <w:gridCol w:w="299"/>
        <w:gridCol w:w="597"/>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b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19 — SUBSEQUENT EVENTS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February 2, 2026, Orion issued 500,000 shares of its common stock at a price to the public of $14.00 per share pursuant to a firmly underwritten public offering. Net proceeds from the offering of approximately $6.4 million will be used to reduce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amounts outstanding under Orion's Credit Agreement, with the remainder to be used for working capital and general corporate purposes. </w:t>
      </w:r>
    </w:p>
    <w:p>
      <w:pPr>
        <w:pStyle w:val="TextBody"/>
        <w:bidi w:val="0"/>
        <w:spacing w:before="18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item_2__management_s_discussion_and_anal"/>
      <w:bookmarkEnd w:id="26"/>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2025.</w:t>
      </w:r>
    </w:p>
    <w:p>
      <w:pPr>
        <w:pStyle w:val="TextBody"/>
        <w:bidi w:val="0"/>
        <w:spacing w:before="280" w:after="283"/>
        <w:jc w:val="both"/>
        <w:rPr>
          <w:rFonts w:ascii="Times New Roman" w:hAnsi="Times New Roman"/>
          <w:b/>
          <w:color w:val="000000"/>
          <w:sz w:val="20"/>
        </w:rPr>
      </w:pPr>
      <w:bookmarkStart w:id="27" w:name="cautionary_note_regarding_forward_lookin"/>
      <w:bookmarkEnd w:id="27"/>
      <w:r>
        <w:rPr>
          <w:rFonts w:ascii="Times New Roman" w:hAnsi="Times New Roman"/>
          <w:b/>
          <w:color w:val="000000"/>
          <w:sz w:val="20"/>
        </w:rPr>
        <w:t>Cautionary Note Regarding 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2025.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283"/>
        <w:jc w:val="both"/>
        <w:rPr>
          <w:rFonts w:ascii="Times New Roman" w:hAnsi="Times New Roman"/>
          <w:b/>
          <w:color w:val="000000"/>
          <w:sz w:val="20"/>
        </w:rPr>
      </w:pPr>
      <w:bookmarkStart w:id="28" w:name="overview"/>
      <w:bookmarkEnd w:id="28"/>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segments: commercial office and retail, area lighting, industrial applications and government, although we do sell and install products into other markets. Our services consist of turnkey installation and system maintenance. Virtually all of our sales occur within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principal lighting customers include large national account end-users, electrical distributors, electrical contractors and energy service companies (“ESCOs”). Currently, a significant amount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on January 1, 2022, which further expanded our maintenance services capabilities. On October 5, 2022, we acquired Voltrek, LLC ("Voltrek"), which leveraged our project management and maintenance expertise in the EV sector.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 market for LED lighting products and related controls continues to grow. Due to their size and flexibility in application, we also believe that LED lighting systems can address opportunities for retrofit applications that cannot be satisfied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other lighting technologies. Our LED technologies have become the primary component of our revenue as we continue to strive to be a leader in the LED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intend to pursue growth organically.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typically sell our lighting systems in replacement of our customers’ lighting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fiscal year ends on March 31. We refer to our current fiscal year which ends on March 31, 2026 as "fiscal 2026". We refer to our most recently completed fiscal year, which ended on March 31, 2025, as “fiscal 2025”, and our prior fiscal year which ended on March 31, 2024 as "fiscal 2024". Our fiscal first quarter of each fiscal year ends on June 30, our fiscal second quarter ends on September 30, our fiscal third quarter ends on December 31, and our fiscal fourth quarter ends on March 31.</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80" w:after="283"/>
        <w:jc w:val="both"/>
        <w:rPr>
          <w:rFonts w:ascii="Times New Roman" w:hAnsi="Times New Roman"/>
          <w:color w:val="000000"/>
          <w:sz w:val="20"/>
        </w:rPr>
      </w:pPr>
      <w:r>
        <w:rPr>
          <w:rFonts w:ascii="Times New Roman" w:hAnsi="Times New Roman"/>
          <w:color w:val="000000"/>
          <w:sz w:val="20"/>
        </w:rPr>
        <w:t>On August 22, 2025, Orion enacted a 1-for-10 reverse stock split on all common stock in order to remain compliant with the Minimum Bid Price Rule required by Nasdaq. By regaining compliance with the Minimum Bid Price Rule, the Company will continue to be listed on the Nasdaq Capital Market.</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Voltrek Earnout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on October 5, 2022, we acquired all of the outstanding membership interest of Voltrek, a leading electric vehicle charging company that provides turnkey installation solutions with ongoing support to all commercial verticals. In connection with such acquisition, we may owe additional material earnout payments based on Voltrek's financial performance in fiscal 2025 as described below. The related estimated liability of approximately $1.4 million of such remaining earnout is recorded as subordinated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on June 23, 2025, we entered into the Term Sheet with respect to our remaining earnout obligations owed to the prior owner of Voltrek. Pursuant to the Term Sheet, on August 1, 2025, we paid the prior owner of Voltrek $500,000, and on September 2, 2025 we paid an additional $375,000, in full and final payment of our fiscal 2024 Voltrek Acquisition earnout obligations. Additionally, pursuant to the Term Sheet, on July 16, 2025, we issued $1.0 million of our common stock, constituting 164,908 shares, to the prior owner of Voltrek in partial payment of our fiscal 2025 and aggregate fiscal 2023 through fiscal 2025 earnout obligations. We agreed with the prior owner of Voltrek to pay the remainder of the finally determined remaining amount of our fiscal 2025 earnout obligations ("Remaining Earnout Amount") pursuant to the Subordinated Loan Agreement (as defined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below). In addition, we and the prior owner of Voltrek agreed to submit the final determination of the Remaining Earnout Amount to binding arbitration.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 Sheet, on September 30, 2025, we and the prior owner of Voltrek, entered into the Subordinated Loan Agreement ("Subordinated Loan Agreement"), pursuant to which the prior owner of Voltrek agreed to defer our payment of the Remaining Earnout Amount pursuant to the terms of the Subordinated Loan Agreement and related Senior Subordinated Note. We agreed to pay monthly principal payments to the prior owner of Voltrek on the Senior Subordinated Note of $25,000 beginning on January 15, 2026, which will increase to $50,000 on July 15, 2026 through the maturity date of July 15, 2027. We also agreed to pay interest monthly to the prior owner of Voltrek at the annual rate of 7% beginning on July 15, 2025, subject to adjustment following the final determination in binding arbitration of the Remaining Earnout Amount. We have the right to pay up to 20% of the remaining principal on the Senior Subordinated Note on the maturity date in shares of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our entry into the Subordinated Loan Agreement, on September 30, 2025, we and Bank of America entered into an amendment to our credit agreement, pursuant to which Bank of America consented to the subordinated liens granted by us in favor of the prior owner of Voltrek and consented to the Remaining Earnout Amount evidenced by the Subordinated Loan Agreement, subject to: (a) a maximum amount of up $3.0 million following the final determination in binding arbitration of the Remaining Earnout Amount or (b) such higher amount as consented to in writing by Bank of America promptly following its receipt of notice of the binding arbitration decision.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final Remaining Earnout Amount determined to be owed by us could be in excess of our current accrued liability for such Remaining Earnout Amount and could materially adversely affect our future liquidity.</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Significant New Exterior Lighting Project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been awarded a new large-scale LED exterior lighting project with a leading international retail chain, anticipated to generate approximately $14 million to $15 million of revenue. The large-scale project is expected to begin in our fourth quarter of fiscal 2026, with the majority of the project expected to be completed by the end of July 2026. This new order follows our October 31, 2025 announcement of a three-year renewal of a major LED lighting maintenance contract for this customer, with the renewal having an estimated total revenue potential of between $42 million to $45 million. We will continue to maintain LED lighting systems for more than 2,000 stores operated by this retailer. There is an additional potential for significant expansion of this customer relationship in our fiscal 2027.</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Ongoing Cost Cutting Initiatives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Over the past two fiscal years, we have been successful in reducing our annual operating expenses by approximately $6.5 million. This cost cutting and overhead reduction initiative has resulted in improved gross margins and profitability.</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Public Stock Offering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February 2, 2026, we issued 500,000 shares of our common stock at a price to the public of $14.00 per share pursuant to a firmly underwritten public offering. Net proceeds form the offering of approximately $6.4 million will be used to reduce amounts outstanding under our credit agreement, with the remainder to be used for working capital and general corporate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Three Months Ended December 31, 2025 versus Three Months Ended December 31,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8854"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11"/>
        <w:gridCol w:w="676"/>
        <w:gridCol w:w="166"/>
        <w:gridCol w:w="146"/>
        <w:gridCol w:w="146"/>
        <w:gridCol w:w="676"/>
        <w:gridCol w:w="331"/>
        <w:gridCol w:w="146"/>
        <w:gridCol w:w="146"/>
        <w:gridCol w:w="575"/>
        <w:gridCol w:w="331"/>
        <w:gridCol w:w="146"/>
        <w:gridCol w:w="146"/>
        <w:gridCol w:w="575"/>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increased 2.3%, or $0.3 million, for the third quarter of fiscal 2026 versus the third quarter of fiscal 2025. Service revenue increased 22.3%, or $1.2 million, for the third quarter of fiscal 2026 versus the third quarter of fiscal 2025. The resulting increase in total revenue was due to increased revenue in the EV segment due to higher volume. Cost of product revenue increased by 4.6%, or $0.4 million, in the third quarter of fiscal 2026 versus the comparable period in fiscal 2025. Cost of service revenue increased by 7.1%, or $0.3 million, in the third quarter of fiscal 2026 versus the comparable period in fiscal 2025. Gross margin increased from 29.4% of revenue in the third quarter of fiscal 2025 to 30.9% of revenue in the third quarter of fiscal 2026, due primarily to increases in the EV and maintenance segments.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12.2%, or $0.5 million, in the third quarter of fiscal 2026 compared to the third quarter of fiscal 2025. This comparative decrease was primarily due to no Voltrek earnout expense being recognized in fiscal 2026 (fiscal 2025 was the final year for the Voltrek earnout), along with decreased depreciation and amortization and decreased wages and benefits as a result of the restructuring that took place in fiscal 2025. These decreases were partially offset by increased legal fees for multiple initiatives in the current year along with increased consulting fees as a result of the ERP system implementation.</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12.6%, or $0.4 million, in the third quarter of fiscal 2026 compared to the third quarter of fiscal 2025. This comparative decrease was primarily due to the decreased wages and benefits resulting from the restructuring that took place in fiscal 2025, which was partially offset by increased commissions.</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17.4%, or $0.1 million, in the third quarter of fiscal 2026 compared to the third quarter of fiscal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9" w:name="engineered_systems_segment"/>
      <w:bookmarkEnd w:id="29"/>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p>
      <w:pPr>
        <w:pStyle w:val="TextBody"/>
        <w:bidi w:val="0"/>
        <w:jc w:val="left"/>
        <w:rPr/>
      </w:pPr>
      <w:r>
        <w:rPr/>
        <w:t> </w:t>
      </w:r>
    </w:p>
    <w:tbl>
      <w:tblPr>
        <w:tblW w:w="6023" w:type="dxa"/>
        <w:jc w:val="left"/>
        <w:tblInd w:w="0" w:type="dxa"/>
        <w:tblLayout w:type="fixed"/>
        <w:tblCellMar>
          <w:top w:w="28" w:type="dxa"/>
          <w:left w:w="28" w:type="dxa"/>
          <w:bottom w:w="28" w:type="dxa"/>
          <w:right w:w="28" w:type="dxa"/>
        </w:tblCellMar>
      </w:tblPr>
      <w:tblGrid>
        <w:gridCol w:w="2056"/>
        <w:gridCol w:w="146"/>
        <w:gridCol w:w="211"/>
        <w:gridCol w:w="676"/>
        <w:gridCol w:w="331"/>
        <w:gridCol w:w="146"/>
        <w:gridCol w:w="211"/>
        <w:gridCol w:w="676"/>
        <w:gridCol w:w="271"/>
        <w:gridCol w:w="146"/>
        <w:gridCol w:w="146"/>
        <w:gridCol w:w="631"/>
        <w:gridCol w:w="37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Lighting segment revenue in the third quarter of fiscal 2026 decreased by 8.6%, or $1.1 million, compared to the third quarter of fiscal 2025. The decrease was primarily related to lower turnkey projects. The change from operating income to operating loss in this segment was primarily due to the reduction in revenue.</w:t>
      </w:r>
    </w:p>
    <w:p>
      <w:pPr>
        <w:pStyle w:val="TextBody"/>
        <w:bidi w:val="0"/>
        <w:spacing w:before="280" w:after="283"/>
        <w:jc w:val="both"/>
        <w:rPr>
          <w:rFonts w:ascii="Times New Roman" w:hAnsi="Times New Roman"/>
          <w:b/>
          <w:color w:val="000000"/>
          <w:sz w:val="20"/>
        </w:rPr>
      </w:pPr>
      <w:bookmarkStart w:id="30" w:name="distribution_services_segment"/>
      <w:bookmarkEnd w:id="30"/>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p>
      <w:pPr>
        <w:pStyle w:val="TextBody"/>
        <w:bidi w:val="0"/>
        <w:jc w:val="left"/>
        <w:rPr/>
      </w:pPr>
      <w:r>
        <w:rPr/>
        <w:t> </w:t>
      </w:r>
    </w:p>
    <w:tbl>
      <w:tblPr>
        <w:tblW w:w="5577"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571"/>
        <w:gridCol w:w="271"/>
        <w:gridCol w:w="146"/>
        <w:gridCol w:w="157"/>
        <w:gridCol w:w="504"/>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third quarter of fiscal 2026 increased by 11.0%, or $0.4 million, compared to the third quarter of fiscal 2025 primarily due to increased work orders from our major customer. Operating income in this segment increased as a result of an increase in revenues and product sales directly to customer contractors.</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EV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753" w:type="dxa"/>
        <w:jc w:val="left"/>
        <w:tblInd w:w="0" w:type="dxa"/>
        <w:tblLayout w:type="fixed"/>
        <w:tblCellMar>
          <w:top w:w="28" w:type="dxa"/>
          <w:left w:w="28" w:type="dxa"/>
          <w:bottom w:w="28" w:type="dxa"/>
          <w:right w:w="28" w:type="dxa"/>
        </w:tblCellMar>
      </w:tblPr>
      <w:tblGrid>
        <w:gridCol w:w="2056"/>
        <w:gridCol w:w="146"/>
        <w:gridCol w:w="211"/>
        <w:gridCol w:w="571"/>
        <w:gridCol w:w="271"/>
        <w:gridCol w:w="146"/>
        <w:gridCol w:w="211"/>
        <w:gridCol w:w="631"/>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third quarter of fiscal 2026 increased by 90.6%, or $2.2 million, compared to the third quarter of fiscal 2025. The increase in revenue was primarily due to increased projects from a major customer. Operating income increased $1.9 million in the third quarter of fiscal 2026 due to increased project margins along with increased revenues.</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Nine Months Ended December 31, 2025 versus Nine Months Ended December 31, 2024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8704"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11"/>
        <w:gridCol w:w="676"/>
        <w:gridCol w:w="166"/>
        <w:gridCol w:w="146"/>
        <w:gridCol w:w="146"/>
        <w:gridCol w:w="526"/>
        <w:gridCol w:w="331"/>
        <w:gridCol w:w="146"/>
        <w:gridCol w:w="146"/>
        <w:gridCol w:w="575"/>
        <w:gridCol w:w="331"/>
        <w:gridCol w:w="146"/>
        <w:gridCol w:w="146"/>
        <w:gridCol w:w="575"/>
        <w:gridCol w:w="37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increased 3.9%, or $1.5 million, for the first nine months of fiscal 2026 versus the first nine months of fiscal 2025. Service revenue increased 1.1%, or $0.2 million, for the first nine months of fiscal 2026 versus the first nine months of fiscal 2025. The resulting increase in total revenue was due to increased revenue in the maintenance and EV segments, which was partially offset by a decrease in revenue in the lighting segment. Cost of product revenue decreased by 2.1%, or $0.6 million, in the first nine months of fiscal 2026 versus the comparable period in fiscal 2025. Cost of service revenue decreased by 16.7%, or $2.9 million, in the first nine months of fiscal 2026 versus the comparable period in fiscal 2025, primarily due to the restructuring efforts made in fiscal 2025. Gross margin increased from 24.6% of revenue in the first nine months of fiscal 2025 to 30.7% in the first nine months of fiscal 2026, due primarily to increased margins in the EV and maintenance segments.</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11.4%, or $1.5 million, in the first nine months of fiscal 2026 compared to the first nine months of fiscal 2025. This comparative decrease was primarily due to savings of $1.4 million due to no Voltrek earnout expense being recognized in fiscal 2026 (fiscal 2025 was the final year for the Voltrek earnout), along with decreased wages and benefits as a result of the restructuring that took place in fiscal 2025. These decreases in fiscal 2026 were partially offset by increases in investor relations and legal fees related to the reverse stock split.</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15.7%, or $1.4 million, in the first nine months of fiscal 2026 compared to the first nine months of fiscal 2025. This comparative decrease was primarily due to decreased wages and benefits as a result of the restructuring that took place in fiscal 2025, along with reversals of bad debt due to payments coming in on previously written off receivables.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19.5%, or $0.2 million, in the first nine months of fiscal 2026 compared to the third quarter of fiscal 2025.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tbl>
      <w:tblPr>
        <w:tblW w:w="5468"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Lighting segment revenue in the first nine months of fiscal 2026 decreased by 3.2%, or $1.2 million, compared to the first nine months of fiscal 2025. The decrease was primarily related to lower turnkey projects. The decrease in operating loss in this segment was a result of a decrease in cost of sales along with lower operating expenses.</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tbl>
      <w:tblPr>
        <w:tblW w:w="5903" w:type="dxa"/>
        <w:jc w:val="left"/>
        <w:tblInd w:w="0" w:type="dxa"/>
        <w:tblLayout w:type="fixed"/>
        <w:tblCellMar>
          <w:top w:w="28" w:type="dxa"/>
          <w:left w:w="28" w:type="dxa"/>
          <w:bottom w:w="28" w:type="dxa"/>
          <w:right w:w="28" w:type="dxa"/>
        </w:tblCellMar>
      </w:tblPr>
      <w:tblGrid>
        <w:gridCol w:w="2056"/>
        <w:gridCol w:w="146"/>
        <w:gridCol w:w="211"/>
        <w:gridCol w:w="676"/>
        <w:gridCol w:w="271"/>
        <w:gridCol w:w="146"/>
        <w:gridCol w:w="211"/>
        <w:gridCol w:w="676"/>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first nine months of fiscal 2026 increased by 16.3%, or $1.8 million, compared to the first nine months of fiscal 2025 primarily due to increased work orders from our major customer. Operating income in this segment increased as a result of an increase in revenues and product sales directly to customer contractors, along with a decrease in cost of sales and operating expenses as a result of restructuring efforts in fiscal 2025.</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EV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903" w:type="dxa"/>
        <w:jc w:val="left"/>
        <w:tblInd w:w="0" w:type="dxa"/>
        <w:tblLayout w:type="fixed"/>
        <w:tblCellMar>
          <w:top w:w="28" w:type="dxa"/>
          <w:left w:w="28" w:type="dxa"/>
          <w:bottom w:w="28" w:type="dxa"/>
          <w:right w:w="28" w:type="dxa"/>
        </w:tblCellMar>
      </w:tblPr>
      <w:tblGrid>
        <w:gridCol w:w="2056"/>
        <w:gridCol w:w="146"/>
        <w:gridCol w:w="211"/>
        <w:gridCol w:w="676"/>
        <w:gridCol w:w="271"/>
        <w:gridCol w:w="146"/>
        <w:gridCol w:w="211"/>
        <w:gridCol w:w="676"/>
        <w:gridCol w:w="331"/>
        <w:gridCol w:w="146"/>
        <w:gridCol w:w="146"/>
        <w:gridCol w:w="571"/>
        <w:gridCol w:w="31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first nine months of fiscal 2026 increased by 10.2%, or $1.1 million, compared to the first nine months of fiscal 2025. The increase in revenue was primarily due to increased projects from a major customer. Operating income increased $3.5 million in the first nine months of fiscal 2026 due to increased project margins along with lower operating expenses.</w:t>
      </w:r>
    </w:p>
    <w:p>
      <w:pPr>
        <w:pStyle w:val="TextBody"/>
        <w:bidi w:val="0"/>
        <w:spacing w:before="280" w:after="283"/>
        <w:jc w:val="left"/>
        <w:rPr>
          <w:rFonts w:ascii="Times New Roman" w:hAnsi="Times New Roman"/>
          <w:b/>
          <w:color w:val="000000"/>
          <w:sz w:val="20"/>
        </w:rPr>
      </w:pPr>
      <w:bookmarkStart w:id="31" w:name="liquidity_and_capital_resources"/>
      <w:bookmarkEnd w:id="31"/>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our existing cash and operating cash flow provide us with the financial flexibility needed to meet our capital requirements, including to fund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had approximately $4.7 million in cash and cash equivalents as of December 31, 2025, compared to $6.0 million at March 31, 2025. Our cash position decreased primarily as a result of a $1.3 million repayment of debt in the first nine months of fiscal 2026.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future liquidity needs and forecasted cash flows are dependent upon many factors, including our relative revenue, gross margins, cash management practices, cost containment, working capital management and capital expenditures, as well as the final determination of the Remaining Earnout Amount.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cash flows for the nine months ended December 31, 2025 and 2024 (in thousands):</w:t>
      </w:r>
    </w:p>
    <w:p>
      <w:pPr>
        <w:pStyle w:val="TextBody"/>
        <w:bidi w:val="0"/>
        <w:jc w:val="left"/>
        <w:rPr/>
      </w:pPr>
      <w:r>
        <w:rPr/>
        <w:t> </w:t>
      </w:r>
    </w:p>
    <w:tbl>
      <w:tblPr>
        <w:tblW w:w="6907" w:type="dxa"/>
        <w:jc w:val="left"/>
        <w:tblInd w:w="0" w:type="dxa"/>
        <w:tblLayout w:type="fixed"/>
        <w:tblCellMar>
          <w:top w:w="28" w:type="dxa"/>
          <w:left w:w="28" w:type="dxa"/>
          <w:bottom w:w="28" w:type="dxa"/>
          <w:right w:w="28" w:type="dxa"/>
        </w:tblCellMar>
      </w:tblPr>
      <w:tblGrid>
        <w:gridCol w:w="4021"/>
        <w:gridCol w:w="146"/>
        <w:gridCol w:w="278"/>
        <w:gridCol w:w="831"/>
        <w:gridCol w:w="218"/>
        <w:gridCol w:w="192"/>
        <w:gridCol w:w="278"/>
        <w:gridCol w:w="752"/>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 xml:space="preserve">Cash Flows Related to Operating Activities. </w:t>
      </w:r>
      <w:r>
        <w:rPr>
          <w:rFonts w:ascii="Times New Roman" w:hAnsi="Times New Roman"/>
          <w:color w:val="000000"/>
          <w:sz w:val="20"/>
        </w:rPr>
        <w:t>Cash provided by operating activities for the first nine months of fiscal 2026 was $0.4 million and consisted of our net loss of $1.7 million adjusted for non-cash expense items and net cash provided in changes in operating assets of $2.1 million, the largest of which were inventories, net, accounts payable, and prepaid expenses, which were partially offset by a decrease in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provided by operating activities for the first nine months of fiscal 2025 was $1.3 million and consisted of our net loss of $8.9 million adjusted for non-cash expense items and net cash provided in changes in operating assets of $10.2 million, the largest of which were accounts receivable, revenue earned but not billed, and inventories totaling $8.5 million. These increases were partially offset by a $4.9 million decrease in accounts payable.</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Investing Activities</w:t>
      </w:r>
      <w:r>
        <w:rPr>
          <w:rFonts w:ascii="Times New Roman" w:hAnsi="Times New Roman"/>
          <w:color w:val="000000"/>
          <w:sz w:val="20"/>
        </w:rPr>
        <w:t>. Cash used in investing activities of $0.1 million in the first nine months of fiscal 2026 consisted primarily of purchases of property and equipment, mostly related to our Enterprise Resource Planning ("ERP") system implementation.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provided by investing activities of $134 thousand in the first nine months of fiscal 2025 consisted primarily of sales of property and equipment.</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Financing Activities.</w:t>
      </w:r>
      <w:r>
        <w:rPr>
          <w:rFonts w:ascii="Times New Roman" w:hAnsi="Times New Roman"/>
          <w:color w:val="000000"/>
          <w:sz w:val="20"/>
        </w:rPr>
        <w:t xml:space="preserve"> Cash used in financing activities of $1.6 million in the first nine months of fiscal 2026 was primarily due to payments on our revolving credit facility along with costs incurred related to the issuance of subordinated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provided by financing activities of $910 thousand in the first nine months of fiscal 2025 was primarily due to the mortgage term loan discussed in Note 12 above, which was partially offset by payments on our revolving credit facility and long-term debt.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net working capital as of December 31, 2025 was $8.6 million, consisting of $32.8 million in current assets and $24.2 million in current liabilities. Our net working capital as of March 31, 2025 was $8.7 million, consisting of $35.5 million in current assets and $26.8 million in current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Our accounts receivable, net, inventories, net, accounts payable and revenue earned but not billed may increase to the extent our revenue and order levels increase.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Revolving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credit agreement provides for a $25.0 million revolving credit facility (the “Credit Facility”) that matures on June 30, 2027. Borrowings under the Credit Facility are subject to a borrowing base requirement based on eligible receivables, inventory and cash. As of December 31, 2025, the borrowing base supported approximately $12.9 million of availability under the Credit Facility, with $5.8 million drawn against that availability. As of December 31, 2024, the borrowing base supported approximately $15.6 million of availability under the Credit Facility, with $7.5 million drawn against that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credit agreement includes a springing minimum fixed cost coverage ratio of 1.0 to 1.0 when excess availability under the Credit Facility falls below $4.0 million of the committed facility. Currently, the required springing minimum fixed cost coverage ratio is not required. </w:t>
      </w:r>
    </w:p>
    <w:p>
      <w:pPr>
        <w:pStyle w:val="TextBody"/>
        <w:bidi w:val="0"/>
        <w:spacing w:before="280" w:after="283"/>
        <w:jc w:val="left"/>
        <w:rPr>
          <w:rFonts w:ascii="Times New Roman" w:hAnsi="Times New Roman"/>
          <w:i/>
          <w:color w:val="000000"/>
          <w:sz w:val="20"/>
        </w:rPr>
      </w:pPr>
      <w:r>
        <w:rPr>
          <w:rFonts w:ascii="Times New Roman" w:hAnsi="Times New Roman"/>
          <w:i/>
          <w:color w:val="000000"/>
          <w:sz w:val="20"/>
        </w:rPr>
        <w:t>Voltrek Earnout and Subordinated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on October 5, 2022, we acquired all of the outstanding membership interests of Voltrek, a leading electric vehicle charging company that provides turnkey installation solutions with ongoing support to all commercial verticals. In connection with such acquisition, we may owe additional material earnout payments based on Voltrek’s financial performance in fiscal 2025 as described below. The related estimated liability of approximately $1.4 million of such remaining earnout is recorded as subordinated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on June 23, 2025, the Company entered into a binding term sheet, as subsequently amended (the "Term Sheet"), pursuant to which we agreed with the prior owner of Voltrek to pay the remainder of the finally determined Remaining Earnout Amount pursuant to the Subordinated Loan Agreement. In addition, the we and the prior owner of Voltrek agreed to submit the final determination of the Remaining Earnout Amount to binding arbitration.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 Sheet, on September 30, 2025, we and the prior owner of Voltrek entered into the Subordinated Loan Agreement, pursuant to which the prior owner of Voltrek agreed to defer our payment of the Remaining Earnout Amount pursuant to the terms of the Subordinated Loan Agreement and related Senior Subordinated Note. We agreed to pay monthly principal payments to the prior owner of Voltrek on the Senior Subordinated Note of $25,000 beginning on January 15, 2026, which will increase to $50,000 on July 15, 2026 through the maturity date of July 15, 2027. We also agreed to pay interest monthly to the prior owner of Voltrek at the annual rate of 7% beginning on July 15, 2025, subject to adjustment following the final determination in binding arbitration of the Remaining Earnout Amount, as set forth in more detail in the Subordinated Loan Agreement. We have the right to pay up to 20% of the remaining principal on the Senior Subordinated Note on the maturity date in shares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our entry into the Subordinated Loan Agreement, Senior Subordinated Note, Security Agreement and Subordination Agreement, on September 30, 2025, we and Bank of America entered into an amendment to our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agreement, pursuant to which Bank of America consented to the subordinated liens granted by us in favor of the prior owner of Voltrek and consented to the Remaining Earnout Amount evidenced by the Subordinated Loan Agreement, subject to: (a) a maximum amount of up $3.0 million following the final determination in binding arbitration of the Remaining Earnout Amount or (b) such higher amount as consented to in writing by Bank of America promptly following its receipt of notice of the binding arbitration decision.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final Remaining Earnout Amount determined to be owed by us could be in excess of our current accrued liability for such Remaining Earnout Amount and could materially adversely affect our future liquidity.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2, 2026, we issued 500,000 shares of our common stock at a price to the public of $14.00 per share pursuant to a firmly underwritten public offering. Net proceeds from the offering of approximately $6.4 million will be used to reduce amounts outstanding under our credit agreement, with the remainder to be used for working capital and general corporate purposes.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Backlog represents the amount of revenue that we expect to realize in the future as a result of firm, committed purchase orders. Backlog totaled $20.1 million and $17.3 million as of December 31, 2025 and March 31, 2025, respectively. We generally expect our backlog to be recognized as revenue within one year. Backlog does not include any amounts for contracted maintenance services.</w:t>
      </w:r>
    </w:p>
    <w:p>
      <w:pPr>
        <w:pStyle w:val="TextBody"/>
        <w:bidi w:val="0"/>
        <w:spacing w:before="280" w:after="283"/>
        <w:jc w:val="left"/>
        <w:rPr>
          <w:rFonts w:ascii="Times New Roman" w:hAnsi="Times New Roman"/>
          <w:b/>
          <w:color w:val="000000"/>
          <w:sz w:val="20"/>
        </w:rPr>
      </w:pPr>
      <w:bookmarkStart w:id="32" w:name="off_balance_sheet_arrangements"/>
      <w:bookmarkEnd w:id="32"/>
      <w:r>
        <w:rPr>
          <w:rFonts w:ascii="Times New Roman" w:hAnsi="Times New Roman"/>
          <w:b/>
          <w:color w:val="000000"/>
          <w:sz w:val="20"/>
        </w:rPr>
        <w:t>Off-Balance Sheet Arrangements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no off-balance sheet arrangements.</w:t>
      </w:r>
    </w:p>
    <w:p>
      <w:pPr>
        <w:pStyle w:val="TextBody"/>
        <w:bidi w:val="0"/>
        <w:spacing w:before="280" w:after="283"/>
        <w:jc w:val="left"/>
        <w:rPr>
          <w:rFonts w:ascii="Times New Roman" w:hAnsi="Times New Roman"/>
          <w:b/>
          <w:color w:val="000000"/>
          <w:sz w:val="20"/>
        </w:rPr>
      </w:pPr>
      <w:bookmarkStart w:id="33" w:name="critical_accounting_policies_and_estimat"/>
      <w:bookmarkEnd w:id="33"/>
      <w:r>
        <w:rPr>
          <w:rFonts w:ascii="Times New Roman" w:hAnsi="Times New Roman"/>
          <w:b/>
          <w:color w:val="000000"/>
          <w:sz w:val="20"/>
        </w:rPr>
        <w:t>Critical Accounting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since March 31, 2025. For a full discussion of these estimates and policies, see "Critical Accounting Estimates" within "Management's Discussion and Analysis of Financial Condition and Results of Operations" in our 2025 Annual Report on Form 10-K.</w:t>
      </w:r>
    </w:p>
    <w:p>
      <w:pPr>
        <w:pStyle w:val="TextBody"/>
        <w:bidi w:val="0"/>
        <w:spacing w:before="280" w:after="283"/>
        <w:jc w:val="left"/>
        <w:rPr>
          <w:rFonts w:ascii="Times New Roman" w:hAnsi="Times New Roman"/>
          <w:b/>
          <w:color w:val="000000"/>
          <w:sz w:val="20"/>
        </w:rPr>
      </w:pPr>
      <w:bookmarkStart w:id="34" w:name="recent_accounting_pronouncements"/>
      <w:bookmarkEnd w:id="34"/>
      <w:r>
        <w:rPr>
          <w:rFonts w:ascii="Times New Roman" w:hAnsi="Times New Roman"/>
          <w:b/>
          <w:color w:val="000000"/>
          <w:sz w:val="20"/>
        </w:rPr>
        <w:t>Recent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a complete discussion of recent accounting pronouncements, refer to Note 2 in the Condensed Consolidated Financial Statements included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5" w:name="item_3__quantitative_and_qualitative_dis"/>
      <w:bookmarkEnd w:id="3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was discussed in the “Quantitative and Qualitative Disclosures About Market Risk” section contained in our Annual Report on Form 10-K for the year ended March 31, 2025. There have been no material changes to such exposures since March 31, 2025.</w:t>
      </w:r>
    </w:p>
    <w:p>
      <w:pPr>
        <w:pStyle w:val="TextBody"/>
        <w:bidi w:val="0"/>
        <w:spacing w:before="280" w:after="283"/>
        <w:jc w:val="left"/>
        <w:rPr>
          <w:rFonts w:ascii="Times New Roman" w:hAnsi="Times New Roman"/>
          <w:b/>
          <w:color w:val="000000"/>
          <w:sz w:val="20"/>
        </w:rPr>
      </w:pPr>
      <w:bookmarkStart w:id="36" w:name="item_4__controls_and_procedures"/>
      <w:bookmarkEnd w:id="36"/>
      <w:r>
        <w:rPr>
          <w:rFonts w:ascii="Times New Roman" w:hAnsi="Times New Roman"/>
          <w:b/>
          <w:color w:val="000000"/>
          <w:sz w:val="20"/>
        </w:rPr>
        <w:t>ITEM 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concluded that our disclosure controls and procedures were effective as of December 31, 2025.</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13a-15(e) and Rule 15d-15(e) of the Exchange Act) for the quarter ended December 31, 2025,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7" w:name="part_ii_other_information"/>
      <w:bookmarkEnd w:id="37"/>
      <w:r>
        <w:rPr>
          <w:rFonts w:ascii="Times New Roman" w:hAnsi="Times New Roman"/>
          <w:b/>
          <w:color w:val="000000"/>
          <w:sz w:val="20"/>
        </w:rPr>
        <w:t>PART II – OTHER INFORMATION</w:t>
      </w:r>
    </w:p>
    <w:p>
      <w:pPr>
        <w:pStyle w:val="TextBody"/>
        <w:bidi w:val="0"/>
        <w:spacing w:before="180" w:after="283"/>
        <w:jc w:val="both"/>
        <w:rPr>
          <w:rFonts w:ascii="Times New Roman" w:hAnsi="Times New Roman"/>
          <w:b/>
          <w:color w:val="000000"/>
          <w:sz w:val="20"/>
        </w:rPr>
      </w:pPr>
      <w:bookmarkStart w:id="38" w:name="item_1__legal_proceedings"/>
      <w:bookmarkEnd w:id="38"/>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Note 14 – Commitments and Contingencies, to the Condensed Consolidated Financial Statements in Item 1 of this Quarterly Report on Form 10-Q.</w:t>
      </w:r>
    </w:p>
    <w:p>
      <w:pPr>
        <w:pStyle w:val="TextBody"/>
        <w:bidi w:val="0"/>
        <w:spacing w:before="280" w:after="283"/>
        <w:jc w:val="both"/>
        <w:rPr>
          <w:rFonts w:ascii="Times New Roman" w:hAnsi="Times New Roman"/>
          <w:b/>
          <w:color w:val="000000"/>
          <w:sz w:val="20"/>
        </w:rPr>
      </w:pPr>
      <w:bookmarkStart w:id="39" w:name="item_1a__risk_factors"/>
      <w:bookmarkEnd w:id="39"/>
      <w:r>
        <w:rPr>
          <w:rFonts w:ascii="Times New Roman" w:hAnsi="Times New Roman"/>
          <w:b/>
          <w:color w:val="000000"/>
          <w:sz w:val="20"/>
        </w:rPr>
        <w:t>ITEM 1A. RISK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description of risk factors includes any material changes to, and supersedes the description of, risk factors associated with the Company's business previously disclosed in Part I, Item 1A of the Form 10-K for the fiscal year ended March 31, 2025, which we filed with the SEC on June 26, 2025 under the heading "Risk Factors."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discussion of risk factors contains forward-looking statements. These risk factors may be important to understanding other statements in this Form 10-Q. The following information should be read in conjunction with the Condensed Consolidated Financial Statements and related notes in Part I, Item 1, "Financial Statements" and Part I, Item 2, "Management's Discussion and Analysis of Financial Condition and Results of Operations" of this Form 10-Q.</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Financial Risks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existing liquidity and capital resources may not be sufficient to allow us to fund or sustain our working capital requirements or pay our contractual or debt obligations.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existing liquidity and capital resources may not be sufficient to allow us to effectively fund or sustain our working capital requirements or pay our contractual or debt obligations, including our senior debt to Bank of America or our remaining earnout obligations owed in connection with our acquisition of Voltrek. If we require additional capital resources, we may 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history of operating losses over the past several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frequent inability to achieve our financial results guidance or budget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senior debt and subordinated earnout debt obligations and security interests in substantially all of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funds to help satisfy our remaining Voltrek earnout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and future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collateral availability;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customer concentration;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market’s, investors’ and lenders’ view of our company, industry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budgeted expectations or revenue guidance and the perception in the equity and debt markets of our ability to execute and sustain our business plan or achieve our operating results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volatility and trading volume and history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tariffs and other macroeconomic and geopolitical factors on our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inability to obtain the equity capital or debt financing necessary to fund our operations could force us to scale back or restructure our operations or our senior or anticipated subordinated debt obligations. If we are unable to obtain any necessary additional equity capital or debt financing, our results of operations, financial condition and cash flows could be materially adversely affected.</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may need to raise additional equity capital or subordinated or convertible debt to provide us with additional liquidity and capital resources to help fund our operations and pay our senior debt to Bank of America and our remaining Voltrek acquisition earnout obligations. At our current stock price, such an equity or convertible debt raise would likely be materially dilutive to our shareholders.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need to raise additional equity capital or subordinated or convertible debt in order to fund our operations, pay our senior debt to Bank of America and pay our remaining Voltrek earnout obligations, and may pursue equity or debt financings, which may be materially dilutive to our existing shareholders. At our current stock price, the issuance of additional Common Stock or convertible debt would significantly dilute the value our Common Stock held by existing shareholders. Similarly, any new securities we may issue may carry preferences, superior voting rights, or additional terms that could adversely affect shareholders of our Common Stock. Future capital raising efforts may incur substantial costs, such as investment banking, legal and accounting fees, and could lead to non-cash expenses that further negatively impact our financial condition.</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ability to achieve our budgeted fiscal 2026 revenue expectations, and related public fiscal 2026 revenue guidance, will have a significant impact on our cash flow and stock price and ability to fund our operations and satisfy our debt obligations.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have historically had difficulties in achieving our budgeted revenue expectations, and related public annual revenue guidance. Our ability to achieve our budgeted fiscal 2026 revenue expectations, and related public fiscal 2026 revenue guidance, will have a significant impact on our cash flow, financial condition and stock price and ability to fund our operations and satisfy our debt obligations.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are currently in arbitration over the final remaining earn out amount we owe for acquiring Voltrek. There can be no assurance that the arbitrator will not determine that we owe significantly more than we have currently accrued as a liability on our financial statements, which could materially adversely affect our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5, 2022, we acquired Voltrek, a leading electric vehicle charging company that provides turnkey installation solutions with ongoing support to all commercial verticals. In connection with such acquisition, we may owe additional material earnout payments based on Voltrek’s financial performance in fiscal 2025 as described below. The related estimated liability of approximately $1.4 million of such remaining earnout is recorded as subordinated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23, 2025, we entered into a term sheet with respect to our remaining earnout obligations owed to Voltrek’s prior owner. Pursuant to the term sheet, on August 1, 2025, we paid the prior owner $500,000, and on September 2, 2025 we paid an additional $375,000, in full and final payment of our fiscal 2024 Voltrek acquisition earnout obligations. Additionally, pursuant to the term sheet, on July 16, 2025, we issued $1.0 million in our Common Stock to Voltrek’s prior owner in partial payment of our fiscal 2025 and aggregate fiscal 2023 through fiscal 2025 earnout obligations.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September 30, 2025, we entered into a subordinated loan agreement, pursuant to which Voltrek’s prior owner agreed to defer our payment of the remaining earnout amount to be determined by binding arbitration. We agreed to pay monthly principal payments to Voltrek’s prior owner of $25,000 beginning on January 15, 2026, which will increase to $50,000 on July 15, 2026 through the maturity date of July 15, 2027. We also agreed to pay interest monthly to the prior owner at the annual rate of 7% beginning on July 15, 2025, subject to adjustment following the final determination in binding arbitration of the remaining earnout amount, as set forth in more detail in the subordinated loan agreement. We have the right to pay up to 20% of the remaining principal on the senior subordinated loan on the maturity date in shares of our Common Stock.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our entry into the subordinated loan agreement with Voltrek’s prior owner, Bank of America agreed that the remaining earnout amount evidenced by the subordinated loan agreement could not exceed (a) $3.0 million following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final determination in binding arbitration of the remaining earnout amount or (b) such higher amount as consented to in writing by Bank of America promptly following its receipt of notice of the binding arbitration decision.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final remaining earnout amount determined to be owed by us pursuant to the pending binding arbitration could be in excess of our current accrued liability for such remaining earnout amount, and could materially adversely affect our future liquidity. Additionally, our payments of some of our Voltrek earnout obligations in shares of our Common Stock may result in our existing shareholders experiencing significant dilution to the value of their investment in our Common Stock.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are currently in mediation with respect to allegations that we did not adequately mark certain patented products that we contract manufactured on behalf of a customer. There can be no assurance that the mediator will not determine that we are liable for significant damages for such allegations.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One of our customers has alleged that, among other matters, we did not adequately mark certain patented products that we contract manufactured for them. While we believe we have substantial defenses against such allegations, there can be no assurance that the mediator will not determine that we are liable for significant damages resulting from such allegations.</w:t>
      </w:r>
    </w:p>
    <w:p>
      <w:pPr>
        <w:pStyle w:val="TextBody"/>
        <w:bidi w:val="0"/>
        <w:spacing w:before="180" w:after="283"/>
        <w:jc w:val="both"/>
        <w:rPr>
          <w:rFonts w:ascii="Times New Roman" w:hAnsi="Times New Roman"/>
          <w:sz w:val="20"/>
        </w:rPr>
      </w:pPr>
      <w:r>
        <w:rPr>
          <w:rFonts w:ascii="Times New Roman" w:hAnsi="Times New Roman"/>
          <w:b/>
          <w:color w:val="000000"/>
          <w:sz w:val="20"/>
        </w:rPr>
        <w:t>Any economic and political uncertainty caused by tariffs posed by the United States on other countries, and any corresponding tariffs from such other countries in response, may negatively impact demand and/or increase the cost for our products and components used in our products and reduce our gross margins.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 and certain of the components used in our products are impacted by tariffs imposed on imports as currently in effect. If we are unable to successfully mitigate the impacts of these tariffs and other trade policies, our results of operations, financial condition and cash flows may be materially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components, and any resulting negative sentiments towards the United States as a result of such changes, could have a material adverse effect on our results of operations, financial condition and cash flows.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Over the past several years we have incurred substantial net losses and negative cash flow. If these trends continue, our liquidity and financial condition will be further materially adversely affected.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experienced a net loss and negative cash flows in each of the last three fiscal years. There is no guarantee that we will be able to regain or sustain profitability and positive cash flows in the future. Our inability to successfully regain or sustain our profitability and positive cash flows will materially and adversely affect our ability continue our current level of operations and satisfy our debt obligations.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have a significant amount of goodwill and intangible assets on our balance sheet and our results of operations may be adversely affected if we are required to recognize an impairment charge against our goodwill and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had goodwill of almost $1.5 million and net intangible assets of almost $2.9 million as of September 30, 2025.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Some factors that could lead to a goodwill impairment assessment would be: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overall financial performance, including continued net losses and low levels of liquidity;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material decline in the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strategy or exiting a portion of the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adverse changes in demand for our products and services;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related competitive considerations.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be required to incur material charges relating to the impairment of those assets. Such impairment charges could materially and adversely affect our business, results of operations and financial condition. In accordance with GAAP, we will continue to test goodwill for impairment at least annually or when events and circumstances trigger the requirement for an interim evaluation.</w:t>
      </w:r>
    </w:p>
    <w:p>
      <w:pPr>
        <w:pStyle w:val="TextBody"/>
        <w:bidi w:val="0"/>
        <w:spacing w:before="180" w:after="283"/>
        <w:jc w:val="both"/>
        <w:rPr>
          <w:rFonts w:ascii="Times New Roman" w:hAnsi="Times New Roman"/>
          <w:sz w:val="20"/>
        </w:rPr>
      </w:pPr>
      <w:r>
        <w:rPr>
          <w:rFonts w:ascii="Times New Roman" w:hAnsi="Times New Roman"/>
          <w:b/>
          <w:color w:val="000000"/>
          <w:sz w:val="20"/>
        </w:rPr>
        <w:t>We are subject to financial and operating covenants in our senior credit agreement and our subordinated loan agreement with Voltrek’s prior owner, and any failure to comply with such covenants, or obtain waivers in the event of non-compliance, could limit our borrowing availability or result in a default under our senior credit agreement, materially adversely impacting our liquidity.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senior credit agreement and our subordinated loan agreement evidencing our Voltrek acquisition earnout obligations, contain provisions that limit our future borrowing availability and set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can be no assurance that we will be able to comply with the financial and other covenants in our senior and subordinated debt agreements. Our failure to comply with these covenants could cause us to be unable to borrow under the senior credit agreement and may constitute an event of default under our senior and subordinated debt agreements, which, if not cured or waived, could result in the acceleration of the maturity of any indebtedness then outstanding under our senior and subordinated debt agreements and, which would require us to pay all amounts then outstanding. Such an event would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pStyle w:val="TextBody"/>
        <w:bidi w:val="0"/>
        <w:spacing w:before="180" w:after="283"/>
        <w:jc w:val="both"/>
        <w:rPr>
          <w:rFonts w:ascii="Times New Roman" w:hAnsi="Times New Roman"/>
          <w:sz w:val="20"/>
        </w:rPr>
      </w:pPr>
      <w:r>
        <w:rPr>
          <w:rFonts w:ascii="Times New Roman" w:hAnsi="Times New Roman"/>
          <w:b/>
          <w:color w:val="000000"/>
          <w:sz w:val="20"/>
        </w:rPr>
        <w:t>Our net operating loss carry-forwards provide a future benefit only if we regain sustained profitability and may be subject to limitation based upon ownership changes.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have significant federal net operating loss carry-forwards and state net operating loss carry-forwards. If we are unable to regain sustained profitability, we will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Risks Related to Our Common Stock</w:t>
      </w:r>
    </w:p>
    <w:p>
      <w:pPr>
        <w:pStyle w:val="TextBody"/>
        <w:bidi w:val="0"/>
        <w:spacing w:before="180" w:after="283"/>
        <w:jc w:val="both"/>
        <w:rPr>
          <w:rFonts w:ascii="Times New Roman" w:hAnsi="Times New Roman"/>
          <w:sz w:val="20"/>
        </w:rPr>
      </w:pPr>
      <w:r>
        <w:rPr>
          <w:rFonts w:ascii="Times New Roman" w:hAnsi="Times New Roman"/>
          <w:b/>
          <w:color w:val="000000"/>
          <w:sz w:val="20"/>
        </w:rPr>
        <w:t>Our shareholders may experience substantial dilution in the value of their investment or may otherwise have their interests impaired to the extent we issue additional shares of our Common Stock.</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Amended and Restated Articles of Incorporation allow us to issue up to 50 million shares, consisting of 20 million shares of our Common Stock and 30 million shares of our preferred stock. We may in the future issue additional shares of our Common Stock or other securities convertible into or exchangeable for our Common Stock, which could result in substantial dilution to the interests of existing shareholders. For example, we have the option to pay up to 20% of the then remaining outstanding balance of our Voltrek earnout obligations at maturity in shares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Additionally, to raise additional capital, we may in the future sell additional shares of our Common Stock or other securities convertible into or exchangeable for our Common Stock at prices that are lower than the prices paid by existing shareholders, and investors purchasing shares or other securities in the future could have rights superior to existing shareholders, which could result in substantial dilution to the interests of existing shareholders.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If securities or industry analysts do not continue to publish research or publish inaccurate or unfavorable research about our business, our stock price and trading volume could decline.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trading market for our Common Stock may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are not currently paying dividends on our Common Stock and will likely continue not paying dividends for the foreseeable future.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never paid or declared any cash dividends on our Common Stock. We currently intend to retain all available funds and any future earnings to fund the continued operation of our business and repay our senior debt and senior subordinated debt. We do not anticipate paying any cash dividends on our Common Stock in the foreseeable future. In addition, the terms of our existing revolving credit agreement and our senior subordinated debt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deems relevant. The restrictions on, and decision not to, pay dividends on our Common Stock may impact our ability to attract certain investors and raise funds, if necessary, in the capital markets.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Anti-takeover provisions included in the Wisconsin Business Corporation Law, provisions in our Amended and Restated Articles of Incorporation or Bylaws could delay or prevent a change of control of our company, which could adversely impact the value of our Common Stock and may prevent or frustrate attempts by our shareholders to replace or remove our current Board or management.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and our ability to issue “blank check” preferred stock, as well as the provisions of our Amended and Restated Bylaws and Wisconsin law, could make it more difficult for shareholders or potential acquirers to obtain control of our Board or initiate actions that are opposed by our then-current Board, including to delay or impede a merger, tender offer or proxy contest involving our company or result in a lower price per share paid to our shareholders.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market price of our Common Stock could be adversely affected by future sales of our Common Stock in the public market by us or our executive officers and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will have on the market price of our Common Stock.</w:t>
      </w:r>
    </w:p>
    <w:p>
      <w:pPr>
        <w:pStyle w:val="TextBody"/>
        <w:bidi w:val="0"/>
        <w:spacing w:before="180" w:after="283"/>
        <w:jc w:val="both"/>
        <w:rPr>
          <w:rFonts w:ascii="Times New Roman" w:hAnsi="Times New Roman"/>
          <w:sz w:val="20"/>
        </w:rPr>
      </w:pPr>
      <w:r>
        <w:rPr>
          <w:rFonts w:ascii="Times New Roman" w:hAnsi="Times New Roman"/>
          <w:b/>
          <w:color w:val="000000"/>
          <w:sz w:val="20"/>
        </w:rPr>
        <w:t>The price of our Common Stock has been, and may continue to be, volatile.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Historically, the market price of our Common Stock has fluctuated over a wide range, and it is likely that the price of our Common Stock will continue to be volatile in the future. The market price of our Common Stock could be impacted due to a variety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operating results or our competitors’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achieve our analysts’ results of operations expectations;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the growth rate of the general LED lighting industry, our growth rates or our competitors’ growth rates;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conditions in the financial markets in general or changes in general economic conditions;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novel and unforeseen market forces and trading strategies;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governmental regulation, including taxation and tariff policies;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rate or currency exchange rate fluctuations;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forecast or report accurate financial results;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stock market analyst recommendations regarding our Common Stock, other comparable companies or our industry generally.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If the price of our Common Stock is volatile or falls significantly, we may be the target of securities litigation or could be delisted from NASDAQ. If we become involved in this type of litigation or are delisted,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Operational Risks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products use components and raw materials that may be subject to price fluctuations, shortages or interruptions of supply, including semiconductor chips. If we are unable to maintain supply sources of our components and raw materials or if our sources fail to satisfy our supply requirements, we may lose sales and experience increased component costs.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For example, our ability to source semiconductor chips has been adversely affected in the recent past and could occur again. Difficulty in sourcing necessary components in the past has resulted in increased component delivery lead times, delays in our product production and increased costs to obtain components with available semiconductor chips. To the extent a semiconductor chip shortage occurs or our ability to acquire the parts necessary to conduct our business operations, such as other necessary finished goods, is materially affected, our production ability and results of operations will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United States administration or by other countries could continue to adversely affect our profitability and availability of raw materials and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and we may not, as a result, have the necessary inventory of parts and goods necessary to conduct our operations. We have in the past purchased excess quantities of certain components critical to our product manufacturing, but there is no guarantee that we will be able to follow or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success of our EV segment ultimately depends on consumers’ willingness to adopt electric vehicles in an unstable and changing market.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EV segment is highly dependent upon the adoption by consumers of EVs, and we are subject to a risk of any reduced demand for EVs. If the market for EVs does not gain broader market acceptance, develops slower than we expect or faces a setback, our business, prospects, financial condition and operating results will be harmed. The market for alternative fuel vehicles is relatively new, rapidly evolving, characterized by rapidly changing technologies, price competition, additional competitors, evolving government regulation and industry standards, frequent new vehicle announcements, long development cycles for EV original equipment manufacturers, and changing consumer demands and behaviors.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Recent or potential future changes in government and regulatory support for EV adoption, including incentives, mandates, infrastructure investment and emissions regulations and federal funding for EV infrastructure development, may negatively impact the adoption by consumers of EVs. For example, on January 20, 2025, President Trump signed Executive Order 14154 “Unleashing American Energy”, which has had, and may continue to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halted significant federal funding for EV infrastructure and ordered the termination of federal subsidy programs for EVs. While the freeze on federal funding for EV infrastructure has since been lifted, federal subsidy programs for EVs have been terminated. Such disruption, reduction or elimination of governmental support for EV adoption, including any future reduction or elimination in federal funding for EV infrastructure development, could negatively impact demand for our products and services.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current administration has also proposed further increases of tariffs on certain foreign imports into the United States. In addition to adversely impacting our ability to source components for our charging network and the cost of such components, new or increased tariffs may also result in a suppressed EV market, fewer EVs on the road and lower demand for EV chargers, which would have an adverse effect on our business, prospects, financial condition and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Other factors that may influence the purchase and use of alternative fuel vehicles, specifically EVs,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perceptions about EV quality, safety (in particular with respect to lithium-ion battery packs), design, performance and cost, especially if adverse events or accidents occur that are linked to the quality or safety of EVs;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limited range over which EVs may be driven on a single battery charge and concerns about running out of power while in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concerns regarding the stability of the electrical grid;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improvements in the fuel economy of the internal combustion engine;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consumers’ desire and ability to purchase a luxury automobile or one that is perceived as exclusive;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environmental consciousness of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in the cost of oil and gasoline;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consumers’ perceptions of the dependency of the United States on oil from unstable or hostile countries and the impact of international conflicts;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regulations and economic incentives promoting fuel efficiency and alternate forms of energy, or the reduction or elimination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access to charging stations, standardization of EV charging systems and consumers’ perceptions about convenience and cost to charge an EV;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tax and other governmental incentives to purchase and operate EVs or future regulation requiring increased use of nonpolluting vehicles.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influence of any of the factors described above may negatively impact the widespread consumer adoption of EVs, which could materially and adversely affect our EV segment business, operating results, financial condition and prospects.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reduction or elimination of incentives from the United States government for investments in EV charging infrastructure may reduce demand for public EV charging products, in addition to reducing overall demand for EVs.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current administration has paused and rescinded policies relating to investment in EV charging infrastructure, and there is uncertainty over what public policy with respect to EV charging infrastructure will be under the current or future administrations. For example, the current administration has directed agencies to pause disbursement of funds appropriated through two laws signed by the previous administration - the Inflation Reduction Act and Infrastructure Investment and Jobs Act - including funding for EV charging stations. The infrastructure law allocated $7.5 billion to building out a network of public plugs across the country. Additionally, spending has been halted under programs such as the National Electric Vehicle Infrastructure (NEVI) program, which provides funding for building out EV charging infrastructure, and prior approvals of funding under the NEVI program have been rescinded. The halt of, and potential elimination of, incentives from the United States Government may decrease demand for, funding of and profitability of EV charging products. In connection with the reduction in incentives for investments in EV charging infrastructure, demand for at home charging products may outpace demand for public charging products, which will adversely impact demand for our products and services.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inability to successfully manage the implementation of a new Enterprise Resource Planning (“ERP”) system may adversely affect our business, results of operations and cash flows and may adversely impact the effectiveness of our internal controls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currently implementing a new ERP system. ERP implementations are complex, labor intensive, and time-consuming projects, which also involve substantial expenditures on system software and implementation activities. The new ERP system will be important to our ability to provide important information to our management, obtain, and deliver products, provide services and customer support, accurately maintain books and records, provide accurate, timely and reliable reports on our financial and operating results, and otherwise operate our business. ERP implementations also require transformation of business and financial processes in order to reap the benefits of the ERP system. Any such implementation involves risks inherent in the conversion to a new computer system technology solution, including loss of information and potential disruption to our normal operations. The implementation and maintenance of the new ERP system will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ERP system. Any material deficiencies in the design and implementation of the new ERP system could also result in potentially materially higher costs and could adversely affect our ability to operate our business and otherwise negatively affect our financial reporting and the effectiveness of our internal control over financial reporting. Any of these consequences could have a material adverse effect on our results of operations,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do not have major sources of recurring revenue,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substantial portion of our revenues are derived from project-based work that is awarded through a competitive bid process. It is generally difficult to predict the timing and success rate of the projects that we bid and will be awarded. In prior fiscal years, one customer represented more than 40% of total revenues, which has not recurred in recent fiscal years. The reduction of revenue from this customer has had a material adverse effect on our results of operations, financial condition and cash flow. While this customer continues to be a substantial source of business for us (24.3% of our fiscal 2025 revenue), we continue to attempt to diversify our customer base and expand our reach to national accounts, ESCOs, the agent driven distribution channel, lighting maintenance customers and the EV market, there is no assurance we will be successful in replacing this reduced revenue. Additionally, even as we progress toward diversifying our customer base, timing of execution on projects with new or additional customers is unpredictable.</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ability to achieve our desired revenue and profitability goals depends on our ability to effectively and timely execute on our key strategic initiatives.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ability to achieve our desired revenue and profitability goals depends on how effectively and timely we execute on our following key strategic initiatives: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executing and marketing our turnkey LED retrofit capabilities to large national account customers;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continuing our product innovation;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leveraging our smart lighting systems to support IoT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expanding our EV charging business, including increasing cross selling our EV charging solutions to our historical sales channels and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developing and maintaining our maintenance service offerings;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supporting the success of our ESCO and distribution sales channels.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can be no assurance that we will be able to successfully implement these initiatives or, even if implemented, that they will result in the anticipated benefits to our business.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capital expenditures, customer dissatisfaction and potential lawsuits, any of which could have a material adverse effect on our results of operations, financial condition and cash flows.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increasingly rely on third-party manufacturers for the manufacture and development of our products and product components.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have increased our utilization of third-party manufacturers for the manufacture and development of our products and product components, some of which are located overseas. Our results of operations, financial condition and cash flows could be materially adversely affected if our third-party manufacturers were to experience problems with product quality, credit or liquidity issues, or supply chain and logistics that could cause delays in delivery of the finished products and components or the raw materials used to make such products and components.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Legal, Regulatory and Compliance Risks</w:t>
      </w:r>
    </w:p>
    <w:p>
      <w:pPr>
        <w:pStyle w:val="TextBody"/>
        <w:bidi w:val="0"/>
        <w:spacing w:before="180" w:after="283"/>
        <w:jc w:val="both"/>
        <w:rPr>
          <w:rFonts w:ascii="Times New Roman" w:hAnsi="Times New Roman"/>
          <w:sz w:val="20"/>
        </w:rPr>
      </w:pPr>
      <w:r>
        <w:rPr>
          <w:rFonts w:ascii="Times New Roman" w:hAnsi="Times New Roman"/>
          <w:b/>
          <w:color w:val="000000"/>
          <w:sz w:val="20"/>
        </w:rPr>
        <w:t>Government tariffs and other actions may adversely affect our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United States government has, from time to time, implemented various monetary, regulatory, and trade importation restraints, penalties, and tariffs, and as a result of changes to United States and foreign government administrative policy, there may be changes to existing trade agreements, greater restrictions on free trade generally, the imposition of or significant increases in tariffs on goods imported into the United States, and adverse responses by foreign governments to United States trade policies, among other possible changes. 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 and certain of the components used in our products have been impacted by tariffs imposed on imports. Our efforts to mitigate the impact of added costs resulting from these government actions include a variety of activities, such as sourcing from non-tariff impacted countries and raising prices. We intend to implement such changes to try to pass the impact of tariff price increases to our customers, but there can be no assurance our customers will accept such price increases or that such price increases will not reduce or ability to gain new orders. If we are unable to successfully mitigate the impacts of these tariffs and other trade policies, our results of operations may be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any resulting negative sentiments towards the United States as a result of such changes, could have a material adverse effect on our results of operations, financial condition and cash flows.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Changes in government budget priorities, including the rollback of EV initiatives, political gridlock, and future potential government shutdown, have negatively impacted, and may in the future continue to negatively impact,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business strategy may rely, in part, on regulatory support for EV adoption, including incentives, mandates, infrastructure investment and emissions regulations and federal funding for EV infrastructure development. However, on January 20, 2025, President Trump signed Executive Order 14154 “Unleashing American Energy”, which has had, and may continue to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temporarily halted significant federal funding for EV infrastructure and successfully ordered the termination of federal subsidy programs for EVs.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Such disruption, reduction or elimination of governmental support for EV adoption, including any future reduction or elimination of federal funding, for EV infrastructure development, could negatively impact demand and payment for our products and services, hinder our growth initiatives and materially affect our results of operations,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Additionally, future actual and perceived changes in governmental budget priorities,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Continued or additional future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effect on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Strategic Risks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are experiencing ongoing increasing pressures to reduce the average selling price of our products and related negative impact on our gross margins driven largely by the ongoing increase in competition from foreign competitors.</w:t>
      </w:r>
    </w:p>
    <w:p>
      <w:pPr>
        <w:pStyle w:val="TextBody"/>
        <w:bidi w:val="0"/>
        <w:spacing w:before="180" w:after="283"/>
        <w:jc w:val="both"/>
        <w:rPr>
          <w:rFonts w:ascii="Times New Roman" w:hAnsi="Times New Roman"/>
          <w:sz w:val="20"/>
        </w:rPr>
      </w:pPr>
      <w:r>
        <w:rPr>
          <w:rFonts w:ascii="Times New Roman" w:hAnsi="Times New Roman"/>
          <w:color w:val="000000"/>
          <w:sz w:val="20"/>
        </w:rPr>
        <w:t>Our financial performance is dependent on our ability to maintain our average selling price of our products</w:t>
      </w:r>
      <w:r>
        <w:rPr>
          <w:rFonts w:ascii="Times New Roman" w:hAnsi="Times New Roman"/>
          <w:b/>
          <w:color w:val="000000"/>
          <w:sz w:val="20"/>
        </w:rPr>
        <w:t xml:space="preserve">. </w:t>
      </w:r>
      <w:r>
        <w:rPr>
          <w:rFonts w:ascii="Times New Roman" w:hAnsi="Times New Roman"/>
          <w:color w:val="000000"/>
          <w:sz w:val="20"/>
        </w:rPr>
        <w:t>The gross margins of our products can vary significantly, with margins ranging from 10% to 50%. While we continue to implement our strategy of emphasizing higher-margin products and services and reducing the material cost of our products, a change in the total mix of our sales toward lower margin products, the continued underutilization of our manufacturing facility and related under absorption of overhead costs, a decrease in the margins on our products as a result of competitive pressures driving down the average selling price of our products, lower sales volumes, and promotional programs to increase sales volumes significantly reduce our profitability and result in a material adverse effect on our results of operations, financial condition and cash flows. Furthermore, the average selling price of our products has been, and is likely to be further, negatively impacted by the impact of increasing foreign competition, the potential impact of tariffs or our component costs, product feature cannibalization by competitors or component providers, low-cost non-traditional sales methods by new market entrants, and comparison of our retrofit fixture products with replacement lamp equivalents. While we have previously implemented general price increases applicable to many new product orders, there is no assurance that such price increases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pStyle w:val="TextBody"/>
        <w:bidi w:val="0"/>
        <w:spacing w:before="180" w:after="283"/>
        <w:jc w:val="both"/>
        <w:rPr>
          <w:rFonts w:ascii="Times New Roman" w:hAnsi="Times New Roman"/>
          <w:sz w:val="20"/>
        </w:rPr>
      </w:pPr>
      <w:r>
        <w:rPr>
          <w:rFonts w:ascii="Times New Roman" w:hAnsi="Times New Roman"/>
          <w:b/>
          <w:color w:val="000000"/>
          <w:sz w:val="20"/>
        </w:rPr>
        <w:t>If we are unable to attract, incentivize and retain our third-party distributors, or our distributors do not sell our products and services at the levels expected, our revenues could decline and our costs could increase.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sell our products through distributors. Many of these distributors are not exclusive, which means that these distributors may sell other third-party products and services in direct competition with us. Since many of our competitors use distributors to sell their products and services, competition for such distributors is intense and may adversely affect our product pricing and gross margins. Additionally, due to mismanagement, industry trends, macro-economic developments, or other reasons, our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General Risk Factors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Adverse conditions in the global economy, including due to changes in diplomatic and trade relationships, have negatively impacted, and could in the future negatively impact, our customers, suppliers and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and an increasingly volatile economic outlook has led, and may continue to lead, customers to delay their purchase decisions, which has elongated the duration of our sales cycles. Additionally, price increases in raw materials, including steel and aluminum, may impact non-residential new build schedules, and may reduce demand for our products and services.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inability to attract and retain key employees, our reseller network members or manufacturer representative agencies could adversely affect our operations and our ability to execute on our operating plan and growth strategy.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success of our business depends upon market acceptance of our energy management products and services.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pStyle w:val="TextBody"/>
        <w:bidi w:val="0"/>
        <w:spacing w:before="180" w:after="283"/>
        <w:jc w:val="both"/>
        <w:rPr>
          <w:rFonts w:ascii="Times New Roman" w:hAnsi="Times New Roman"/>
          <w:sz w:val="20"/>
        </w:rPr>
      </w:pPr>
      <w:r>
        <w:rPr>
          <w:rFonts w:ascii="Times New Roman" w:hAnsi="Times New Roman"/>
          <w:b/>
          <w:color w:val="000000"/>
          <w:sz w:val="20"/>
        </w:rPr>
        <w:t>Macroeconomic pressures in the markets in which we operate or anticipate operating in the future may adversely affect our financial results.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Geopolitical issues around the world can impact macroeconomic conditions in where we operate and where we anticipate operating in the future and could have a material adverse impact on our financial results. For example, the ultimate impact of the conflicts in Ukraine and the Middle East on fuel prices, inflation, the global supply chain and other macroeconomic conditions is unknown and could materially adversely affect global economic growth, disrupting discretionary spending habits and generally decreasing demand for our products and services. While we do not purchase any of our significant raw materials directly from Russia or Israel, disruption in the markets resulting from such conflicts could negatively impact the macroeconomy. The conflicts in Ukraine and the Middle East may also continue to exacerbate geopolitical tensions globally.</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We operate in a highly competitive industry and, if we are unable to compete successfully, our results of operations, financial condition and cash flows will likely be materially adversely affected.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face strong competition, primarily from manufacturers and distributors of energy management products and services, as well as from ESCOs and electrical contractors. We are also facing increased competition from manufacturers in low-cost countries as the lighting market rapidly moves away from domestically made products toward sourced products at lower price points.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have, and may continue to, offer energy management products and services at reduced prices in order to improve their competitive positions. These competitive factors have, and may continue to, make it more difficult for us to attract and retain customers, or require us to lower our average selling prices in order to remain competitive, any of which could have a material adverse effect on our results of operations, financial condition and cash flows.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If we fail to establish and maintain effective internal controls over financial reporting, our business and financial results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retrofitting process frequently involves responsibility for the removal and disposal of components containing hazardous materials.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Product liability claims could adversely affect our business, results of operations and financial condition.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third parties have brought, and may bring future,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cost of compliance with environmental laws and regulations and any related environmental liabilities could adversely affect our results of operations, financial condition and 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pStyle w:val="TextBody"/>
        <w:bidi w:val="0"/>
        <w:jc w:val="left"/>
        <w:rPr/>
      </w:pPr>
      <w:r>
        <w:rPr/>
        <w:t> </w:t>
      </w:r>
    </w:p>
    <w:p>
      <w:pPr>
        <w:pStyle w:val="TextBody"/>
        <w:bidi w:val="0"/>
        <w:spacing w:before="280" w:after="283"/>
        <w:jc w:val="both"/>
        <w:rPr>
          <w:rFonts w:ascii="Times New Roman" w:hAnsi="Times New Roman"/>
          <w:b/>
          <w:color w:val="000000"/>
          <w:sz w:val="20"/>
        </w:rPr>
      </w:pPr>
      <w:bookmarkStart w:id="40" w:name="item_2__unregistered_sale_of_equity_secu"/>
      <w:bookmarkEnd w:id="40"/>
      <w:r>
        <w:rPr>
          <w:rFonts w:ascii="Times New Roman" w:hAnsi="Times New Roman"/>
          <w:b/>
          <w:color w:val="000000"/>
          <w:sz w:val="20"/>
        </w:rPr>
        <w:t>ITEM 2. UNREGISTERED SALES OF EQUITY SECURITIES AND USE OF PROCEEDS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December 31, 2025, none of our directors or officers adopted or terminated a "Rule 10b5-1 trading arrangement," or "non-Rule 10b5-1 trading arrangement," as each term is defined in Item 408(a) of Regulation S-K.</w:t>
        <w:b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1" w:name="item_6__exhibits"/>
      <w:bookmarkEnd w:id="41"/>
      <w:r>
        <w:rPr>
          <w:rFonts w:ascii="Times New Roman" w:hAnsi="Times New Roman"/>
          <w:b/>
          <w:color w:val="000000"/>
          <w:sz w:val="20"/>
        </w:rPr>
        <w:t>ITEM 6. EXHIBITS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
        <w:gridCol w:w="9500"/>
      </w:tblGrid>
      <w:tr>
        <w:trPr/>
        <w:tc>
          <w:tcPr>
            <w:tcW w:w="705" w:type="dxa"/>
            <w:tcBorders/>
            <w:vAlign w:val="center"/>
          </w:tcPr>
          <w:p>
            <w:pPr>
              <w:pStyle w:val="TableContents"/>
              <w:bidi w:val="0"/>
              <w:spacing w:before="0" w:after="283"/>
              <w:jc w:val="left"/>
              <w:rPr>
                <w:sz w:val="4"/>
                <w:szCs w:val="4"/>
              </w:rPr>
            </w:pPr>
            <w:r>
              <w:rPr>
                <w:sz w:val="4"/>
                <w:szCs w:val="4"/>
              </w:rPr>
            </w:r>
          </w:p>
        </w:tc>
        <w:tc>
          <w:tcPr>
            <w:tcW w:w="9500" w:type="dxa"/>
            <w:tcBorders/>
            <w:vAlign w:val="center"/>
          </w:tcPr>
          <w:p>
            <w:pPr>
              <w:pStyle w:val="TableContents"/>
              <w:bidi w:val="0"/>
              <w:spacing w:before="0" w:after="283"/>
              <w:jc w:val="left"/>
              <w:rPr>
                <w:sz w:val="4"/>
                <w:szCs w:val="4"/>
              </w:rPr>
            </w:pPr>
            <w:r>
              <w:rPr>
                <w:sz w:val="4"/>
                <w:szCs w:val="4"/>
              </w:rPr>
            </w:r>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to Amended and Restated Articles of Incorporation of Orion Energy Systems, Inc., effective August 22, 2025, filed as Exhibit 3.1 to Registrant's Current Report on Form 8-K filed on August 19, 2025, is hereby incorporated by reference.</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Term Sheet, dated June 23, 2025, by an between Orion Energy Systems, Inc., Final Frontier, LLC and Kathleen Connors, filed as Exhibit 10.1 to Registrant's Current Report on Form 8-K filed on October 3, 2025, is hereby incorporated by reference.</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Option Award Agreement, dated as of July 18, 2025, by and between Orion Energy Systems, Inc. and Sally A. Washlow (incorporated by reference to Appendix B to the Registrant's Definitive Proxy Statement on Schedule 14A, as filed with the Commission on July 7, 2025).</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oesx-ex31_1.htm">
              <w:r>
                <w:rPr>
                  <w:rStyle w:val="InternetLink"/>
                  <w:rFonts w:ascii="Times New Roman" w:hAnsi="Times New Roman"/>
                  <w:color w:val="0000FF"/>
                  <w:sz w:val="20"/>
                  <w:u w:val="single"/>
                </w:rPr>
                <w:t>Certification of Chief Executive Officer of Orion Energy Systems, Inc. pursuant to Rule 13a-14(a) or Rule 15d-14(a) promulgated under the Securities Exchange Act of 1934, as amended.+</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oesx-ex31_2.htm">
              <w:r>
                <w:rPr>
                  <w:rStyle w:val="InternetLink"/>
                  <w:rFonts w:ascii="Times New Roman" w:hAnsi="Times New Roman"/>
                  <w:color w:val="0000FF"/>
                  <w:sz w:val="20"/>
                  <w:u w:val="single"/>
                </w:rPr>
                <w:t>Certification of Chief Financial Officer of Orion Energy Systems, Inc. pursuant to Rule 13a-14(a) or Rule 15d-14(a) promulgated under the Securities Exchange Act of 1934, as amended.+</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oesx-ex32_1.htm">
              <w:r>
                <w:rPr>
                  <w:rStyle w:val="InternetLink"/>
                  <w:rFonts w:ascii="Times New Roman" w:hAnsi="Times New Roman"/>
                  <w:color w:val="0000FF"/>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oesx-ex32_2.htm">
              <w:r>
                <w:rPr>
                  <w:rStyle w:val="InternetLink"/>
                  <w:rFonts w:ascii="Times New Roman" w:hAnsi="Times New Roman"/>
                  <w:color w:val="0000FF"/>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December 31, 2025, has been formatted in Inline XBRL and is contained in Exhibit 101.</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signature"/>
      <w:bookmarkEnd w:id="42"/>
      <w:r>
        <w:rPr>
          <w:rFonts w:ascii="Times New Roman" w:hAnsi="Times New Roman"/>
          <w:b/>
          <w:color w:val="000000"/>
          <w:sz w:val="20"/>
        </w:rPr>
        <w:t>SIGNATURE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February 5, 2026.</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ENERGY SYSTEMS, INC.</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oesx-ex31_1.htm"/>
      <w:bookmarkStart w:id="44" w:name="ksoesxex31_1"/>
      <w:bookmarkEnd w:id="43"/>
      <w:bookmarkEnd w:id="44"/>
      <w:r>
        <w:rPr>
          <w:rFonts w:ascii="Times New Roman" w:hAnsi="Times New Roman"/>
          <w:b/>
          <w:color w:val="000000"/>
          <w:sz w:val="20"/>
        </w:rPr>
        <w:t>Exhibit 31.1</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Sally A. Washlow,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February 5, 2026</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Sally A. Washlow</w:t>
            </w:r>
          </w:p>
        </w:tc>
      </w:tr>
      <w:tr>
        <w:trPr/>
        <w:tc>
          <w:tcPr>
            <w:tcW w:w="211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90" w:after="283"/>
        <w:jc w:val="right"/>
        <w:rPr/>
      </w:pPr>
      <w:r>
        <w:rPr/>
        <w:t> </w:t>
      </w:r>
    </w:p>
    <w:p>
      <w:pPr>
        <w:pStyle w:val="TextBody"/>
        <w:bidi w:val="0"/>
        <w:spacing w:before="9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oesx-ex31_2.htm"/>
      <w:bookmarkStart w:id="46" w:name="ksoesxex31_2"/>
      <w:bookmarkEnd w:id="45"/>
      <w:bookmarkEnd w:id="46"/>
      <w:r>
        <w:rPr>
          <w:rFonts w:ascii="Times New Roman" w:hAnsi="Times New Roman"/>
          <w:b/>
          <w:color w:val="000000"/>
          <w:sz w:val="20"/>
        </w:rPr>
        <w:t>Exhibit 31.2</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J. Per Brodin,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February 5, 2026</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J. Per Brodin</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oesx-ex32_1.htm"/>
      <w:bookmarkStart w:id="48" w:name="ksoesxex32_1"/>
      <w:bookmarkEnd w:id="47"/>
      <w:bookmarkEnd w:id="48"/>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December 31, 2025, as filed with the Securities and Exchange Commission on the date hereof (the “Report”), I, Sally A. Washlow, Chief Executive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7" w:type="dxa"/>
        <w:jc w:val="left"/>
        <w:tblInd w:w="0" w:type="dxa"/>
        <w:tblLayout w:type="fixed"/>
        <w:tblCellMar>
          <w:top w:w="28" w:type="dxa"/>
          <w:left w:w="28" w:type="dxa"/>
          <w:bottom w:w="28" w:type="dxa"/>
          <w:right w:w="28" w:type="dxa"/>
        </w:tblCellMar>
      </w:tblPr>
      <w:tblGrid>
        <w:gridCol w:w="556"/>
        <w:gridCol w:w="1531"/>
      </w:tblGrid>
      <w:tr>
        <w:trPr/>
        <w:tc>
          <w:tcPr>
            <w:tcW w:w="55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5, 2026</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Sally A. Washlow</w:t>
            </w:r>
          </w:p>
        </w:tc>
      </w:tr>
      <w:tr>
        <w:trPr/>
        <w:tc>
          <w:tcPr>
            <w:tcW w:w="20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Sally A. Washlow</w:t>
            </w:r>
          </w:p>
        </w:tc>
      </w:tr>
      <w:tr>
        <w:trPr/>
        <w:tc>
          <w:tcPr>
            <w:tcW w:w="20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oesx-ex32_2.htm"/>
      <w:bookmarkStart w:id="50" w:name="ksoesxex32_2"/>
      <w:bookmarkEnd w:id="49"/>
      <w:bookmarkEnd w:id="50"/>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December 31, 2025,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087" w:type="dxa"/>
        <w:jc w:val="left"/>
        <w:tblInd w:w="0" w:type="dxa"/>
        <w:tblLayout w:type="fixed"/>
        <w:tblCellMar>
          <w:top w:w="28" w:type="dxa"/>
          <w:left w:w="28" w:type="dxa"/>
          <w:bottom w:w="28" w:type="dxa"/>
          <w:right w:w="28" w:type="dxa"/>
        </w:tblCellMar>
      </w:tblPr>
      <w:tblGrid>
        <w:gridCol w:w="556"/>
        <w:gridCol w:w="1531"/>
      </w:tblGrid>
      <w:tr>
        <w:trPr/>
        <w:tc>
          <w:tcPr>
            <w:tcW w:w="55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5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5, 2026</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208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 Per Brodin</w:t>
            </w:r>
          </w:p>
        </w:tc>
      </w:tr>
      <w:tr>
        <w:trPr/>
        <w:tc>
          <w:tcPr>
            <w:tcW w:w="20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9375/000119312525183453/d946146dex31.htm" TargetMode="External"/><Relationship Id="rId3" Type="http://schemas.openxmlformats.org/officeDocument/2006/relationships/hyperlink" Target="https://www.sec.gov/Archives/edgar/data/1409375/000119312525230223/oesx-ex10_1.htm" TargetMode="External"/><Relationship Id="rId4" Type="http://schemas.openxmlformats.org/officeDocument/2006/relationships/hyperlink" Target="https://www.sec.gov/ix?doc=/Archives/edgar/data/0001409375/000119312525156236/d88587ddef14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28684</Words>
  <Characters>156586</Characters>
  <CharactersWithSpaces>186733</CharactersWithSpaces>
  <Paragraphs>7780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