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esx-20240930.htm"/>
      <w:bookmarkStart w:id="1" w:name="ksoesx202409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0" w:after="120"/>
        <w:jc w:val="center"/>
        <w:rPr/>
      </w:pPr>
      <w:r>
        <w:rPr/>
        <w:t> </w:t>
      </w:r>
    </w:p>
    <w:p>
      <w:pPr>
        <w:pStyle w:val="TextBody"/>
        <w:bidi w:val="0"/>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001-33887</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Orion Energy Systems,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303" w:type="dxa"/>
        <w:jc w:val="left"/>
        <w:tblInd w:w="0" w:type="dxa"/>
        <w:tblLayout w:type="fixed"/>
        <w:tblCellMar>
          <w:top w:w="28" w:type="dxa"/>
          <w:left w:w="28" w:type="dxa"/>
          <w:bottom w:w="28" w:type="dxa"/>
          <w:right w:w="28" w:type="dxa"/>
        </w:tblCellMar>
      </w:tblPr>
      <w:tblGrid>
        <w:gridCol w:w="2371"/>
        <w:gridCol w:w="146"/>
        <w:gridCol w:w="17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46" w:type="dxa"/>
            <w:tcBorders/>
            <w:vAlign w:val="center"/>
          </w:tcPr>
          <w:p>
            <w:pPr>
              <w:pStyle w:val="TableContents"/>
              <w:bidi w:val="0"/>
              <w:spacing w:before="0" w:after="283"/>
              <w:jc w:val="center"/>
              <w:rPr/>
            </w:pPr>
            <w:r>
              <w:rPr/>
              <w:t> </w:t>
            </w:r>
          </w:p>
        </w:tc>
        <w:tc>
          <w:tcPr>
            <w:tcW w:w="17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39-1847269</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7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tbl>
      <w:tblPr>
        <w:tblW w:w="5023" w:type="dxa"/>
        <w:jc w:val="left"/>
        <w:tblInd w:w="0" w:type="dxa"/>
        <w:tblLayout w:type="fixed"/>
        <w:tblCellMar>
          <w:top w:w="28" w:type="dxa"/>
          <w:left w:w="28" w:type="dxa"/>
          <w:bottom w:w="28" w:type="dxa"/>
          <w:right w:w="28" w:type="dxa"/>
        </w:tblCellMar>
      </w:tblPr>
      <w:tblGrid>
        <w:gridCol w:w="3991"/>
        <w:gridCol w:w="146"/>
        <w:gridCol w:w="88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9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2210 Woodland Drive, Manitowoc, Wisconsin</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54220</w:t>
            </w:r>
          </w:p>
        </w:tc>
      </w:tr>
      <w:tr>
        <w:trPr/>
        <w:tc>
          <w:tcPr>
            <w:tcW w:w="399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88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Registrant’s telephone number, including area code: (920) 892-9340</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7390" w:type="dxa"/>
        <w:jc w:val="left"/>
        <w:tblInd w:w="0" w:type="dxa"/>
        <w:tblLayout w:type="fixed"/>
        <w:tblCellMar>
          <w:top w:w="28" w:type="dxa"/>
          <w:left w:w="28" w:type="dxa"/>
          <w:bottom w:w="28" w:type="dxa"/>
          <w:right w:w="28" w:type="dxa"/>
        </w:tblCellMar>
      </w:tblPr>
      <w:tblGrid>
        <w:gridCol w:w="2131"/>
        <w:gridCol w:w="146"/>
        <w:gridCol w:w="1501"/>
        <w:gridCol w:w="146"/>
        <w:gridCol w:w="346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21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no par value</w:t>
            </w:r>
          </w:p>
        </w:tc>
        <w:tc>
          <w:tcPr>
            <w:tcW w:w="146" w:type="dxa"/>
            <w:tcBorders/>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OESX</w:t>
            </w:r>
          </w:p>
        </w:tc>
        <w:tc>
          <w:tcPr>
            <w:tcW w:w="146" w:type="dxa"/>
            <w:tcBorders/>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The Nasdaq Stock Market LLC</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(NASDAQ Capital Market)</w:t>
            </w:r>
          </w:p>
        </w:tc>
      </w:tr>
    </w:tbl>
    <w:p>
      <w:pPr>
        <w:pStyle w:val="TextBody"/>
        <w:bidi w:val="0"/>
        <w:spacing w:before="100" w:after="283"/>
        <w:jc w:val="both"/>
        <w:rPr/>
      </w:pPr>
      <w:r>
        <w:rPr/>
        <w:t> </w:t>
      </w:r>
    </w:p>
    <w:p>
      <w:pPr>
        <w:pStyle w:val="TextBody"/>
        <w:bidi w:val="0"/>
        <w:spacing w:before="10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6"/>
        </w:rPr>
        <w:t>There were 32,906,731</w:t>
      </w:r>
      <w:r>
        <w:rPr>
          <w:rFonts w:ascii="Times New Roman" w:hAnsi="Times New Roman"/>
          <w:color w:val="000000"/>
          <w:sz w:val="20"/>
        </w:rPr>
        <w:t xml:space="preserve"> </w:t>
      </w:r>
      <w:r>
        <w:rPr>
          <w:rFonts w:ascii="Times New Roman" w:hAnsi="Times New Roman"/>
          <w:color w:val="000000"/>
          <w:sz w:val="16"/>
        </w:rPr>
        <w:t>shares of the Registrant’s common stock outstanding on November 5, 2024.</w:t>
      </w:r>
    </w:p>
    <w:p>
      <w:pPr>
        <w:pStyle w:val="TextBody"/>
        <w:pBdr>
          <w:bottom w:val="double" w:sz="4" w:space="3"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able_of_contents"/>
      <w:bookmarkEnd w:id="2"/>
      <w:r>
        <w:rPr>
          <w:rFonts w:ascii="Times New Roman" w:hAnsi="Times New Roman"/>
          <w:b/>
          <w:color w:val="000000"/>
          <w:sz w:val="20"/>
        </w:rPr>
        <w:t>ORION ENERGY SYSTEMS, INC.</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 ENDED SEPTEMBER 30, 2024</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5"/>
        <w:gridCol w:w="8712"/>
        <w:gridCol w:w="658"/>
      </w:tblGrid>
      <w:tr>
        <w:trPr/>
        <w:tc>
          <w:tcPr>
            <w:tcW w:w="835" w:type="dxa"/>
            <w:tcBorders/>
            <w:vAlign w:val="center"/>
          </w:tcPr>
          <w:p>
            <w:pPr>
              <w:pStyle w:val="TableContents"/>
              <w:bidi w:val="0"/>
              <w:spacing w:before="0" w:after="283"/>
              <w:jc w:val="left"/>
              <w:rPr>
                <w:sz w:val="4"/>
                <w:szCs w:val="4"/>
              </w:rPr>
            </w:pPr>
            <w:r>
              <w:rPr>
                <w:sz w:val="4"/>
                <w:szCs w:val="4"/>
              </w:rPr>
            </w:r>
          </w:p>
        </w:tc>
        <w:tc>
          <w:tcPr>
            <w:tcW w:w="871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835" w:type="dxa"/>
            <w:tcBorders/>
            <w:vAlign w:val="center"/>
          </w:tcPr>
          <w:p>
            <w:pPr>
              <w:pStyle w:val="TableContents"/>
              <w:bidi w:val="0"/>
              <w:spacing w:before="40" w:after="40"/>
              <w:jc w:val="left"/>
              <w:rPr/>
            </w:pPr>
            <w:r>
              <w:rPr/>
              <w:t> </w:t>
            </w:r>
          </w:p>
        </w:tc>
        <w:tc>
          <w:tcPr>
            <w:tcW w:w="8712" w:type="dxa"/>
            <w:tcBorders/>
            <w:vAlign w:val="center"/>
          </w:tcPr>
          <w:p>
            <w:pPr>
              <w:pStyle w:val="TableContents"/>
              <w:bidi w:val="0"/>
              <w:spacing w:before="40" w:after="40"/>
              <w:jc w:val="left"/>
              <w:rPr/>
            </w:pPr>
            <w:r>
              <w:rPr/>
              <w:t> </w:t>
            </w:r>
          </w:p>
        </w:tc>
        <w:tc>
          <w:tcPr>
            <w:tcW w:w="658"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Times New Roman" w:hAnsi="Times New Roman"/>
                <w:b/>
                <w:color w:val="000000"/>
                <w:sz w:val="16"/>
              </w:rPr>
            </w:pPr>
            <w:r>
              <w:rPr>
                <w:rFonts w:ascii="Times New Roman" w:hAnsi="Times New Roman"/>
                <w:b/>
                <w:color w:val="000000"/>
                <w:sz w:val="16"/>
              </w:rPr>
              <w:t>Page(s)</w:t>
            </w:r>
          </w:p>
        </w:tc>
      </w:tr>
      <w:tr>
        <w:trPr/>
        <w:tc>
          <w:tcPr>
            <w:tcW w:w="9547" w:type="dxa"/>
            <w:gridSpan w:val="2"/>
            <w:tcBorders/>
            <w:vAlign w:val="center"/>
          </w:tcPr>
          <w:p>
            <w:pPr>
              <w:pStyle w:val="TableContents"/>
              <w:bidi w:val="0"/>
              <w:spacing w:before="40" w:after="40"/>
              <w:jc w:val="left"/>
              <w:rPr/>
            </w:pPr>
            <w:hyperlink w:anchor="part_i_financial_information">
              <w:r>
                <w:rPr>
                  <w:rStyle w:val="InternetLink"/>
                  <w:rFonts w:ascii="Times New Roman" w:hAnsi="Times New Roman"/>
                  <w:color w:val="0000FF"/>
                  <w:sz w:val="20"/>
                  <w:u w:val="single"/>
                </w:rPr>
                <w:t>PART I FINANCIAL INFORMATION</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712" w:type="dxa"/>
            <w:tcBorders/>
            <w:vAlign w:val="center"/>
          </w:tcPr>
          <w:p>
            <w:pPr>
              <w:pStyle w:val="TableContents"/>
              <w:bidi w:val="0"/>
              <w:spacing w:before="40" w:after="40"/>
              <w:jc w:val="left"/>
              <w:rPr/>
            </w:pPr>
            <w:hyperlink w:anchor="item_1__financial_statements">
              <w:r>
                <w:rPr>
                  <w:rStyle w:val="InternetLink"/>
                  <w:rFonts w:ascii="Times New Roman" w:hAnsi="Times New Roman"/>
                  <w:color w:val="0000FF"/>
                  <w:sz w:val="20"/>
                  <w:u w:val="single"/>
                </w:rPr>
                <w:t>Financial Statements (unaudited)</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5" w:type="dxa"/>
            <w:tcBorders/>
            <w:vAlign w:val="center"/>
          </w:tcPr>
          <w:p>
            <w:pPr>
              <w:pStyle w:val="TableContents"/>
              <w:bidi w:val="0"/>
              <w:spacing w:before="40" w:after="40"/>
              <w:jc w:val="left"/>
              <w:rPr/>
            </w:pPr>
            <w:r>
              <w:rPr/>
              <w:t> </w:t>
            </w:r>
          </w:p>
        </w:tc>
        <w:tc>
          <w:tcPr>
            <w:tcW w:w="8712" w:type="dxa"/>
            <w:tcBorders/>
            <w:vAlign w:val="center"/>
          </w:tcPr>
          <w:p>
            <w:pPr>
              <w:pStyle w:val="TableContents"/>
              <w:bidi w:val="0"/>
              <w:spacing w:before="40" w:after="40"/>
              <w:jc w:val="left"/>
              <w:rPr/>
            </w:pPr>
            <w:hyperlink w:anchor="condensed_consolidated_balance">
              <w:r>
                <w:rPr>
                  <w:rStyle w:val="InternetLink"/>
                  <w:rFonts w:ascii="Times New Roman" w:hAnsi="Times New Roman"/>
                  <w:color w:val="0000FF"/>
                  <w:sz w:val="20"/>
                  <w:u w:val="single"/>
                </w:rPr>
                <w:t>Condensed Consolidated Balance Sheets as of September 30, 2024 and March 31, 2024</w:t>
              </w:r>
            </w:hyperlink>
          </w:p>
        </w:tc>
        <w:tc>
          <w:tcPr>
            <w:tcW w:w="658" w:type="dxa"/>
            <w:tcBorders/>
            <w:vAlign w:val="center"/>
          </w:tcPr>
          <w:p>
            <w:pPr>
              <w:pStyle w:val="TableContents"/>
              <w:bidi w:val="0"/>
              <w:spacing w:before="30" w:after="30"/>
              <w:jc w:val="right"/>
              <w:rPr>
                <w:rFonts w:ascii="Times New Roman" w:hAnsi="Times New Roman"/>
                <w:color w:val="000000"/>
                <w:sz w:val="20"/>
              </w:rPr>
            </w:pPr>
            <w:r>
              <w:rPr>
                <w:rFonts w:ascii="Times New Roman" w:hAnsi="Times New Roman"/>
                <w:color w:val="000000"/>
                <w:sz w:val="20"/>
              </w:rPr>
              <w:t>3</w:t>
            </w:r>
          </w:p>
        </w:tc>
      </w:tr>
      <w:tr>
        <w:trPr/>
        <w:tc>
          <w:tcPr>
            <w:tcW w:w="835" w:type="dxa"/>
            <w:tcBorders/>
            <w:vAlign w:val="center"/>
          </w:tcPr>
          <w:p>
            <w:pPr>
              <w:pStyle w:val="TableContents"/>
              <w:bidi w:val="0"/>
              <w:spacing w:before="40" w:after="40"/>
              <w:jc w:val="left"/>
              <w:rPr/>
            </w:pPr>
            <w:r>
              <w:rPr/>
              <w:t> </w:t>
            </w:r>
          </w:p>
        </w:tc>
        <w:tc>
          <w:tcPr>
            <w:tcW w:w="8712" w:type="dxa"/>
            <w:tcBorders/>
            <w:vAlign w:val="center"/>
          </w:tcPr>
          <w:p>
            <w:pPr>
              <w:pStyle w:val="TableContents"/>
              <w:bidi w:val="0"/>
              <w:spacing w:before="40" w:after="40"/>
              <w:jc w:val="left"/>
              <w:rPr/>
            </w:pPr>
            <w:hyperlink w:anchor="unaudited_condensed_consolidated_stateme">
              <w:r>
                <w:rPr>
                  <w:rStyle w:val="InternetLink"/>
                  <w:rFonts w:ascii="Times New Roman" w:hAnsi="Times New Roman"/>
                  <w:color w:val="0000FF"/>
                  <w:sz w:val="20"/>
                  <w:u w:val="single"/>
                </w:rPr>
                <w:t>Condensed Consolidated Statements of Operations for the Three and Six Months Ended September 30, 2024 and September 30, 2023</w:t>
              </w:r>
            </w:hyperlink>
          </w:p>
        </w:tc>
        <w:tc>
          <w:tcPr>
            <w:tcW w:w="658" w:type="dxa"/>
            <w:tcBorders/>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4</w:t>
            </w:r>
          </w:p>
        </w:tc>
      </w:tr>
      <w:tr>
        <w:trPr/>
        <w:tc>
          <w:tcPr>
            <w:tcW w:w="835" w:type="dxa"/>
            <w:tcBorders/>
            <w:vAlign w:val="center"/>
          </w:tcPr>
          <w:p>
            <w:pPr>
              <w:pStyle w:val="TableContents"/>
              <w:bidi w:val="0"/>
              <w:spacing w:before="40" w:after="40"/>
              <w:jc w:val="left"/>
              <w:rPr/>
            </w:pPr>
            <w:r>
              <w:rPr/>
              <w:t> </w:t>
            </w:r>
          </w:p>
        </w:tc>
        <w:tc>
          <w:tcPr>
            <w:tcW w:w="8712" w:type="dxa"/>
            <w:tcBorders/>
            <w:vAlign w:val="center"/>
          </w:tcPr>
          <w:p>
            <w:pPr>
              <w:pStyle w:val="TableContents"/>
              <w:bidi w:val="0"/>
              <w:spacing w:before="40" w:after="40"/>
              <w:jc w:val="left"/>
              <w:rPr/>
            </w:pPr>
            <w:hyperlink w:anchor="statements_shareholders_equity">
              <w:r>
                <w:rPr>
                  <w:rStyle w:val="InternetLink"/>
                  <w:rFonts w:ascii="Times New Roman" w:hAnsi="Times New Roman"/>
                  <w:color w:val="0000FF"/>
                  <w:sz w:val="20"/>
                  <w:u w:val="single"/>
                </w:rPr>
                <w:t>Condensed Consolidated Statements of Shareholders’ Equity for the Three and Six Months Ended September 30, 2024 and September 30, 2023</w:t>
              </w:r>
            </w:hyperlink>
          </w:p>
        </w:tc>
        <w:tc>
          <w:tcPr>
            <w:tcW w:w="658" w:type="dxa"/>
            <w:tcBorders/>
            <w:vAlign w:val="center"/>
          </w:tcPr>
          <w:p>
            <w:pPr>
              <w:pStyle w:val="TableContents"/>
              <w:bidi w:val="0"/>
              <w:spacing w:before="10" w:after="10"/>
              <w:jc w:val="right"/>
              <w:rPr>
                <w:rFonts w:ascii="Times New Roman" w:hAnsi="Times New Roman"/>
                <w:color w:val="000000"/>
                <w:sz w:val="20"/>
              </w:rPr>
            </w:pPr>
            <w:r>
              <w:rPr>
                <w:rFonts w:ascii="Times New Roman" w:hAnsi="Times New Roman"/>
                <w:color w:val="000000"/>
                <w:sz w:val="20"/>
              </w:rPr>
              <w:t>5</w:t>
            </w:r>
          </w:p>
        </w:tc>
      </w:tr>
      <w:tr>
        <w:trPr/>
        <w:tc>
          <w:tcPr>
            <w:tcW w:w="835" w:type="dxa"/>
            <w:tcBorders/>
            <w:vAlign w:val="center"/>
          </w:tcPr>
          <w:p>
            <w:pPr>
              <w:pStyle w:val="TableContents"/>
              <w:bidi w:val="0"/>
              <w:spacing w:before="40" w:after="40"/>
              <w:jc w:val="left"/>
              <w:rPr/>
            </w:pPr>
            <w:r>
              <w:rPr/>
              <w:t> </w:t>
            </w:r>
          </w:p>
        </w:tc>
        <w:tc>
          <w:tcPr>
            <w:tcW w:w="8712" w:type="dxa"/>
            <w:tcBorders/>
            <w:vAlign w:val="center"/>
          </w:tcPr>
          <w:p>
            <w:pPr>
              <w:pStyle w:val="TableContents"/>
              <w:bidi w:val="0"/>
              <w:spacing w:before="40" w:after="40"/>
              <w:jc w:val="left"/>
              <w:rPr/>
            </w:pPr>
            <w:hyperlink w:anchor="consolidated_stateme_cash_flow">
              <w:r>
                <w:rPr>
                  <w:rStyle w:val="InternetLink"/>
                  <w:rFonts w:ascii="Times New Roman" w:hAnsi="Times New Roman"/>
                  <w:color w:val="0000FF"/>
                  <w:sz w:val="20"/>
                  <w:u w:val="single"/>
                </w:rPr>
                <w:t>Condensed Consolidated Statements of Cash Flows for the Six Months Ended September 30, 2024 and September 30, 2023</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5" w:type="dxa"/>
            <w:tcBorders/>
            <w:vAlign w:val="center"/>
          </w:tcPr>
          <w:p>
            <w:pPr>
              <w:pStyle w:val="TableContents"/>
              <w:bidi w:val="0"/>
              <w:spacing w:before="40" w:after="40"/>
              <w:jc w:val="left"/>
              <w:rPr/>
            </w:pPr>
            <w:r>
              <w:rPr/>
              <w:t> </w:t>
            </w:r>
          </w:p>
        </w:tc>
        <w:tc>
          <w:tcPr>
            <w:tcW w:w="8712" w:type="dxa"/>
            <w:tcBorders/>
            <w:vAlign w:val="center"/>
          </w:tcPr>
          <w:p>
            <w:pPr>
              <w:pStyle w:val="TableContents"/>
              <w:bidi w:val="0"/>
              <w:spacing w:before="40" w:after="40"/>
              <w:jc w:val="left"/>
              <w:rPr/>
            </w:pPr>
            <w:hyperlink w:anchor="notes_to_condensed_consolidate_financial">
              <w:r>
                <w:rPr>
                  <w:rStyle w:val="InternetLink"/>
                  <w:rFonts w:ascii="Times New Roman" w:hAnsi="Times New Roman"/>
                  <w:color w:val="0000FF"/>
                  <w:sz w:val="20"/>
                  <w:u w:val="single"/>
                </w:rPr>
                <w:t>Notes to the Condensed Consolidated Financial Statements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712" w:type="dxa"/>
            <w:tcBorders/>
            <w:vAlign w:val="center"/>
          </w:tcPr>
          <w:p>
            <w:pPr>
              <w:pStyle w:val="TableContents"/>
              <w:bidi w:val="0"/>
              <w:spacing w:before="40" w:after="40"/>
              <w:jc w:val="left"/>
              <w:rPr/>
            </w:pPr>
            <w:hyperlink w:anchor="item_2__management_s_discussion_and_anal">
              <w:r>
                <w:rPr>
                  <w:rStyle w:val="InternetLink"/>
                  <w:rFonts w:ascii="Times New Roman" w:hAnsi="Times New Roman"/>
                  <w:color w:val="0000FF"/>
                  <w:sz w:val="20"/>
                  <w:u w:val="single"/>
                </w:rPr>
                <w:t>Management’s Discussion and Analysis of Financial Condition and Results of Operations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3.</w:t>
            </w:r>
          </w:p>
        </w:tc>
        <w:tc>
          <w:tcPr>
            <w:tcW w:w="8712" w:type="dxa"/>
            <w:tcBorders/>
            <w:vAlign w:val="center"/>
          </w:tcPr>
          <w:p>
            <w:pPr>
              <w:pStyle w:val="TableContents"/>
              <w:bidi w:val="0"/>
              <w:spacing w:before="40" w:after="40"/>
              <w:jc w:val="left"/>
              <w:rPr/>
            </w:pPr>
            <w:hyperlink w:anchor="item_3__quantitative_and_qualitative_dis">
              <w:r>
                <w:rPr>
                  <w:rStyle w:val="InternetLink"/>
                  <w:rFonts w:ascii="Times New Roman" w:hAnsi="Times New Roman"/>
                  <w:color w:val="0000FF"/>
                  <w:sz w:val="20"/>
                  <w:u w:val="single"/>
                </w:rPr>
                <w:t>Quantitative and Qualitative Disclosures about Market Risk</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4.</w:t>
            </w:r>
          </w:p>
        </w:tc>
        <w:tc>
          <w:tcPr>
            <w:tcW w:w="8712" w:type="dxa"/>
            <w:tcBorders/>
            <w:vAlign w:val="center"/>
          </w:tcPr>
          <w:p>
            <w:pPr>
              <w:pStyle w:val="TableContents"/>
              <w:bidi w:val="0"/>
              <w:spacing w:before="40" w:after="40"/>
              <w:jc w:val="left"/>
              <w:rPr/>
            </w:pPr>
            <w:hyperlink w:anchor="item_4__controls_and_procedures">
              <w:r>
                <w:rPr>
                  <w:rStyle w:val="InternetLink"/>
                  <w:rFonts w:ascii="Times New Roman" w:hAnsi="Times New Roman"/>
                  <w:color w:val="0000FF"/>
                  <w:sz w:val="20"/>
                  <w:u w:val="single"/>
                </w:rPr>
                <w:t>Controls and Procedures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9547" w:type="dxa"/>
            <w:gridSpan w:val="2"/>
            <w:tcBorders/>
            <w:vAlign w:val="center"/>
          </w:tcPr>
          <w:p>
            <w:pPr>
              <w:pStyle w:val="TableContents"/>
              <w:bidi w:val="0"/>
              <w:spacing w:before="40" w:after="40"/>
              <w:jc w:val="left"/>
              <w:rPr/>
            </w:pPr>
            <w:hyperlink w:anchor="part_ii_other_information">
              <w:r>
                <w:rPr>
                  <w:rStyle w:val="InternetLink"/>
                  <w:rFonts w:ascii="Times New Roman" w:hAnsi="Times New Roman"/>
                  <w:color w:val="0000FF"/>
                  <w:sz w:val="20"/>
                  <w:u w:val="single"/>
                </w:rPr>
                <w:t>PART II OTHER INFORMATION</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w:t>
            </w:r>
          </w:p>
        </w:tc>
        <w:tc>
          <w:tcPr>
            <w:tcW w:w="8712" w:type="dxa"/>
            <w:tcBorders/>
            <w:vAlign w:val="center"/>
          </w:tcPr>
          <w:p>
            <w:pPr>
              <w:pStyle w:val="TableContents"/>
              <w:bidi w:val="0"/>
              <w:spacing w:before="40" w:after="40"/>
              <w:jc w:val="left"/>
              <w:rPr/>
            </w:pPr>
            <w:hyperlink w:anchor="item_1__legal_proceedings">
              <w:r>
                <w:rPr>
                  <w:rStyle w:val="InternetLink"/>
                  <w:rFonts w:ascii="Times New Roman" w:hAnsi="Times New Roman"/>
                  <w:color w:val="0000FF"/>
                  <w:sz w:val="20"/>
                  <w:u w:val="single"/>
                </w:rPr>
                <w:t>Legal Proceedings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1A.</w:t>
            </w:r>
          </w:p>
        </w:tc>
        <w:tc>
          <w:tcPr>
            <w:tcW w:w="8712" w:type="dxa"/>
            <w:tcBorders/>
            <w:vAlign w:val="center"/>
          </w:tcPr>
          <w:p>
            <w:pPr>
              <w:pStyle w:val="TableContents"/>
              <w:bidi w:val="0"/>
              <w:spacing w:before="40" w:after="40"/>
              <w:jc w:val="left"/>
              <w:rPr/>
            </w:pPr>
            <w:hyperlink w:anchor="item_1a__risk_factors">
              <w:r>
                <w:rPr>
                  <w:rStyle w:val="InternetLink"/>
                  <w:rFonts w:ascii="Times New Roman" w:hAnsi="Times New Roman"/>
                  <w:color w:val="0000FF"/>
                  <w:sz w:val="20"/>
                  <w:u w:val="single"/>
                </w:rPr>
                <w:t>Risk Factors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2.</w:t>
            </w:r>
          </w:p>
        </w:tc>
        <w:tc>
          <w:tcPr>
            <w:tcW w:w="8712" w:type="dxa"/>
            <w:tcBorders/>
            <w:vAlign w:val="center"/>
          </w:tcPr>
          <w:p>
            <w:pPr>
              <w:pStyle w:val="TableContents"/>
              <w:bidi w:val="0"/>
              <w:spacing w:before="40" w:after="40"/>
              <w:jc w:val="left"/>
              <w:rPr/>
            </w:pPr>
            <w:hyperlink w:anchor="item_2__unregistered_sale_of_equity_secu">
              <w:r>
                <w:rPr>
                  <w:rStyle w:val="InternetLink"/>
                  <w:rFonts w:ascii="Times New Roman" w:hAnsi="Times New Roman"/>
                  <w:color w:val="0000FF"/>
                  <w:sz w:val="20"/>
                  <w:u w:val="single"/>
                </w:rPr>
                <w:t>Unregistered Sales of Equity Securities and Use of Proceeds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5.</w:t>
            </w:r>
          </w:p>
        </w:tc>
        <w:tc>
          <w:tcPr>
            <w:tcW w:w="8712" w:type="dxa"/>
            <w:tcBorders/>
            <w:vAlign w:val="center"/>
          </w:tcPr>
          <w:p>
            <w:pPr>
              <w:pStyle w:val="TableContents"/>
              <w:bidi w:val="0"/>
              <w:spacing w:before="40" w:after="40"/>
              <w:jc w:val="left"/>
              <w:rPr/>
            </w:pPr>
            <w:hyperlink w:anchor="item_5__other_information">
              <w:r>
                <w:rPr>
                  <w:rStyle w:val="InternetLink"/>
                  <w:rFonts w:ascii="Times New Roman" w:hAnsi="Times New Roman"/>
                  <w:color w:val="0000FF"/>
                  <w:sz w:val="20"/>
                  <w:u w:val="single"/>
                </w:rPr>
                <w:t>Other Information</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35" w:type="dxa"/>
            <w:tcBorders/>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ITEM 6.</w:t>
            </w:r>
          </w:p>
        </w:tc>
        <w:tc>
          <w:tcPr>
            <w:tcW w:w="8712" w:type="dxa"/>
            <w:tcBorders/>
            <w:vAlign w:val="center"/>
          </w:tcPr>
          <w:p>
            <w:pPr>
              <w:pStyle w:val="TableContents"/>
              <w:bidi w:val="0"/>
              <w:spacing w:before="40" w:after="40"/>
              <w:jc w:val="left"/>
              <w:rPr/>
            </w:pPr>
            <w:hyperlink w:anchor="item_6__exhibits">
              <w:r>
                <w:rPr>
                  <w:rStyle w:val="InternetLink"/>
                  <w:rFonts w:ascii="Times New Roman" w:hAnsi="Times New Roman"/>
                  <w:color w:val="0000FF"/>
                  <w:sz w:val="20"/>
                  <w:u w:val="single"/>
                </w:rPr>
                <w:t>Exhibits</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9547" w:type="dxa"/>
            <w:gridSpan w:val="2"/>
            <w:tcBorders/>
            <w:vAlign w:val="center"/>
          </w:tcPr>
          <w:p>
            <w:pPr>
              <w:pStyle w:val="TableContents"/>
              <w:bidi w:val="0"/>
              <w:spacing w:before="40" w:after="40"/>
              <w:jc w:val="left"/>
              <w:rPr/>
            </w:pPr>
            <w:hyperlink w:anchor="signature">
              <w:r>
                <w:rPr>
                  <w:rStyle w:val="InternetLink"/>
                  <w:rFonts w:ascii="Times New Roman" w:hAnsi="Times New Roman"/>
                  <w:color w:val="0000FF"/>
                  <w:sz w:val="20"/>
                  <w:u w:val="single"/>
                </w:rPr>
                <w:t>SIGNATURE</w:t>
              </w:r>
            </w:hyperlink>
          </w:p>
        </w:tc>
        <w:tc>
          <w:tcPr>
            <w:tcW w:w="658"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bl>
    <w:p>
      <w:pPr>
        <w:pStyle w:val="TextBody"/>
        <w:bidi w:val="0"/>
        <w:spacing w:before="60" w:after="283"/>
        <w:jc w:val="left"/>
        <w:rPr/>
      </w:pPr>
      <w:r>
        <w:rPr/>
        <w:t> </w:t>
      </w:r>
    </w:p>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180" w:after="283"/>
        <w:jc w:val="both"/>
        <w:rPr>
          <w:rFonts w:ascii="Times New Roman" w:hAnsi="Times New Roman"/>
          <w:b/>
          <w:color w:val="000000"/>
          <w:sz w:val="20"/>
        </w:rPr>
      </w:pPr>
      <w:bookmarkStart w:id="4" w:name="item_1__financial_statements"/>
      <w:bookmarkEnd w:id="4"/>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bookmarkStart w:id="5" w:name="unaudited_condensed_consolidated_balance"/>
      <w:bookmarkEnd w:id="5"/>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6" w:name="condensed_consolidated_balance"/>
      <w:bookmarkEnd w:id="6"/>
      <w:r>
        <w:rPr>
          <w:rFonts w:ascii="Times New Roman" w:hAnsi="Times New Roman"/>
          <w:b/>
          <w:color w:val="000000"/>
          <w:sz w:val="20"/>
        </w:rPr>
        <w:t>UNAUDITED 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5"/>
        <w:gridCol w:w="146"/>
        <w:gridCol w:w="288"/>
        <w:gridCol w:w="1148"/>
        <w:gridCol w:w="166"/>
        <w:gridCol w:w="146"/>
        <w:gridCol w:w="242"/>
        <w:gridCol w:w="971"/>
        <w:gridCol w:w="413"/>
      </w:tblGrid>
      <w:tr>
        <w:trPr/>
        <w:tc>
          <w:tcPr>
            <w:tcW w:w="6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6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44,822</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vAlign w:val="center"/>
          </w:tcPr>
          <w:p>
            <w:pPr>
              <w:pStyle w:val="TableContents"/>
              <w:bidi w:val="0"/>
              <w:spacing w:before="0" w:after="283"/>
              <w:jc w:val="left"/>
              <w:rPr/>
            </w:pPr>
            <w:r>
              <w:rPr/>
              <w:t> </w:t>
            </w:r>
          </w:p>
        </w:tc>
        <w:tc>
          <w:tcPr>
            <w:tcW w:w="14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18,350</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9,440</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current</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28,053</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4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3"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righ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46" w:type="dxa"/>
            <w:tcBorders/>
            <w:shd w:fill="CFF0FC" w:val="clear"/>
            <w:vAlign w:val="center"/>
          </w:tcPr>
          <w:p>
            <w:pPr>
              <w:pStyle w:val="TableContents"/>
              <w:bidi w:val="0"/>
              <w:spacing w:before="0" w:after="283"/>
              <w:jc w:val="left"/>
              <w:rPr/>
            </w:pPr>
            <w:r>
              <w:rPr/>
              <w:t> </w:t>
            </w:r>
          </w:p>
        </w:tc>
        <w:tc>
          <w:tcPr>
            <w:tcW w:w="14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3"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$0.01 par value: Shares authorized: 30,000,000 at</w:t>
              <w:br/>
              <w:t xml:space="preserve">   September 30, 2024 and March 31, 2024; no shares issued and outstanding at </w:t>
              <w:br/>
              <w:t>   September 30, 2024 and March 31, 2024</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no par value: Shares authorized: 200,000,000 at </w:t>
              <w:br/>
              <w:t xml:space="preserve">September 30, 2024 and March 31, 2024; shares issued: 42,375,801 at </w:t>
              <w:br/>
              <w:t xml:space="preserve">September 30, 2024 and 42,038,967 at March 31, 2024; shares outstanding: </w:t>
              <w:br/>
              <w:t>32,905,731 at September 30, 2024 and 32,567,746 at March 31, 2024</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jc w:val="left"/>
              <w:rPr/>
            </w:pPr>
            <w:r>
              <w:rPr/>
              <w:t> </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413" w:type="dxa"/>
            <w:tcBorders/>
            <w:shd w:fill="FFFFFF" w:val="clear"/>
            <w:vAlign w:val="center"/>
          </w:tcPr>
          <w:p>
            <w:pPr>
              <w:pStyle w:val="TableContents"/>
              <w:bidi w:val="0"/>
              <w:spacing w:before="0" w:after="283"/>
              <w:jc w:val="left"/>
              <w:rPr/>
            </w:pPr>
            <w:r>
              <w:rPr/>
              <w:t> </w:t>
            </w:r>
          </w:p>
        </w:tc>
      </w:tr>
      <w:tr>
        <w:trPr/>
        <w:tc>
          <w:tcPr>
            <w:tcW w:w="668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common shares: 9,470,070 at September 30, 2024 and 9,471,221 at March 31, 2024</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pPr>
            <w:r>
              <w:rPr/>
              <w:t> </w:t>
            </w:r>
          </w:p>
        </w:tc>
        <w:tc>
          <w:tcPr>
            <w:tcW w:w="1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2"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4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deficit</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shareholders’ equity</w:t>
            </w:r>
          </w:p>
        </w:tc>
        <w:tc>
          <w:tcPr>
            <w:tcW w:w="146" w:type="dxa"/>
            <w:tcBorders/>
            <w:shd w:fill="CFF0FC" w:val="cle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 and shareholders’ equity</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7" w:name="unaudited_condensed_consolidated_stateme"/>
      <w:bookmarkEnd w:id="7"/>
      <w:r>
        <w:rPr>
          <w:rFonts w:ascii="Times New Roman" w:hAnsi="Times New Roman"/>
          <w:b/>
          <w:color w:val="000000"/>
          <w:sz w:val="20"/>
        </w:rPr>
        <w:t>UNAUDITED 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4"/>
        <w:gridCol w:w="146"/>
        <w:gridCol w:w="211"/>
        <w:gridCol w:w="1036"/>
        <w:gridCol w:w="166"/>
        <w:gridCol w:w="146"/>
        <w:gridCol w:w="211"/>
        <w:gridCol w:w="1036"/>
        <w:gridCol w:w="166"/>
        <w:gridCol w:w="146"/>
        <w:gridCol w:w="211"/>
        <w:gridCol w:w="1036"/>
        <w:gridCol w:w="166"/>
        <w:gridCol w:w="146"/>
        <w:gridCol w:w="211"/>
        <w:gridCol w:w="1036"/>
        <w:gridCol w:w="391"/>
      </w:tblGrid>
      <w:tr>
        <w:trPr/>
        <w:tc>
          <w:tcPr>
            <w:tcW w:w="3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391" w:type="dxa"/>
            <w:tcBorders/>
            <w:shd w:fill="CFF0FC" w:val="cle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38,199</w:t>
            </w:r>
          </w:p>
        </w:tc>
        <w:tc>
          <w:tcPr>
            <w:tcW w:w="391" w:type="dxa"/>
            <w:tcBorders/>
            <w:shd w:fill="CFF0FC" w:val="cle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w:t>
            </w:r>
          </w:p>
        </w:tc>
        <w:tc>
          <w:tcPr>
            <w:tcW w:w="391" w:type="dxa"/>
            <w:tcBorders/>
            <w:shd w:fill="FFFFFF" w:val="cle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391" w:type="dxa"/>
            <w:tcBorders/>
            <w:shd w:fill="CFF0FC" w:val="cle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w:t>
            </w:r>
          </w:p>
        </w:tc>
        <w:tc>
          <w:tcPr>
            <w:tcW w:w="391" w:type="dxa"/>
            <w:tcBorders/>
            <w:shd w:fill="CFF0FC" w:val="cle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shd w:fill="FFFFFF" w:val="cle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w:t>
            </w:r>
          </w:p>
        </w:tc>
        <w:tc>
          <w:tcPr>
            <w:tcW w:w="391" w:type="dxa"/>
            <w:tcBorders/>
            <w:shd w:fill="CFF0FC" w:val="cle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FFFFFF" w:val="cle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vAlign w:val="center"/>
          </w:tcPr>
          <w:p>
            <w:pPr>
              <w:pStyle w:val="TableContents"/>
              <w:bidi w:val="0"/>
              <w:spacing w:before="0" w:after="283"/>
              <w:jc w:val="left"/>
              <w:rPr/>
            </w:pPr>
            <w:r>
              <w:rPr/>
              <w:t> </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per share attributable to</w:t>
              <w:br/>
              <w:t>   common shareholders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32,502,566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32,424,623</w:t>
            </w:r>
          </w:p>
        </w:tc>
        <w:tc>
          <w:tcPr>
            <w:tcW w:w="391" w:type="dxa"/>
            <w:tcBorders/>
            <w:shd w:fill="FFFFFF" w:val="clear"/>
            <w:vAlign w:val="center"/>
          </w:tcPr>
          <w:p>
            <w:pPr>
              <w:pStyle w:val="TableContents"/>
              <w:bidi w:val="0"/>
              <w:spacing w:before="0" w:after="283"/>
              <w:jc w:val="left"/>
              <w:rPr/>
            </w:pPr>
            <w:r>
              <w:rPr/>
              <w:t> </w:t>
            </w:r>
          </w:p>
        </w:tc>
      </w:tr>
      <w:tr>
        <w:trPr/>
        <w:tc>
          <w:tcPr>
            <w:tcW w:w="37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share</w:t>
              <w:br/>
              <w:t>   equivalents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32,502,566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32,424,623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8" w:name="statements_shareholders_equity"/>
      <w:bookmarkEnd w:id="8"/>
      <w:r>
        <w:rPr>
          <w:rFonts w:ascii="Times New Roman" w:hAnsi="Times New Roman"/>
          <w:b/>
          <w:color w:val="000000"/>
          <w:sz w:val="20"/>
        </w:rPr>
        <w:t>UNAUDITED CONDENSED CONSOLIDATED STATEMENTS OF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21"/>
        <w:gridCol w:w="146"/>
        <w:gridCol w:w="146"/>
        <w:gridCol w:w="1036"/>
        <w:gridCol w:w="146"/>
        <w:gridCol w:w="146"/>
        <w:gridCol w:w="211"/>
        <w:gridCol w:w="781"/>
        <w:gridCol w:w="146"/>
        <w:gridCol w:w="146"/>
        <w:gridCol w:w="211"/>
        <w:gridCol w:w="736"/>
        <w:gridCol w:w="166"/>
        <w:gridCol w:w="146"/>
        <w:gridCol w:w="211"/>
        <w:gridCol w:w="841"/>
        <w:gridCol w:w="166"/>
        <w:gridCol w:w="146"/>
        <w:gridCol w:w="271"/>
        <w:gridCol w:w="873"/>
        <w:gridCol w:w="213"/>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32,567,746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FFFFFF" w:val="cle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32,743,409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19,079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FFFFFF" w:val="cle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32,905,731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1"/>
        <w:gridCol w:w="146"/>
        <w:gridCol w:w="146"/>
        <w:gridCol w:w="1036"/>
        <w:gridCol w:w="146"/>
        <w:gridCol w:w="146"/>
        <w:gridCol w:w="211"/>
        <w:gridCol w:w="781"/>
        <w:gridCol w:w="146"/>
        <w:gridCol w:w="146"/>
        <w:gridCol w:w="211"/>
        <w:gridCol w:w="736"/>
        <w:gridCol w:w="166"/>
        <w:gridCol w:w="146"/>
        <w:gridCol w:w="211"/>
        <w:gridCol w:w="841"/>
        <w:gridCol w:w="166"/>
        <w:gridCol w:w="146"/>
        <w:gridCol w:w="271"/>
        <w:gridCol w:w="873"/>
        <w:gridCol w:w="213"/>
      </w:tblGrid>
      <w:tr>
        <w:trPr/>
        <w:tc>
          <w:tcPr>
            <w:tcW w:w="3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52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 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 xml:space="preserve">Paid-in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Retained </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 xml:space="preserve">Shareholders’ </w:t>
              <w:b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32,295,408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33,249</w:t>
            </w:r>
          </w:p>
        </w:tc>
        <w:tc>
          <w:tcPr>
            <w:tcW w:w="213" w:type="dxa"/>
            <w:tcBorders/>
            <w:shd w:fill="FFFFFF" w:val="cle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3" w:type="dxa"/>
            <w:tcBorders/>
            <w:shd w:fill="FFFFFF" w:val="cle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32,502,558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under Employee Stock Purchase</w:t>
              <w:br/>
              <w:t>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7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CFF0FC" w:val="cle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7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3" w:type="dxa"/>
            <w:tcBorders/>
            <w:shd w:fill="FFFFFF" w:val="clear"/>
            <w:vAlign w:val="center"/>
          </w:tcPr>
          <w:p>
            <w:pPr>
              <w:pStyle w:val="TableContents"/>
              <w:bidi w:val="0"/>
              <w:spacing w:before="0" w:after="283"/>
              <w:jc w:val="left"/>
              <w:rPr/>
            </w:pPr>
            <w:r>
              <w:rPr/>
              <w:t> </w:t>
            </w:r>
          </w:p>
        </w:tc>
      </w:tr>
      <w:tr>
        <w:trPr/>
        <w:tc>
          <w:tcPr>
            <w:tcW w:w="3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32,503,320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condensed_consolidated_statements_of_cas"/>
      <w:bookmarkEnd w:id="9"/>
      <w:r>
        <w:rPr>
          <w:rFonts w:ascii="Times New Roman" w:hAnsi="Times New Roman"/>
          <w:b/>
          <w:color w:val="000000"/>
          <w:sz w:val="20"/>
        </w:rPr>
        <w:t>ORION ENERGY SYSTEMS, INC. AND SUBSIDIARIES</w:t>
      </w:r>
    </w:p>
    <w:p>
      <w:pPr>
        <w:pStyle w:val="TextBody"/>
        <w:bidi w:val="0"/>
        <w:jc w:val="center"/>
        <w:rPr>
          <w:rFonts w:ascii="Times New Roman" w:hAnsi="Times New Roman"/>
          <w:b/>
          <w:color w:val="000000"/>
          <w:sz w:val="20"/>
        </w:rPr>
      </w:pPr>
      <w:bookmarkStart w:id="10" w:name="consolidated_stateme_cash_flow"/>
      <w:bookmarkEnd w:id="10"/>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9882" w:type="dxa"/>
        <w:jc w:val="left"/>
        <w:tblInd w:w="0" w:type="dxa"/>
        <w:tblLayout w:type="fixed"/>
        <w:tblCellMar>
          <w:top w:w="28" w:type="dxa"/>
          <w:left w:w="28" w:type="dxa"/>
          <w:bottom w:w="28" w:type="dxa"/>
          <w:right w:w="28" w:type="dxa"/>
        </w:tblCellMar>
      </w:tblPr>
      <w:tblGrid>
        <w:gridCol w:w="6636"/>
        <w:gridCol w:w="146"/>
        <w:gridCol w:w="250"/>
        <w:gridCol w:w="748"/>
        <w:gridCol w:w="196"/>
        <w:gridCol w:w="173"/>
        <w:gridCol w:w="250"/>
        <w:gridCol w:w="872"/>
        <w:gridCol w:w="6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w:t>
              <w:br/>
              <w:t>operating activities:</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Loss on sale of property and equipment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inventory reserves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Revenue earned but not billed</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w:t>
            </w:r>
          </w:p>
        </w:tc>
        <w:tc>
          <w:tcPr>
            <w:tcW w:w="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63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revenue, current and long-term</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9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Additions to patents and licenses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7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 of long-term debt</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Payments of revolving credit facility</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employee equity exercises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(11,967</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 obtained in exchange for new operating lease liabilities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6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orion_energy_systems_inc_subsidiaries"/>
      <w:bookmarkEnd w:id="11"/>
      <w:r>
        <w:rPr>
          <w:rFonts w:ascii="Times New Roman" w:hAnsi="Times New Roman"/>
          <w:b/>
          <w:color w:val="000000"/>
          <w:sz w:val="20"/>
        </w:rPr>
        <w:t>ORION ENERGY SYSTEMS, INC. AND SUBSIDIARIES</w:t>
      </w:r>
    </w:p>
    <w:p>
      <w:pPr>
        <w:pStyle w:val="TextBody"/>
        <w:bidi w:val="0"/>
        <w:jc w:val="center"/>
        <w:rPr>
          <w:rFonts w:ascii="Times New Roman" w:hAnsi="Times New Roman"/>
          <w:sz w:val="20"/>
        </w:rPr>
      </w:pPr>
      <w:bookmarkStart w:id="12" w:name="notes_to_condensed_consolidate_financial"/>
      <w:bookmarkEnd w:id="12"/>
      <w:r>
        <w:rPr>
          <w:rFonts w:ascii="Times New Roman" w:hAnsi="Times New Roman"/>
          <w:b/>
          <w:color w:val="000000"/>
          <w:sz w:val="20"/>
        </w:rPr>
        <w:t>UNAUDITED NOTES TO THE CONDENSED C</w:t>
      </w:r>
      <w:bookmarkStart w:id="13" w:name="unaudited_notes_to_condensed_consolidate"/>
      <w:bookmarkEnd w:id="13"/>
      <w:r>
        <w:rPr>
          <w:rFonts w:ascii="Times New Roman" w:hAnsi="Times New Roman"/>
          <w:b/>
          <w:color w:val="000000"/>
          <w:sz w:val="20"/>
        </w:rPr>
        <w:t>ONSOLIDATED FINANCIAL STATEMENTS</w:t>
      </w:r>
    </w:p>
    <w:p>
      <w:pPr>
        <w:pStyle w:val="TextBody"/>
        <w:bidi w:val="0"/>
        <w:spacing w:before="180" w:after="283"/>
        <w:jc w:val="left"/>
        <w:rPr>
          <w:rFonts w:ascii="Times New Roman" w:hAnsi="Times New Roman"/>
          <w:b/>
          <w:color w:val="000000"/>
          <w:sz w:val="20"/>
        </w:rPr>
      </w:pPr>
      <w:bookmarkStart w:id="14" w:name="note_1___description_of_business"/>
      <w:bookmarkEnd w:id="14"/>
      <w:r>
        <w:rPr>
          <w:rFonts w:ascii="Times New Roman" w:hAnsi="Times New Roman"/>
          <w:b/>
          <w:color w:val="000000"/>
          <w:sz w:val="20"/>
        </w:rPr>
        <w:t>NOTE 1 — DESCRIPTION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includes Orion Energy Systems, Inc., a Wisconsin corporation, and all consolidated subsidiaries. Orion provides light emitting diode lighting systems, wireless Internet of Things enabled control solutions, project engineering, energy project management design, maintenance services and turnkey electric vehicle charging station installation services to commercial and industrial businesses, and federal and local governments, predominantly in North America.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corporate offices and leased primary manufacturing operations are located in Manitowoc, Wisconsin. Orion also leases office space in Jacksonville, Florida and Lawrence, Massachusetts. Additionally, Orion had a lease in Pewaukee, Wisconsin that ended in August of the current fiscal year.</w:t>
      </w:r>
    </w:p>
    <w:p>
      <w:pPr>
        <w:pStyle w:val="TextBody"/>
        <w:bidi w:val="0"/>
        <w:spacing w:before="280" w:after="283"/>
        <w:jc w:val="left"/>
        <w:rPr>
          <w:rFonts w:ascii="Times New Roman" w:hAnsi="Times New Roman"/>
          <w:b/>
          <w:color w:val="000000"/>
          <w:sz w:val="20"/>
        </w:rPr>
      </w:pPr>
      <w:bookmarkStart w:id="15" w:name="note_2___summary_of_significant_accounti"/>
      <w:bookmarkEnd w:id="15"/>
      <w:r>
        <w:rPr>
          <w:rFonts w:ascii="Times New Roman" w:hAnsi="Times New Roman"/>
          <w:b/>
          <w:color w:val="000000"/>
          <w:sz w:val="20"/>
        </w:rPr>
        <w:t>NOTE 2 — SUMMARY OF SIGNIFICANT ACCOUNTING POLICIES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consolidated financial statements include the accounts of Orion Energy Systems, Inc. and its wholly-owned subsidiaries. All significant intercompany transactions and balances have been eliminated in consolidation.</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2025 or other interim periods.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Condensed Consolidated Balance Sheet as of March 31, 2024 has been derived from the audited consolidated financial statements at that date but does not include all of the information required by GAAP for complete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should be read in conjunction with the audited consolidated financial statements and footnotes thereto included in Orion’s Annual Report on Form 10-K for the fiscal year ended March 31, 2024 filed with the SEC on June 12, 2024.</w:t>
      </w:r>
    </w:p>
    <w:p>
      <w:pPr>
        <w:pStyle w:val="TextBody"/>
        <w:bidi w:val="0"/>
        <w:spacing w:before="280" w:after="283"/>
        <w:jc w:val="left"/>
        <w:rPr>
          <w:rFonts w:ascii="Times New Roman" w:hAnsi="Times New Roman"/>
          <w:sz w:val="20"/>
        </w:rPr>
      </w:pPr>
      <w:r>
        <w:rPr>
          <w:rFonts w:ascii="Times New Roman" w:hAnsi="Times New Roman"/>
          <w:b/>
          <w:i/>
          <w:color w:val="000000"/>
          <w:sz w:val="20"/>
        </w:rPr>
        <w:t>Allowance for Credit Losses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performs ongoing evaluations of its customers and continuously monitors collections and payments. Orion estimates an allowance for credit losses based upon the historical collectability based on past due status and makes judgments about the creditworthiness of customers based on ongoing credit evaluations. We also consider customer-specific information, current market conditions, and reasonable and supportable forecasts of future economic conditions.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net realizable value of inventory, allowance for credit losses, accruals for warranty and loss contingencies, earn-out, income taxes, impairment analyses, and certain equity transactions. Accordingly,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Concentration of Credit Risk and Other Risks and Uncertainties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cash is primarily deposited with one financial institution. At times, deposits in this institution exceeds the amount of insurance provided on such deposits. Orion has not experienced any losses in such accounts and believes that it is not exposed to any significant financial institution viability risk on these balances.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purchases components necessary for its lighting products, including lamps and LED components, from multiple suppliers. For the three and six months ended September 30, 2024 and 2023, no suppliers accounted for more than 10% of total cost of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September 30, 2024, two customers accounted for 25.0% and 12.5% of total revenue, respectively. For the six months ended September 30, 2024, two customers accounted for 23.0% and 10.4% of total revenue, respectively. For the three months ended September 30, 2023, two customers accounted for 18.2% and 10.7% of total revenue, respectively. For the six months ended September 30, 2023, two customers accounted for 19.3% and 10.8% of total revenue,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one customer accounted for 21.7% and one customer accounted for 17.9% of accounts receivable. As of March 31, 2024, two customers accounted for 17.3% and 11.7% of accounts receivable, respectively.</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Issued: Not Yet Adopted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November 2023, the FASB issued ASU No. 2023-07, Segment Reporting (Topic 280): Improvements to Reportable Segment Disclosures, which modifies the disclosure and presentation requirements of reportable segments. The amendments in the update require the disclosure of significant segment expenses that are regularly provided to the chief operating decision maker (the "CODM") and included within each reported measure of segment profit and loss. The amendments also require disclosure of all other segment items by reportable segment and a description of its composition. Additionally, the amendments require disclosure of the title and position of the CODM and an explanation of how the CODM uses the reported measure(s) of segment profit or loss in assessing segment performance and deciding how to allocate resources. This update is effective for annual periods beginning after December 15, 2023, and interim periods within fiscal years beginning after December 15, 2024. Early adoption is permitted. Orion is currently evaluating the impact that this guidance will have on the presentation of its consolidated financial statements and accompanying notes.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FASB issued ASU No. 2023-09, Income Taxes (Topic 740): Improvements to Income Tax Disclosures, which expands disclosures in an entity's income tax rate reconciliation table and disclosures regarding cash taxes paid both in the U.S. and foreign jurisdictions. The update will be effective for annual periods beginning after December 15, 2025. Orion is currently evaluating the impact that this guidance will have on the presentation of its consolidated financial statements and accompanying notes.</w:t>
      </w:r>
    </w:p>
    <w:p>
      <w:pPr>
        <w:pStyle w:val="TextBody"/>
        <w:bidi w:val="0"/>
        <w:spacing w:before="280" w:after="283"/>
        <w:jc w:val="both"/>
        <w:rPr>
          <w:rFonts w:ascii="Times New Roman" w:hAnsi="Times New Roman"/>
          <w:b/>
          <w:color w:val="000000"/>
          <w:sz w:val="20"/>
        </w:rPr>
      </w:pPr>
      <w:bookmarkStart w:id="16" w:name="note_3___revenue"/>
      <w:bookmarkEnd w:id="16"/>
      <w:r>
        <w:rPr>
          <w:rFonts w:ascii="Times New Roman" w:hAnsi="Times New Roman"/>
          <w:b/>
          <w:color w:val="000000"/>
          <w:sz w:val="20"/>
        </w:rPr>
        <w:t>NOTE 3 — REVENUE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generates revenue primarily by selling manufactured or sourced commercial lighting fixtures and components, sourced electric vehicle chargers and related products, installing these products in customer’s facilities, and providing maintenance services including repairs and replacements for the lighting and related electrical components. Orion recognizes revenue in accordance with the guidance in “Revenue from Contracts with Customers” (Topic 606) when control of the goods or services being provided (which Orion refers to as a performance obligation) is transferred to a customer at an amount that reflects the consideration Orion expects to receive in exchange for those goods or services.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sale of charging stations and related software subscriptions, renewals and extended warranty is presented in Product revenue. Orion is the principal in the sales of charging stations as it has control of the physical products prior to transfer to the customer. Accordingly, revenue is recognized on a gross basis. For certain sales, primarily software subscriptions, renewals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extended warranty, Orion is the sales agent providing access to the content and recognize commission revenue net of amounts due to third parties who fulfill the performance obligation. For these sales, control passes at the point in time upon providing access of the content to the customer.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sale of installation and services related to the EV charging business is presented in Service revenue. Revenue from the EV segment that includes both the sale of product and service is allocated between the product and service performance obligations based on relative standalone selling prices, and is recorded in Product revenue and Service revenue, respectively, in the Condensed Consolidated Statement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Revenue from the lighting maintenance offering that includes both the sale of Orion manufactured or sourced product and service is allocated between the product and service performance obligations based on relative standalone selling prices, and is recorded in Product revenue and Service revenue, respectively, in the Condensed Consolidated Statement of Operations.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provide detail of Orion’s total revenue for the three and six months ended September 30, 2024 and September 30, 2023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11"/>
        <w:gridCol w:w="571"/>
        <w:gridCol w:w="146"/>
        <w:gridCol w:w="146"/>
        <w:gridCol w:w="211"/>
        <w:gridCol w:w="676"/>
        <w:gridCol w:w="146"/>
        <w:gridCol w:w="146"/>
        <w:gridCol w:w="211"/>
        <w:gridCol w:w="676"/>
        <w:gridCol w:w="146"/>
        <w:gridCol w:w="146"/>
        <w:gridCol w:w="211"/>
        <w:gridCol w:w="676"/>
        <w:gridCol w:w="146"/>
        <w:gridCol w:w="146"/>
        <w:gridCol w:w="211"/>
        <w:gridCol w:w="676"/>
        <w:gridCol w:w="2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Product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contracts with customers: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Lighting product and installation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 vehicle charging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09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Solar energy related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accounted for under other guidance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From time to time, Orion sells the receivables from one customer to a financing institution. The total amount received from the advances of these receivables was $0.6 million for the three and six months ended September 30, 2024. Orion's losses on these sales were $18 thousand for the three and six months ended September 30, 2024, and are included in Interest expense in the Condensed Consolidated Statement of Operations. There was no activity during the three and six months ended September 30,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balance of Orion’s receivables arising from contracts with customers, contract assets and contract liabilities as of September 30, 2024 and March 31, 2024 (dollars in thousands):</w:t>
      </w:r>
    </w:p>
    <w:p>
      <w:pPr>
        <w:pStyle w:val="TextBody"/>
        <w:bidi w:val="0"/>
        <w:jc w:val="both"/>
        <w:rPr/>
      </w:pPr>
      <w:r>
        <w:rPr/>
        <w:t> </w:t>
      </w:r>
    </w:p>
    <w:tbl>
      <w:tblPr>
        <w:tblW w:w="5507" w:type="dxa"/>
        <w:jc w:val="left"/>
        <w:tblInd w:w="0" w:type="dxa"/>
        <w:tblLayout w:type="fixed"/>
        <w:tblCellMar>
          <w:top w:w="28" w:type="dxa"/>
          <w:left w:w="28" w:type="dxa"/>
          <w:bottom w:w="28" w:type="dxa"/>
          <w:right w:w="28" w:type="dxa"/>
        </w:tblCellMar>
      </w:tblPr>
      <w:tblGrid>
        <w:gridCol w:w="2851"/>
        <w:gridCol w:w="146"/>
        <w:gridCol w:w="271"/>
        <w:gridCol w:w="869"/>
        <w:gridCol w:w="146"/>
        <w:gridCol w:w="146"/>
        <w:gridCol w:w="211"/>
        <w:gridCol w:w="676"/>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19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earned but not billed (1)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9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$0.2 million of our revenue earned but not billed is accounted for as a sales type lease under ASC 842, and therefore not considered a "contract asset", which is an asset defined by ASC 606.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Includes the unamortized portion of the funds received from the federal government in 2010 and 2011 as reimbursement for the costs to build the two facilities related to the PPAs. As the transaction is not considered a contract with a customer, this value is not a contract liability as defined by ASC 606.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significant changes in the contract assets outside of standard increases which are partially offset by reclassifications to accounts receivable, net upon billing. Deferred revenue, current as of September 30, 2024 and March 31, 2024, includes $0.2 million and $0.1 million, respectively, of contract liabilities which represent consideration received from a new customer contract on which installation has not yet begun and Orion has not fulfilled the promises included. Of the $0.1 million outstanding as of March 31, 2024, $0.1 million has been recognized as revenue.</w:t>
      </w:r>
    </w:p>
    <w:p>
      <w:pPr>
        <w:pStyle w:val="TextBody"/>
        <w:bidi w:val="0"/>
        <w:spacing w:before="280" w:after="283"/>
        <w:jc w:val="both"/>
        <w:rPr>
          <w:rFonts w:ascii="Times New Roman" w:hAnsi="Times New Roman"/>
          <w:b/>
          <w:color w:val="000000"/>
          <w:sz w:val="20"/>
        </w:rPr>
      </w:pPr>
      <w:bookmarkStart w:id="17" w:name="note_4___accounts_receivable"/>
      <w:bookmarkEnd w:id="17"/>
      <w:r>
        <w:rPr>
          <w:rFonts w:ascii="Times New Roman" w:hAnsi="Times New Roman"/>
          <w:b/>
          <w:color w:val="000000"/>
          <w:sz w:val="20"/>
        </w:rPr>
        <w:t>NOTE 4 — ACCOUNTS RECEIVABLE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and March 31, 2024, Orion's accounts receivable and allowance for credit losses balances were as follows (dollars in thousands):</w:t>
      </w:r>
    </w:p>
    <w:p>
      <w:pPr>
        <w:pStyle w:val="TextBody"/>
        <w:bidi w:val="0"/>
        <w:jc w:val="both"/>
        <w:rPr/>
      </w:pPr>
      <w:r>
        <w:rPr/>
        <w:t> </w:t>
      </w:r>
    </w:p>
    <w:tbl>
      <w:tblPr>
        <w:tblW w:w="4992" w:type="dxa"/>
        <w:jc w:val="left"/>
        <w:tblInd w:w="0" w:type="dxa"/>
        <w:tblLayout w:type="fixed"/>
        <w:tblCellMar>
          <w:top w:w="28" w:type="dxa"/>
          <w:left w:w="28" w:type="dxa"/>
          <w:bottom w:w="28" w:type="dxa"/>
          <w:right w:w="28" w:type="dxa"/>
        </w:tblCellMar>
      </w:tblPr>
      <w:tblGrid>
        <w:gridCol w:w="2296"/>
        <w:gridCol w:w="146"/>
        <w:gridCol w:w="271"/>
        <w:gridCol w:w="869"/>
        <w:gridCol w:w="166"/>
        <w:gridCol w:w="146"/>
        <w:gridCol w:w="211"/>
        <w:gridCol w:w="676"/>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gross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14,094</w:t>
            </w:r>
          </w:p>
        </w:tc>
        <w:tc>
          <w:tcPr>
            <w:tcW w:w="211" w:type="dxa"/>
            <w:tcBorders/>
            <w:shd w:fill="CFF0FC"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Changes in Orion’s allowance for credit losses were as follows (dollars in thousands):</w:t>
      </w:r>
    </w:p>
    <w:tbl>
      <w:tblPr>
        <w:tblW w:w="6621" w:type="dxa"/>
        <w:jc w:val="left"/>
        <w:tblInd w:w="0" w:type="dxa"/>
        <w:tblLayout w:type="fixed"/>
        <w:tblCellMar>
          <w:top w:w="28" w:type="dxa"/>
          <w:left w:w="28" w:type="dxa"/>
          <w:bottom w:w="28" w:type="dxa"/>
          <w:right w:w="28" w:type="dxa"/>
        </w:tblCellMar>
      </w:tblPr>
      <w:tblGrid>
        <w:gridCol w:w="1771"/>
        <w:gridCol w:w="146"/>
        <w:gridCol w:w="272"/>
        <w:gridCol w:w="621"/>
        <w:gridCol w:w="214"/>
        <w:gridCol w:w="188"/>
        <w:gridCol w:w="272"/>
        <w:gridCol w:w="621"/>
        <w:gridCol w:w="166"/>
        <w:gridCol w:w="146"/>
        <w:gridCol w:w="264"/>
        <w:gridCol w:w="471"/>
        <w:gridCol w:w="208"/>
        <w:gridCol w:w="183"/>
        <w:gridCol w:w="264"/>
        <w:gridCol w:w="603"/>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6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18" w:name="note_5___inventories"/>
      <w:bookmarkEnd w:id="18"/>
      <w:r>
        <w:rPr>
          <w:rFonts w:ascii="Times New Roman" w:hAnsi="Times New Roman"/>
          <w:b/>
          <w:color w:val="000000"/>
          <w:sz w:val="20"/>
        </w:rPr>
        <w:t>NOTE 5 —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and March 31, 2024, Orion's inventory balances were as follows (dollars in thousands):</w:t>
      </w:r>
    </w:p>
    <w:p>
      <w:pPr>
        <w:pStyle w:val="TextBody"/>
        <w:bidi w:val="0"/>
        <w:jc w:val="left"/>
        <w:rPr/>
      </w:pPr>
      <w:r>
        <w:rPr/>
        <w:t> </w:t>
      </w:r>
    </w:p>
    <w:tbl>
      <w:tblPr>
        <w:tblW w:w="4494" w:type="dxa"/>
        <w:jc w:val="left"/>
        <w:tblInd w:w="0" w:type="dxa"/>
        <w:tblLayout w:type="fixed"/>
        <w:tblCellMar>
          <w:top w:w="28" w:type="dxa"/>
          <w:left w:w="28" w:type="dxa"/>
          <w:bottom w:w="28" w:type="dxa"/>
          <w:right w:w="28" w:type="dxa"/>
        </w:tblCellMar>
      </w:tblPr>
      <w:tblGrid>
        <w:gridCol w:w="2841"/>
        <w:gridCol w:w="146"/>
        <w:gridCol w:w="217"/>
        <w:gridCol w:w="699"/>
        <w:gridCol w:w="591"/>
      </w:tblGrid>
      <w:tr>
        <w:trPr/>
        <w:tc>
          <w:tcPr>
            <w:tcW w:w="2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Inventories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September 30, 2024</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2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of March 31, 2024</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Raw materials and components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8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8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NOTE 6 — PREPAID EXPENSES AND OTHER CURRENT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current assets consist primarily of prepaid insurance premiums, debt issue costs, prepaid subscription fees and value added tax receivable. Prepaid expenses totaled $1.6 million and $1.3 million as of September 30, 2024 and March 31, 2024, respectively.</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current assets as of September 30, 2024 and March 31, 2024 consists primarily of $0.3 million and $1.6 million, respectively, of prepaid software and services.</w:t>
      </w:r>
    </w:p>
    <w:p>
      <w:pPr>
        <w:pStyle w:val="TextBody"/>
        <w:bidi w:val="0"/>
        <w:jc w:val="both"/>
        <w:rPr/>
      </w:pPr>
      <w:r>
        <w:rPr/>
        <w:t> </w:t>
      </w:r>
    </w:p>
    <w:p>
      <w:pPr>
        <w:pStyle w:val="TextBody"/>
        <w:bidi w:val="0"/>
        <w:spacing w:before="280" w:after="283"/>
        <w:jc w:val="left"/>
        <w:rPr>
          <w:rFonts w:ascii="Times New Roman" w:hAnsi="Times New Roman"/>
          <w:b/>
          <w:color w:val="000000"/>
          <w:sz w:val="20"/>
        </w:rPr>
      </w:pPr>
      <w:bookmarkStart w:id="19" w:name="note_7___property_and_equipment"/>
      <w:bookmarkEnd w:id="19"/>
      <w:r>
        <w:rPr>
          <w:rFonts w:ascii="Times New Roman" w:hAnsi="Times New Roman"/>
          <w:b/>
          <w:color w:val="000000"/>
          <w:sz w:val="20"/>
        </w:rPr>
        <w:t>NOTE 7 —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and March 31, 2024, property and equipment, net, included the following (dollars in thousands):</w:t>
      </w:r>
    </w:p>
    <w:p>
      <w:pPr>
        <w:pStyle w:val="TextBody"/>
        <w:bidi w:val="0"/>
        <w:jc w:val="left"/>
        <w:rPr/>
      </w:pPr>
      <w:r>
        <w:rPr/>
        <w:t> </w:t>
      </w:r>
    </w:p>
    <w:tbl>
      <w:tblPr>
        <w:tblW w:w="6202" w:type="dxa"/>
        <w:jc w:val="left"/>
        <w:tblInd w:w="0" w:type="dxa"/>
        <w:tblLayout w:type="fixed"/>
        <w:tblCellMar>
          <w:top w:w="28" w:type="dxa"/>
          <w:left w:w="28" w:type="dxa"/>
          <w:bottom w:w="28" w:type="dxa"/>
          <w:right w:w="28" w:type="dxa"/>
        </w:tblCellMar>
      </w:tblPr>
      <w:tblGrid>
        <w:gridCol w:w="3346"/>
        <w:gridCol w:w="146"/>
        <w:gridCol w:w="254"/>
        <w:gridCol w:w="886"/>
        <w:gridCol w:w="166"/>
        <w:gridCol w:w="146"/>
        <w:gridCol w:w="211"/>
        <w:gridCol w:w="736"/>
        <w:gridCol w:w="31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building improvements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9,504</w:t>
            </w:r>
          </w:p>
        </w:tc>
        <w:tc>
          <w:tcPr>
            <w:tcW w:w="3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fixtures and office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7,941</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3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leased to customers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11,142</w:t>
            </w:r>
          </w:p>
        </w:tc>
        <w:tc>
          <w:tcPr>
            <w:tcW w:w="311" w:type="dxa"/>
            <w:tcBorders/>
            <w:shd w:fill="FFFFFF" w:val="clear"/>
            <w:vAlign w:val="center"/>
          </w:tcPr>
          <w:p>
            <w:pPr>
              <w:pStyle w:val="TableContents"/>
              <w:bidi w:val="0"/>
              <w:spacing w:before="0" w:after="283"/>
              <w:jc w:val="left"/>
              <w:rPr/>
            </w:pPr>
            <w:r>
              <w:rPr/>
              <w:t> </w:t>
            </w:r>
          </w:p>
        </w:tc>
      </w:tr>
      <w:tr>
        <w:trPr/>
        <w:tc>
          <w:tcPr>
            <w:tcW w:w="33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Gross property and equipment</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35,516</w:t>
            </w:r>
          </w:p>
        </w:tc>
        <w:tc>
          <w:tcPr>
            <w:tcW w:w="311" w:type="dxa"/>
            <w:tcBorders/>
            <w:shd w:fill="CFF0FC" w:val="clear"/>
            <w:vAlign w:val="center"/>
          </w:tcPr>
          <w:p>
            <w:pPr>
              <w:pStyle w:val="TableContents"/>
              <w:bidi w:val="0"/>
              <w:spacing w:before="0" w:after="283"/>
              <w:jc w:val="left"/>
              <w:rPr/>
            </w:pPr>
            <w:r>
              <w:rPr/>
              <w:t> </w:t>
            </w:r>
          </w:p>
        </w:tc>
      </w:tr>
      <w:tr>
        <w:trPr/>
        <w:tc>
          <w:tcPr>
            <w:tcW w:w="33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9,593</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NOTE 8 — LEASES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From time to time, Orion leases assets from third parties. Orion also leases certain assets to third parties.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accounts for leases in accordance with Accounting Standards Codification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A summary of Orion’s assets leased from third parties follows (dollars in thousands):</w:t>
      </w:r>
    </w:p>
    <w:tbl>
      <w:tblPr>
        <w:tblW w:w="8817" w:type="dxa"/>
        <w:jc w:val="left"/>
        <w:tblInd w:w="0" w:type="dxa"/>
        <w:tblLayout w:type="fixed"/>
        <w:tblCellMar>
          <w:top w:w="28" w:type="dxa"/>
          <w:left w:w="28" w:type="dxa"/>
          <w:bottom w:w="28" w:type="dxa"/>
          <w:right w:w="28" w:type="dxa"/>
        </w:tblCellMar>
      </w:tblPr>
      <w:tblGrid>
        <w:gridCol w:w="2406"/>
        <w:gridCol w:w="146"/>
        <w:gridCol w:w="2431"/>
        <w:gridCol w:w="146"/>
        <w:gridCol w:w="417"/>
        <w:gridCol w:w="1128"/>
        <w:gridCol w:w="146"/>
        <w:gridCol w:w="146"/>
        <w:gridCol w:w="340"/>
        <w:gridCol w:w="920"/>
        <w:gridCol w:w="591"/>
      </w:tblGrid>
      <w:tr>
        <w:trPr/>
        <w:tc>
          <w:tcPr>
            <w:tcW w:w="2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591" w:type="dxa"/>
            <w:tcBorders/>
            <w:shd w:fill="FFFFFF" w:val="clear"/>
            <w:vAlign w:val="center"/>
          </w:tcPr>
          <w:p>
            <w:pPr>
              <w:pStyle w:val="TableContents"/>
              <w:bidi w:val="0"/>
              <w:spacing w:before="0" w:after="283"/>
              <w:jc w:val="left"/>
              <w:rPr/>
            </w:pPr>
            <w:r>
              <w:rPr/>
              <w:t> </w:t>
            </w:r>
          </w:p>
        </w:tc>
      </w:tr>
      <w:tr>
        <w:trPr/>
        <w:tc>
          <w:tcPr>
            <w:tcW w:w="24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Accrued expenses and other</w:t>
            </w:r>
          </w:p>
        </w:tc>
        <w:tc>
          <w:tcPr>
            <w:tcW w:w="146" w:type="dxa"/>
            <w:tcBorders/>
            <w:shd w:fill="CFF0FC" w:val="clear"/>
            <w:vAlign w:val="center"/>
          </w:tcPr>
          <w:p>
            <w:pPr>
              <w:pStyle w:val="TableContents"/>
              <w:bidi w:val="0"/>
              <w:spacing w:before="0" w:after="283"/>
              <w:jc w:val="left"/>
              <w:rPr/>
            </w:pPr>
            <w:r>
              <w:rPr/>
              <w:t> </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w:t>
            </w:r>
          </w:p>
        </w:tc>
        <w:tc>
          <w:tcPr>
            <w:tcW w:w="591" w:type="dxa"/>
            <w:tcBorders/>
            <w:shd w:fill="CFF0FC" w:val="clear"/>
            <w:vAlign w:val="center"/>
          </w:tcPr>
          <w:p>
            <w:pPr>
              <w:pStyle w:val="TableContents"/>
              <w:bidi w:val="0"/>
              <w:spacing w:before="0" w:after="283"/>
              <w:jc w:val="left"/>
              <w:rPr/>
            </w:pPr>
            <w:r>
              <w:rPr/>
              <w:t> </w:t>
            </w:r>
          </w:p>
        </w:tc>
      </w:tr>
      <w:tr>
        <w:trPr/>
        <w:tc>
          <w:tcPr>
            <w:tcW w:w="2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24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43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long-term liabilities</w:t>
            </w:r>
          </w:p>
        </w:tc>
        <w:tc>
          <w:tcPr>
            <w:tcW w:w="146" w:type="dxa"/>
            <w:tcBorders/>
            <w:shd w:fill="CFF0FC" w:val="cle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0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vAlign w:val="center"/>
          </w:tcPr>
          <w:p>
            <w:pPr>
              <w:pStyle w:val="TableContents"/>
              <w:bidi w:val="0"/>
              <w:spacing w:before="0" w:after="283"/>
              <w:jc w:val="left"/>
              <w:rPr/>
            </w:pPr>
            <w:r>
              <w:rPr/>
              <w:t> </w:t>
            </w:r>
          </w:p>
        </w:tc>
        <w:tc>
          <w:tcPr>
            <w:tcW w:w="243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Orion had operating lease costs of $0.3 million and $0.7 million for the three and six months ended September 30, 2024, respectively. Orion had operating lease costs of $0.7 million and $1.1 million for the three and six months ended September 30, 2023,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estimated maturity of lease liabilities for each of the remaining years is shown below (dollars in thousands):</w:t>
      </w:r>
    </w:p>
    <w:p>
      <w:pPr>
        <w:pStyle w:val="TextBody"/>
        <w:bidi w:val="0"/>
        <w:jc w:val="both"/>
        <w:rPr/>
      </w:pPr>
      <w:r>
        <w:rPr/>
        <w:t> </w:t>
      </w:r>
    </w:p>
    <w:tbl>
      <w:tblPr>
        <w:tblW w:w="4713" w:type="dxa"/>
        <w:jc w:val="left"/>
        <w:tblInd w:w="0" w:type="dxa"/>
        <w:tblLayout w:type="fixed"/>
        <w:tblCellMar>
          <w:top w:w="28" w:type="dxa"/>
          <w:left w:w="28" w:type="dxa"/>
          <w:bottom w:w="28" w:type="dxa"/>
          <w:right w:w="28" w:type="dxa"/>
        </w:tblCellMar>
      </w:tblPr>
      <w:tblGrid>
        <w:gridCol w:w="2686"/>
        <w:gridCol w:w="146"/>
        <w:gridCol w:w="428"/>
        <w:gridCol w:w="1162"/>
        <w:gridCol w:w="2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2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 (period remaining)</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91"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Assets Orion Leases to Other Parties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provides long-term financing to one customer who frequently engages Orion in large turnkey projects that span between three and nine months. The customer executes an agreement providing for monthly payments, at a fixed monthly amount, of the contract price, plus interest, over typically a five-year period. The total transaction price in these contracts is allocated between product and services in the same manner as all other turnkey projects. The portion of the transaction associated with the installation is accounted for consistently with all other installation related performance obligations under ASC 606.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Therefore, the portions of the transaction associated with the sale of the multiple individual light fixtures is accounted for as a sales-type lease under ASC 842.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Revenues, and production and acquisition costs, associated with sales-type leases are included in Product revenue and Cost of product revenue in the Consolidated Statement of Operations. These amounts are recorded for each fixture separately based on the customer’s monthly acknowledgment that specified fixtures have been installed and are operating as specified. The execution of the acknowledgment is considered the commencement date as defined in ASC 842.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chart shows the amount of revenue and cost of sales arising from sales-type leases during the quarter ended September 30, 2024 and 2023 (dollars in thousands):</w:t>
      </w:r>
    </w:p>
    <w:p>
      <w:pPr>
        <w:pStyle w:val="TextBody"/>
        <w:bidi w:val="0"/>
        <w:spacing w:before="180" w:after="283"/>
        <w:jc w:val="both"/>
        <w:rPr/>
      </w:pPr>
      <w:r>
        <w:rPr/>
        <w:t> </w:t>
      </w:r>
    </w:p>
    <w:tbl>
      <w:tblPr>
        <w:tblW w:w="7869" w:type="dxa"/>
        <w:jc w:val="left"/>
        <w:tblInd w:w="0" w:type="dxa"/>
        <w:tblLayout w:type="fixed"/>
        <w:tblCellMar>
          <w:top w:w="28" w:type="dxa"/>
          <w:left w:w="28" w:type="dxa"/>
          <w:bottom w:w="28" w:type="dxa"/>
          <w:right w:w="28" w:type="dxa"/>
        </w:tblCellMar>
      </w:tblPr>
      <w:tblGrid>
        <w:gridCol w:w="2071"/>
        <w:gridCol w:w="146"/>
        <w:gridCol w:w="382"/>
        <w:gridCol w:w="763"/>
        <w:gridCol w:w="264"/>
        <w:gridCol w:w="264"/>
        <w:gridCol w:w="382"/>
        <w:gridCol w:w="627"/>
        <w:gridCol w:w="146"/>
        <w:gridCol w:w="146"/>
        <w:gridCol w:w="354"/>
        <w:gridCol w:w="708"/>
        <w:gridCol w:w="245"/>
        <w:gridCol w:w="245"/>
        <w:gridCol w:w="354"/>
        <w:gridCol w:w="58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4" w:type="dxa"/>
            <w:tcBorders/>
            <w:shd w:fill="FFFFFF" w:val="cle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64"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45"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64"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left"/>
        <w:rPr>
          <w:rFonts w:ascii="Times New Roman" w:hAnsi="Times New Roman"/>
          <w:b/>
          <w:color w:val="000000"/>
          <w:sz w:val="20"/>
        </w:rPr>
      </w:pPr>
      <w:bookmarkStart w:id="20" w:name="note_8___intangible_assets"/>
      <w:bookmarkEnd w:id="20"/>
      <w:r>
        <w:rPr>
          <w:rFonts w:ascii="Times New Roman" w:hAnsi="Times New Roman"/>
          <w:b/>
          <w:color w:val="000000"/>
          <w:sz w:val="20"/>
        </w:rPr>
        <w:t>NOTE 9 — GOODWILL AND OTHER INTANGIBLE ASSETS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had $0.9 million of goodwill related to its purchase of Voltrek LLC ("Voltrek") in the third quarter of fiscal 2023, which has an indefinite life, and is assigned to the EV Charging operating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had $0.6 million of goodwill related to its purchase of Stay-Light Lighting during fiscal year 2022, which has an indefinite life, and is assigned to the Maintenance operating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and March 31, 2024, the components of, and changes in, the carrying amount of other intangible assets, net, were as follows (dollars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4"/>
        <w:gridCol w:w="146"/>
        <w:gridCol w:w="196"/>
        <w:gridCol w:w="601"/>
        <w:gridCol w:w="146"/>
        <w:gridCol w:w="146"/>
        <w:gridCol w:w="276"/>
        <w:gridCol w:w="805"/>
        <w:gridCol w:w="166"/>
        <w:gridCol w:w="146"/>
        <w:gridCol w:w="196"/>
        <w:gridCol w:w="511"/>
        <w:gridCol w:w="146"/>
        <w:gridCol w:w="146"/>
        <w:gridCol w:w="243"/>
        <w:gridCol w:w="578"/>
        <w:gridCol w:w="146"/>
        <w:gridCol w:w="146"/>
        <w:gridCol w:w="196"/>
        <w:gridCol w:w="601"/>
        <w:gridCol w:w="146"/>
        <w:gridCol w:w="146"/>
        <w:gridCol w:w="276"/>
        <w:gridCol w:w="805"/>
        <w:gridCol w:w="166"/>
        <w:gridCol w:w="146"/>
        <w:gridCol w:w="196"/>
        <w:gridCol w:w="511"/>
        <w:gridCol w:w="392"/>
      </w:tblGrid>
      <w:tr>
        <w:trPr/>
        <w:tc>
          <w:tcPr>
            <w:tcW w:w="1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Amortized Intangible Assets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ind w:left="0" w:right="0" w:firstLine="100"/>
              <w:jc w:val="center"/>
              <w:rPr/>
            </w:pPr>
            <w:r>
              <w:rPr/>
              <w:t> </w:t>
            </w:r>
          </w:p>
        </w:tc>
      </w:tr>
      <w:tr>
        <w:trPr/>
        <w:tc>
          <w:tcPr>
            <w:tcW w:w="18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Patents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Licenses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57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392" w:type="dxa"/>
            <w:tcBorders/>
            <w:shd w:fill="CFF0FC" w:val="clear"/>
            <w:vAlign w:val="center"/>
          </w:tcPr>
          <w:p>
            <w:pPr>
              <w:pStyle w:val="TableContents"/>
              <w:bidi w:val="0"/>
              <w:spacing w:before="0" w:after="283"/>
              <w:ind w:left="0" w:right="0" w:firstLine="100"/>
              <w:jc w:val="left"/>
              <w:rPr/>
            </w:pPr>
            <w:r>
              <w:rPr/>
              <w:t> </w:t>
            </w:r>
          </w:p>
        </w:tc>
      </w:tr>
      <w:tr>
        <w:trPr/>
        <w:tc>
          <w:tcPr>
            <w:tcW w:w="18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Customer relationships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57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8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392" w:type="dxa"/>
            <w:tcBorders/>
            <w:shd w:fill="CFF0FC" w:val="clear"/>
            <w:vAlign w:val="center"/>
          </w:tcPr>
          <w:p>
            <w:pPr>
              <w:pStyle w:val="TableContents"/>
              <w:bidi w:val="0"/>
              <w:spacing w:before="0" w:after="283"/>
              <w:ind w:left="0" w:right="0" w:firstLine="100"/>
              <w:jc w:val="left"/>
              <w:rPr/>
            </w:pPr>
            <w:r>
              <w:rPr/>
              <w:t> </w:t>
            </w:r>
          </w:p>
        </w:tc>
      </w:tr>
      <w:tr>
        <w:trPr/>
        <w:tc>
          <w:tcPr>
            <w:tcW w:w="188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Vendor relationships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2,046</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Developed technology</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Amortized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(8,421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pPr>
            <w:r>
              <w:rPr/>
              <w:t> </w:t>
            </w:r>
          </w:p>
        </w:tc>
        <w:tc>
          <w:tcPr>
            <w:tcW w:w="57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3,452</w:t>
            </w:r>
          </w:p>
        </w:tc>
        <w:tc>
          <w:tcPr>
            <w:tcW w:w="392" w:type="dxa"/>
            <w:tcBorders/>
            <w:shd w:fill="FFFFFF" w:val="clear"/>
            <w:vAlign w:val="center"/>
          </w:tcPr>
          <w:p>
            <w:pPr>
              <w:pStyle w:val="TableContents"/>
              <w:bidi w:val="0"/>
              <w:spacing w:before="0" w:after="283"/>
              <w:ind w:left="0" w:right="0" w:firstLine="100"/>
              <w:jc w:val="left"/>
              <w:rPr/>
            </w:pPr>
            <w:r>
              <w:rPr/>
              <w:t> </w:t>
            </w:r>
          </w:p>
        </w:tc>
      </w:tr>
      <w:tr>
        <w:trPr/>
        <w:tc>
          <w:tcPr>
            <w:tcW w:w="1884"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188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Indefinite-lived Intangible Assets</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392" w:type="dxa"/>
            <w:tcBorders/>
            <w:shd w:fill="FFFFFF" w:val="clear"/>
            <w:vAlign w:val="center"/>
          </w:tcPr>
          <w:p>
            <w:pPr>
              <w:pStyle w:val="TableContents"/>
              <w:bidi w:val="0"/>
              <w:spacing w:before="0" w:after="283"/>
              <w:ind w:left="0" w:right="0" w:firstLine="100"/>
              <w:jc w:val="right"/>
              <w:rPr/>
            </w:pPr>
            <w:r>
              <w:rPr/>
              <w:t> </w:t>
            </w:r>
          </w:p>
        </w:tc>
      </w:tr>
      <w:tr>
        <w:trPr/>
        <w:tc>
          <w:tcPr>
            <w:tcW w:w="188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Trade name and trademarks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8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Non-Amortized Intangible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392"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Amortization expense on intangible assets was $0.2 million and $0.5 million for the three and six months ended September 30, 2024 and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estimated amortization expense for the remainder of fiscal 2024, the next five fiscal years and beyond is shown below (dollars in thousands):</w:t>
      </w:r>
    </w:p>
    <w:p>
      <w:pPr>
        <w:pStyle w:val="TextBody"/>
        <w:bidi w:val="0"/>
        <w:jc w:val="left"/>
        <w:rPr/>
      </w:pPr>
      <w:r>
        <w:rPr/>
        <w:t> </w:t>
      </w:r>
    </w:p>
    <w:tbl>
      <w:tblPr>
        <w:tblW w:w="3745" w:type="dxa"/>
        <w:jc w:val="left"/>
        <w:tblInd w:w="0" w:type="dxa"/>
        <w:tblLayout w:type="fixed"/>
        <w:tblCellMar>
          <w:top w:w="28" w:type="dxa"/>
          <w:left w:w="28" w:type="dxa"/>
          <w:bottom w:w="28" w:type="dxa"/>
          <w:right w:w="28" w:type="dxa"/>
        </w:tblCellMar>
      </w:tblPr>
      <w:tblGrid>
        <w:gridCol w:w="2626"/>
        <w:gridCol w:w="146"/>
        <w:gridCol w:w="211"/>
        <w:gridCol w:w="571"/>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 (period remaining)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Times New Roman" w:hAnsi="Times New Roman"/>
          <w:b/>
          <w:color w:val="000000"/>
          <w:sz w:val="20"/>
        </w:rPr>
      </w:pPr>
      <w:bookmarkStart w:id="21" w:name="note_9___accrued_expenses_and_other"/>
      <w:bookmarkEnd w:id="21"/>
      <w:r>
        <w:rPr>
          <w:rFonts w:ascii="Times New Roman" w:hAnsi="Times New Roman"/>
          <w:b/>
          <w:color w:val="000000"/>
          <w:sz w:val="20"/>
        </w:rPr>
        <w:t>NOTE 10 — ACCRUED EXPENSES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and March 31, 2024, accrued expenses and other included the following (dollars in thousands):</w:t>
      </w:r>
    </w:p>
    <w:p>
      <w:pPr>
        <w:pStyle w:val="TextBody"/>
        <w:bidi w:val="0"/>
        <w:jc w:val="both"/>
        <w:rPr/>
      </w:pPr>
      <w:r>
        <w:rPr/>
        <w:t> </w:t>
      </w:r>
    </w:p>
    <w:tbl>
      <w:tblPr>
        <w:tblW w:w="5300" w:type="dxa"/>
        <w:jc w:val="left"/>
        <w:tblInd w:w="0" w:type="dxa"/>
        <w:tblLayout w:type="fixed"/>
        <w:tblCellMar>
          <w:top w:w="28" w:type="dxa"/>
          <w:left w:w="28" w:type="dxa"/>
          <w:bottom w:w="28" w:type="dxa"/>
          <w:right w:w="28" w:type="dxa"/>
        </w:tblCellMar>
      </w:tblPr>
      <w:tblGrid>
        <w:gridCol w:w="2476"/>
        <w:gridCol w:w="146"/>
        <w:gridCol w:w="271"/>
        <w:gridCol w:w="869"/>
        <w:gridCol w:w="146"/>
        <w:gridCol w:w="146"/>
        <w:gridCol w:w="230"/>
        <w:gridCol w:w="625"/>
        <w:gridCol w:w="3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acquisition earn-out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Credits due to customers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project costs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reserve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shd w:fill="CFF0FC" w:val="clear"/>
            <w:vAlign w:val="center"/>
          </w:tcPr>
          <w:p>
            <w:pPr>
              <w:pStyle w:val="TableContents"/>
              <w:bidi w:val="0"/>
              <w:spacing w:before="0" w:after="283"/>
              <w:jc w:val="left"/>
              <w:rPr/>
            </w:pPr>
            <w:r>
              <w:rPr/>
              <w:t> </w:t>
            </w:r>
          </w:p>
        </w:tc>
      </w:tr>
      <w:tr>
        <w:trPr/>
        <w:tc>
          <w:tcPr>
            <w:tcW w:w="24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shd w:fill="FFFFFF" w:val="clear"/>
            <w:vAlign w:val="center"/>
          </w:tcPr>
          <w:p>
            <w:pPr>
              <w:pStyle w:val="TableContents"/>
              <w:bidi w:val="0"/>
              <w:spacing w:before="0" w:after="283"/>
              <w:jc w:val="left"/>
              <w:rPr/>
            </w:pPr>
            <w:r>
              <w:rPr/>
              <w:t> </w:t>
            </w:r>
          </w:p>
        </w:tc>
      </w:tr>
      <w:tr>
        <w:trPr/>
        <w:tc>
          <w:tcPr>
            <w:tcW w:w="24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Changes in Orion’s warranty accrual (both current and long-term) were as follows (dollars in thousands):</w:t>
      </w:r>
    </w:p>
    <w:p>
      <w:pPr>
        <w:pStyle w:val="TextBody"/>
        <w:bidi w:val="0"/>
        <w:jc w:val="both"/>
        <w:rPr/>
      </w:pPr>
      <w:r>
        <w:rPr/>
        <w:t> </w:t>
      </w:r>
    </w:p>
    <w:tbl>
      <w:tblPr>
        <w:tblW w:w="8857" w:type="dxa"/>
        <w:jc w:val="left"/>
        <w:tblInd w:w="0" w:type="dxa"/>
        <w:tblLayout w:type="fixed"/>
        <w:tblCellMar>
          <w:top w:w="28" w:type="dxa"/>
          <w:left w:w="28" w:type="dxa"/>
          <w:bottom w:w="28" w:type="dxa"/>
          <w:right w:w="28" w:type="dxa"/>
        </w:tblCellMar>
      </w:tblPr>
      <w:tblGrid>
        <w:gridCol w:w="4006"/>
        <w:gridCol w:w="146"/>
        <w:gridCol w:w="293"/>
        <w:gridCol w:w="585"/>
        <w:gridCol w:w="230"/>
        <w:gridCol w:w="202"/>
        <w:gridCol w:w="293"/>
        <w:gridCol w:w="585"/>
        <w:gridCol w:w="166"/>
        <w:gridCol w:w="146"/>
        <w:gridCol w:w="248"/>
        <w:gridCol w:w="566"/>
        <w:gridCol w:w="195"/>
        <w:gridCol w:w="171"/>
        <w:gridCol w:w="248"/>
        <w:gridCol w:w="56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vAlign w:val="center"/>
          </w:tcPr>
          <w:p>
            <w:pPr>
              <w:pStyle w:val="TableContents"/>
              <w:bidi w:val="0"/>
              <w:spacing w:before="0" w:after="283"/>
              <w:jc w:val="center"/>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w:t>
            </w:r>
          </w:p>
        </w:tc>
        <w:tc>
          <w:tcPr>
            <w:tcW w:w="146"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30"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95"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3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5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95"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claims (net of vendor reimbursements)</w:t>
            </w:r>
          </w:p>
        </w:tc>
        <w:tc>
          <w:tcPr>
            <w:tcW w:w="146"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80"/>
        <w:jc w:val="both"/>
        <w:rPr>
          <w:rFonts w:ascii="Times New Roman" w:hAnsi="Times New Roman"/>
          <w:color w:val="000000"/>
          <w:sz w:val="20"/>
        </w:rPr>
      </w:pPr>
      <w:r>
        <w:rPr>
          <w:rFonts w:ascii="Times New Roman" w:hAnsi="Times New Roman"/>
          <w:color w:val="000000"/>
          <w:sz w:val="20"/>
        </w:rPr>
        <w:t>Effective on October 5, 2022, Orion acquired all the membership interests of Voltrek, an electric vehicle charging station solutions provider (the “Voltrek Acquisition”). The Voltrek Acquisition agreement provided that, depending upon the relative EBITDA growth of Voltrek’s business in fiscal 2023, 2024 and 2025, Orion could pay up to an additional $3.0 million, $3.5 million and $7.15 million, respectively, in earn-out payments. These compensatory payments do not fall within the scope of ASC 805, Business Combinations, and has been, and will be, expensed over the course of the earn-out periods to the extent they are earned. As of September 30, 2024, Orion recorded $2.3 million to accrued expenses for the fiscal 2024, fiscal 2025, and the cumulative earn-out opportunity, which is recorded in accrued expenses and other.</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NOTE 11 — NET LOSS PER COMMON SHARE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Basic net loss per common share is computed by dividing net loss attributable to common shareholders by the weighted-average number of common shares outstanding for the period and does not consider common stock equivalents.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Diluted net loss per common share reflects the dilution that would occur if restricted shares were vested. In the computation of diluted net loss per common share, Orion uses the treasury stock method for outstanding options and restricted shares. For the three and six months ended September 30, 2024 and 2023, Orion was in a net loss position; therefore, the Basic and Diluted weighted-average shares outstanding are equal because any increase to the basic shares would be anti-dilutive. Net loss per common share is calculated based upon the following shares: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4"/>
        <w:gridCol w:w="146"/>
        <w:gridCol w:w="211"/>
        <w:gridCol w:w="1036"/>
        <w:gridCol w:w="166"/>
        <w:gridCol w:w="146"/>
        <w:gridCol w:w="211"/>
        <w:gridCol w:w="1036"/>
        <w:gridCol w:w="166"/>
        <w:gridCol w:w="146"/>
        <w:gridCol w:w="211"/>
        <w:gridCol w:w="1036"/>
        <w:gridCol w:w="166"/>
        <w:gridCol w:w="146"/>
        <w:gridCol w:w="211"/>
        <w:gridCol w:w="1036"/>
        <w:gridCol w:w="411"/>
      </w:tblGrid>
      <w:tr>
        <w:trPr/>
        <w:tc>
          <w:tcPr>
            <w:tcW w:w="3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 thousands)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32,502,566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32,424,623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and common share</w:t>
              <w:br/>
              <w:t>   equivalents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32,825,477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32,502,566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32,718,628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32,424,623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372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2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indicates the number of potentially dilutive securities excluded from the calculation of Diluted net loss per common share because their inclusion would have been anti-dilutive. The number of shares is as of the end of each period:</w:t>
      </w:r>
    </w:p>
    <w:p>
      <w:pPr>
        <w:pStyle w:val="TextBody"/>
        <w:bidi w:val="0"/>
        <w:jc w:val="left"/>
        <w:rPr/>
      </w:pPr>
      <w:r>
        <w:rPr/>
        <w:t> </w:t>
      </w:r>
    </w:p>
    <w:tbl>
      <w:tblPr>
        <w:tblW w:w="8612" w:type="dxa"/>
        <w:jc w:val="left"/>
        <w:tblInd w:w="0" w:type="dxa"/>
        <w:tblLayout w:type="fixed"/>
        <w:tblCellMar>
          <w:top w:w="28" w:type="dxa"/>
          <w:left w:w="28" w:type="dxa"/>
          <w:bottom w:w="28" w:type="dxa"/>
          <w:right w:w="28" w:type="dxa"/>
        </w:tblCellMar>
      </w:tblPr>
      <w:tblGrid>
        <w:gridCol w:w="3091"/>
        <w:gridCol w:w="146"/>
        <w:gridCol w:w="146"/>
        <w:gridCol w:w="931"/>
        <w:gridCol w:w="146"/>
        <w:gridCol w:w="146"/>
        <w:gridCol w:w="146"/>
        <w:gridCol w:w="931"/>
        <w:gridCol w:w="146"/>
        <w:gridCol w:w="146"/>
        <w:gridCol w:w="146"/>
        <w:gridCol w:w="931"/>
        <w:gridCol w:w="146"/>
        <w:gridCol w:w="146"/>
        <w:gridCol w:w="146"/>
        <w:gridCol w:w="93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933,808</w:t>
            </w:r>
          </w:p>
        </w:tc>
        <w:tc>
          <w:tcPr>
            <w:tcW w:w="1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Restricted shares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708,377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1,642,185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b/>
          <w:color w:val="000000"/>
          <w:sz w:val="20"/>
        </w:rPr>
      </w:pPr>
      <w:bookmarkStart w:id="22" w:name="note_11___debt"/>
      <w:bookmarkEnd w:id="22"/>
      <w:r>
        <w:rPr>
          <w:rFonts w:ascii="Times New Roman" w:hAnsi="Times New Roman"/>
          <w:b/>
          <w:color w:val="000000"/>
          <w:sz w:val="20"/>
        </w:rPr>
        <w:t>NOTE 12 — LONG-TERM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Long-term debt, including the revolving credit facility, consisted of the following (dollars in thousands):</w:t>
      </w:r>
    </w:p>
    <w:p>
      <w:pPr>
        <w:pStyle w:val="TextBody"/>
        <w:bidi w:val="0"/>
        <w:jc w:val="left"/>
        <w:rPr/>
      </w:pPr>
      <w:r>
        <w:rPr/>
        <w:t> </w:t>
      </w:r>
    </w:p>
    <w:tbl>
      <w:tblPr>
        <w:tblW w:w="5937" w:type="dxa"/>
        <w:jc w:val="left"/>
        <w:tblInd w:w="0" w:type="dxa"/>
        <w:tblLayout w:type="fixed"/>
        <w:tblCellMar>
          <w:top w:w="28" w:type="dxa"/>
          <w:left w:w="28" w:type="dxa"/>
          <w:bottom w:w="28" w:type="dxa"/>
          <w:right w:w="28" w:type="dxa"/>
        </w:tblCellMar>
      </w:tblPr>
      <w:tblGrid>
        <w:gridCol w:w="3241"/>
        <w:gridCol w:w="146"/>
        <w:gridCol w:w="271"/>
        <w:gridCol w:w="869"/>
        <w:gridCol w:w="166"/>
        <w:gridCol w:w="146"/>
        <w:gridCol w:w="211"/>
        <w:gridCol w:w="676"/>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debt obligations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10,003</w:t>
            </w:r>
          </w:p>
        </w:tc>
        <w:tc>
          <w:tcPr>
            <w:tcW w:w="21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maturities</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b/>
          <w:i/>
          <w:color w:val="000000"/>
          <w:sz w:val="20"/>
        </w:rPr>
        <w:t>Revolving Credit Agreement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December 29, 2020, Orion entered into a $25 million Loan and Security Agreement with Bank of America, N.A., as lender (the “Credit Agreement”).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2024, the borrowing base of the Credit Facility supported approximately $16.7 million of availability, with $7.7 million of remaining availability net of $9.0 million borrowed.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Effective November 4, 2022, Orion, with Bank of America, N.A. as lender, executed Amendment No. 1 to its Credit Agreement. The primary purpose of the amendment was to include the assets of the acquired subsidiaries, Stay-Lite Lighting, Inc. ("Stay-Lite Lighting") and Voltrek, as secured collateral under the Credit Agreement. Accordingly, eligible assets of Stay-Lite and Voltrek will be included in the borrowing base calculation for the purpose of establishing the monthly borrowing availability under the Credit Agreement. The amendment also clarified that the earn-out liabilities associated with the Stay-Lite and Voltrek transactions are permitted under the Credit Agreement and that the expenses recognized in connection with those earn-outs should be added back in the computation of EBITDA, as defined, under the Credit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April 22, 2024, the Company, with Bank of America, N.A. as lender, executed Amendment No. 2 to its Credit Agreement (“Amendment No. 2”). The primary purpose of Amendment No. 2 was to add a $3.525 million mortgage loan facility to the Credit Agreement secured by the Company’s office headquarters property in Manitowoc, Wisconsin. Amendment No. 2 also broadened the definition of receivables to encompass government receivables as being eligible to be included in the Company’s borrowing base calculation for the purpose of establishing the Company’s monthly borrowing availability under the Credit Agreement. Quarterly installments of $88,125 are due on the first day of each fiscal quarter beginning October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Remaining principal payments on long-term debt are $0.2 million and $3.3 million in fiscal 2025 and fiscal 2026, respectively. An additional $9.0 million is due in fiscal 2026, which is related to the Credit Facility.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in Note 19 - Subsequent Events, the maturity date of the Credit Facility was extended from December 29, 2025 to June 30, 2027.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Orion was in compliance with all debt covenants.</w:t>
      </w:r>
    </w:p>
    <w:p>
      <w:pPr>
        <w:pStyle w:val="TextBody"/>
        <w:bidi w:val="0"/>
        <w:spacing w:before="280" w:after="283"/>
        <w:jc w:val="left"/>
        <w:rPr>
          <w:rFonts w:ascii="Times New Roman" w:hAnsi="Times New Roman"/>
          <w:b/>
          <w:color w:val="000000"/>
          <w:sz w:val="20"/>
        </w:rPr>
      </w:pPr>
      <w:bookmarkStart w:id="23" w:name="note_12___income_taxes"/>
      <w:bookmarkEnd w:id="23"/>
      <w:r>
        <w:rPr>
          <w:rFonts w:ascii="Times New Roman" w:hAnsi="Times New Roman"/>
          <w:b/>
          <w:color w:val="000000"/>
          <w:sz w:val="20"/>
        </w:rPr>
        <w:t>NOTE 13 — INCOME TAXES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September 30, 2024 and 2023, Orion recorded income tax expense of $23 thousand and $15 thousand, respectively, using this methodology. For the six months ended September 30, 2024 and 2023, Orion recorded income tax expense of $44 thousand and $57 thousand, respectively, using this methodology.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and March 31, 2024, Orion had a full valuation allowance against its net deferred tax asset balance.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Uncertain Tax Positions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Orion’s balance of gross unrecognized tax benefits was approximately $0.2 million, all of which would reduce Orion’s effective tax rate if recognized.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(benefit) expense. Penalties and interest are included in the unrecognized tax benefits.</w:t>
      </w:r>
    </w:p>
    <w:p>
      <w:pPr>
        <w:pStyle w:val="TextBody"/>
        <w:bidi w:val="0"/>
        <w:spacing w:before="280" w:after="283"/>
        <w:jc w:val="both"/>
        <w:rPr>
          <w:rFonts w:ascii="Times New Roman" w:hAnsi="Times New Roman"/>
          <w:sz w:val="20"/>
        </w:rPr>
      </w:pPr>
      <w:bookmarkStart w:id="24" w:name="note_13___commitments_and_contingencies"/>
      <w:bookmarkEnd w:id="24"/>
      <w:r>
        <w:rPr>
          <w:rFonts w:ascii="Times New Roman" w:hAnsi="Times New Roman"/>
          <w:b/>
          <w:color w:val="000000"/>
          <w:sz w:val="20"/>
        </w:rPr>
        <w:t>NOTE 14 —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 </w:t>
      </w:r>
    </w:p>
    <w:p>
      <w:pPr>
        <w:pStyle w:val="TextBody"/>
        <w:bidi w:val="0"/>
        <w:spacing w:before="280" w:after="283"/>
        <w:jc w:val="left"/>
        <w:rPr>
          <w:rFonts w:ascii="Times New Roman" w:hAnsi="Times New Roman"/>
          <w:b/>
          <w:color w:val="000000"/>
          <w:sz w:val="20"/>
        </w:rPr>
      </w:pPr>
      <w:bookmarkStart w:id="25" w:name="note_14___shareholders__equity"/>
      <w:bookmarkEnd w:id="25"/>
      <w:r>
        <w:rPr>
          <w:rFonts w:ascii="Times New Roman" w:hAnsi="Times New Roman"/>
          <w:b/>
          <w:color w:val="000000"/>
          <w:sz w:val="20"/>
        </w:rPr>
        <w:t>NOTE 15 — SHAREHOLDERS’ EQUITY</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In August 2010, Orion’s Board of Directors approved a non-compensatory employee stock purchase plan, or “ESPP”. In the three months ended September 30, 2024, Orion issued 692 shares under the ESPP plan at a closing market price of $0.86. In the three months ended September 30, 2023, Orion issued 762 shares under the ESPP plan at a closing market price of $1.26.</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Sale of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2023, Orion filed a universal shelf registration statement with the Securities and Exchange Commission. Under the shelf registration statement, Orion currently has the flexibility to publicly offer and sell from time to time up to $100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have been exercised pursuant to the ATM program through September 30, 2024.</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16 — RESTRICTED SHARES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At Orion’s 2023 annual meeting of shareholders, Orion’s shareholders approved the Orion Energy Systems, Inc. 2016 Omnibus Incentive Plan, as amended and restated (the “Amended 2016 Plan”). The Amended 2016 Plan increased the number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of shares of Orion’s common stock available for issuance under the Amended 2016 Plan from 3,500,000 shares to 6,000,000 shares (an increase of 2,500,000 shares); added a minimum vesting period for all awards granted under the Amended 2016 Plan (with limited exceptions); and added a specific prohibition on the payment of dividends and dividend equivalents on unvested awards.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Certain non-employee directors have from time to time elected to receive stock awards in lieu of cash compensation pursuant to elections made under Orion’s non-employee director compensation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amounts of stock-based compensation were recorded (dollars in thousands):</w:t>
      </w:r>
    </w:p>
    <w:p>
      <w:pPr>
        <w:pStyle w:val="TextBody"/>
        <w:bidi w:val="0"/>
        <w:jc w:val="both"/>
        <w:rPr/>
      </w:pPr>
      <w:r>
        <w:rPr/>
        <w:t> </w:t>
      </w:r>
    </w:p>
    <w:tbl>
      <w:tblPr>
        <w:tblW w:w="7122" w:type="dxa"/>
        <w:jc w:val="left"/>
        <w:tblInd w:w="0" w:type="dxa"/>
        <w:tblLayout w:type="fixed"/>
        <w:tblCellMar>
          <w:top w:w="28" w:type="dxa"/>
          <w:left w:w="28" w:type="dxa"/>
          <w:bottom w:w="28" w:type="dxa"/>
          <w:right w:w="28" w:type="dxa"/>
        </w:tblCellMar>
      </w:tblPr>
      <w:tblGrid>
        <w:gridCol w:w="2311"/>
        <w:gridCol w:w="146"/>
        <w:gridCol w:w="297"/>
        <w:gridCol w:w="592"/>
        <w:gridCol w:w="205"/>
        <w:gridCol w:w="205"/>
        <w:gridCol w:w="297"/>
        <w:gridCol w:w="592"/>
        <w:gridCol w:w="146"/>
        <w:gridCol w:w="146"/>
        <w:gridCol w:w="270"/>
        <w:gridCol w:w="540"/>
        <w:gridCol w:w="187"/>
        <w:gridCol w:w="187"/>
        <w:gridCol w:w="270"/>
        <w:gridCol w:w="540"/>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center"/>
              <w:rPr/>
            </w:pPr>
            <w:r>
              <w:rPr/>
              <w:t> </w:t>
            </w:r>
          </w:p>
        </w:tc>
        <w:tc>
          <w:tcPr>
            <w:tcW w:w="8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05"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59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87"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87"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5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with respect to performance-vesting restricted stock and time vesting-restricted stock activity:</w:t>
      </w:r>
    </w:p>
    <w:p>
      <w:pPr>
        <w:pStyle w:val="TextBody"/>
        <w:bidi w:val="0"/>
        <w:jc w:val="both"/>
        <w:rPr/>
      </w:pPr>
      <w:r>
        <w:rPr/>
        <w:t> </w:t>
      </w:r>
    </w:p>
    <w:tbl>
      <w:tblPr>
        <w:tblW w:w="8953" w:type="dxa"/>
        <w:jc w:val="left"/>
        <w:tblInd w:w="0" w:type="dxa"/>
        <w:tblLayout w:type="fixed"/>
        <w:tblCellMar>
          <w:top w:w="28" w:type="dxa"/>
          <w:left w:w="28" w:type="dxa"/>
          <w:bottom w:w="28" w:type="dxa"/>
          <w:right w:w="28" w:type="dxa"/>
        </w:tblCellMar>
      </w:tblPr>
      <w:tblGrid>
        <w:gridCol w:w="3526"/>
        <w:gridCol w:w="146"/>
        <w:gridCol w:w="146"/>
        <w:gridCol w:w="931"/>
        <w:gridCol w:w="166"/>
        <w:gridCol w:w="146"/>
        <w:gridCol w:w="317"/>
        <w:gridCol w:w="703"/>
        <w:gridCol w:w="146"/>
        <w:gridCol w:w="146"/>
        <w:gridCol w:w="146"/>
        <w:gridCol w:w="931"/>
        <w:gridCol w:w="146"/>
        <w:gridCol w:w="146"/>
        <w:gridCol w:w="317"/>
        <w:gridCol w:w="703"/>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Time-Based</w:t>
              <w:b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w:t>
              <w:br/>
              <w:t>Restricted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Fair Value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vested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September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1,529,936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price on grant date</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2024, the amount of deferred stock-based compensation expense to be recognized, over a remaining period of 2.7 years, was approximately $1.6 million.</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17 — SEGMENT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 evaluates and reports on the business using three segments: Lighting Segment, Maintenance Segment and Electric Vehicle Charging Segment (“EV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Lighting Segment develops and sells lighting products and provides construction and engineering services for Orion's commercial lighting and energy management systems. The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energy service companies and contractors.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Maintenance Segment provides retailers, distributors and other businesses with maintenance, repair and replacement services for the lighting and related electrical components deployed in their facilities.</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Electric Vehicle Charging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Electric Vehicle Charging Segment offers leading electric vehicle charging expertise, sells and installs sourced electric vehicle charging stations with related software subscriptions and renewals and provides EV turnkey installation solutions with ongoing support to all commercial verticals. </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Corporate and Other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Corporate and Other is comprised of operating expenses not allocated to Orion’s segments and adjustments to reconcile to consolidated results (dollars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88"/>
        <w:gridCol w:w="146"/>
        <w:gridCol w:w="217"/>
        <w:gridCol w:w="698"/>
        <w:gridCol w:w="150"/>
        <w:gridCol w:w="150"/>
        <w:gridCol w:w="217"/>
        <w:gridCol w:w="698"/>
        <w:gridCol w:w="146"/>
        <w:gridCol w:w="146"/>
        <w:gridCol w:w="222"/>
        <w:gridCol w:w="664"/>
        <w:gridCol w:w="174"/>
        <w:gridCol w:w="153"/>
        <w:gridCol w:w="222"/>
        <w:gridCol w:w="664"/>
        <w:gridCol w:w="166"/>
        <w:gridCol w:w="146"/>
        <w:gridCol w:w="297"/>
        <w:gridCol w:w="955"/>
        <w:gridCol w:w="146"/>
        <w:gridCol w:w="146"/>
        <w:gridCol w:w="259"/>
        <w:gridCol w:w="834"/>
        <w:gridCol w:w="301"/>
      </w:tblGrid>
      <w:tr>
        <w:trPr/>
        <w:tc>
          <w:tcPr>
            <w:tcW w:w="2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Assets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9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3" w:type="dxa"/>
            <w:gridSpan w:val="2"/>
            <w:tcBorders/>
            <w:shd w:fill="CFF0FC" w:val="clear"/>
            <w:vAlign w:val="center"/>
          </w:tcPr>
          <w:p>
            <w:pPr>
              <w:pStyle w:val="TableContents"/>
              <w:bidi w:val="0"/>
              <w:spacing w:before="0" w:after="283"/>
              <w:jc w:val="right"/>
              <w:rPr/>
            </w:pPr>
            <w:r>
              <w:rPr/>
              <w:t> </w:t>
            </w:r>
          </w:p>
        </w:tc>
        <w:tc>
          <w:tcPr>
            <w:tcW w:w="301" w:type="dxa"/>
            <w:tcBorders/>
            <w:shd w:fill="CFF0FC" w:val="clear"/>
            <w:vAlign w:val="center"/>
          </w:tcPr>
          <w:p>
            <w:pPr>
              <w:pStyle w:val="TableContents"/>
              <w:bidi w:val="0"/>
              <w:spacing w:before="0" w:after="283"/>
              <w:ind w:left="0" w:right="0" w:firstLine="100"/>
              <w:jc w:val="right"/>
              <w:rPr/>
            </w:pPr>
            <w:r>
              <w:rPr/>
              <w:t> </w:t>
            </w:r>
          </w:p>
        </w:tc>
      </w:tr>
      <w:tr>
        <w:trPr/>
        <w:tc>
          <w:tcPr>
            <w:tcW w:w="228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Lighting Segment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25,911</w:t>
            </w:r>
          </w:p>
        </w:tc>
        <w:tc>
          <w:tcPr>
            <w:tcW w:w="301" w:type="dxa"/>
            <w:tcBorders/>
            <w:shd w:fill="FFFFFF" w:val="clear"/>
            <w:vAlign w:val="center"/>
          </w:tcPr>
          <w:p>
            <w:pPr>
              <w:pStyle w:val="TableContents"/>
              <w:bidi w:val="0"/>
              <w:spacing w:before="0" w:after="283"/>
              <w:ind w:left="0" w:right="0" w:firstLine="100"/>
              <w:jc w:val="left"/>
              <w:rPr/>
            </w:pPr>
            <w:r>
              <w:rPr/>
              <w:t> </w:t>
            </w:r>
          </w:p>
        </w:tc>
      </w:tr>
      <w:tr>
        <w:trPr/>
        <w:tc>
          <w:tcPr>
            <w:tcW w:w="2288"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 Segment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150" w:type="dxa"/>
            <w:tcBorders/>
            <w:shd w:fill="CFF0FC" w:val="cle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vAlign w:val="center"/>
          </w:tcPr>
          <w:p>
            <w:pPr>
              <w:pStyle w:val="TableContents"/>
              <w:bidi w:val="0"/>
              <w:spacing w:before="0" w:after="283"/>
              <w:jc w:val="right"/>
              <w:rPr/>
            </w:pPr>
            <w:r>
              <w:rPr/>
              <w:t> </w:t>
            </w:r>
          </w:p>
        </w:tc>
        <w:tc>
          <w:tcPr>
            <w:tcW w:w="222"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9"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8,827</w:t>
            </w:r>
          </w:p>
        </w:tc>
        <w:tc>
          <w:tcPr>
            <w:tcW w:w="301" w:type="dxa"/>
            <w:tcBorders/>
            <w:shd w:fill="CFF0FC" w:val="clear"/>
            <w:vAlign w:val="center"/>
          </w:tcPr>
          <w:p>
            <w:pPr>
              <w:pStyle w:val="TableContents"/>
              <w:bidi w:val="0"/>
              <w:spacing w:before="0" w:after="283"/>
              <w:ind w:left="0" w:right="0" w:firstLine="100"/>
              <w:jc w:val="left"/>
              <w:rPr/>
            </w:pPr>
            <w:r>
              <w:rPr/>
              <w:t> </w:t>
            </w:r>
          </w:p>
        </w:tc>
      </w:tr>
      <w:tr>
        <w:trPr/>
        <w:tc>
          <w:tcPr>
            <w:tcW w:w="228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Electric Vehicle Charging Segment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5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9"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15,291</w:t>
            </w:r>
          </w:p>
        </w:tc>
        <w:tc>
          <w:tcPr>
            <w:tcW w:w="301" w:type="dxa"/>
            <w:tcBorders/>
            <w:shd w:fill="FFFFFF" w:val="clear"/>
            <w:vAlign w:val="center"/>
          </w:tcPr>
          <w:p>
            <w:pPr>
              <w:pStyle w:val="TableContents"/>
              <w:bidi w:val="0"/>
              <w:spacing w:before="0" w:after="283"/>
              <w:jc w:val="left"/>
              <w:rPr/>
            </w:pPr>
            <w:r>
              <w:rPr/>
              <w:t> </w:t>
            </w:r>
          </w:p>
        </w:tc>
      </w:tr>
      <w:tr>
        <w:trPr/>
        <w:tc>
          <w:tcPr>
            <w:tcW w:w="22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63,169</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tbl>
      <w:tblPr>
        <w:tblW w:w="7802" w:type="dxa"/>
        <w:jc w:val="left"/>
        <w:tblInd w:w="0" w:type="dxa"/>
        <w:tblLayout w:type="fixed"/>
        <w:tblCellMar>
          <w:top w:w="28" w:type="dxa"/>
          <w:left w:w="28" w:type="dxa"/>
          <w:bottom w:w="28" w:type="dxa"/>
          <w:right w:w="28" w:type="dxa"/>
        </w:tblCellMar>
      </w:tblPr>
      <w:tblGrid>
        <w:gridCol w:w="2986"/>
        <w:gridCol w:w="146"/>
        <w:gridCol w:w="211"/>
        <w:gridCol w:w="676"/>
        <w:gridCol w:w="146"/>
        <w:gridCol w:w="146"/>
        <w:gridCol w:w="211"/>
        <w:gridCol w:w="676"/>
        <w:gridCol w:w="146"/>
        <w:gridCol w:w="146"/>
        <w:gridCol w:w="211"/>
        <w:gridCol w:w="631"/>
        <w:gridCol w:w="166"/>
        <w:gridCol w:w="146"/>
        <w:gridCol w:w="211"/>
        <w:gridCol w:w="73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Lighting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Segment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Vehicle Charging Segment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18 — RESTRUCTURING EXPENSE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part of Orion's response to declining financial results, Orion entered into separation agreements with multiple employees during the fourth quarter of fiscal 2024, which ended in the second quarter of fiscal 2025. In addition, an inventory write-off was recognized in the first quarter of fiscal 2025 for inventory related to a customer Orion no longer does business with due to the restructuring, along with a lease breakage fee that occurred in the second quarter of fiscal 2025 due to the closing of the Pewaukee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office. Orion's restructuring expense for the three and six months ended September 30, 2024 and 2023 is reflected within its consolidated statement of operations as follows (dollars in thousands):</w:t>
      </w:r>
    </w:p>
    <w:p>
      <w:pPr>
        <w:pStyle w:val="TextBody"/>
        <w:bidi w:val="0"/>
        <w:jc w:val="both"/>
        <w:rPr/>
      </w:pPr>
      <w:r>
        <w:rPr/>
        <w:t> </w:t>
      </w:r>
    </w:p>
    <w:tbl>
      <w:tblPr>
        <w:tblW w:w="7120" w:type="dxa"/>
        <w:jc w:val="left"/>
        <w:tblInd w:w="0" w:type="dxa"/>
        <w:tblLayout w:type="fixed"/>
        <w:tblCellMar>
          <w:top w:w="28" w:type="dxa"/>
          <w:left w:w="28" w:type="dxa"/>
          <w:bottom w:w="28" w:type="dxa"/>
          <w:right w:w="28" w:type="dxa"/>
        </w:tblCellMar>
      </w:tblPr>
      <w:tblGrid>
        <w:gridCol w:w="2311"/>
        <w:gridCol w:w="146"/>
        <w:gridCol w:w="312"/>
        <w:gridCol w:w="622"/>
        <w:gridCol w:w="215"/>
        <w:gridCol w:w="215"/>
        <w:gridCol w:w="312"/>
        <w:gridCol w:w="511"/>
        <w:gridCol w:w="146"/>
        <w:gridCol w:w="146"/>
        <w:gridCol w:w="284"/>
        <w:gridCol w:w="567"/>
        <w:gridCol w:w="196"/>
        <w:gridCol w:w="196"/>
        <w:gridCol w:w="284"/>
        <w:gridCol w:w="46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9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Total restructuring expense by segment was recorded as follows (dollars in thousands):</w:t>
      </w:r>
    </w:p>
    <w:tbl>
      <w:tblPr>
        <w:tblW w:w="6680" w:type="dxa"/>
        <w:jc w:val="left"/>
        <w:tblInd w:w="0" w:type="dxa"/>
        <w:tblLayout w:type="fixed"/>
        <w:tblCellMar>
          <w:top w:w="28" w:type="dxa"/>
          <w:left w:w="28" w:type="dxa"/>
          <w:bottom w:w="28" w:type="dxa"/>
          <w:right w:w="28" w:type="dxa"/>
        </w:tblCellMar>
      </w:tblPr>
      <w:tblGrid>
        <w:gridCol w:w="1771"/>
        <w:gridCol w:w="146"/>
        <w:gridCol w:w="312"/>
        <w:gridCol w:w="622"/>
        <w:gridCol w:w="215"/>
        <w:gridCol w:w="215"/>
        <w:gridCol w:w="312"/>
        <w:gridCol w:w="511"/>
        <w:gridCol w:w="146"/>
        <w:gridCol w:w="146"/>
        <w:gridCol w:w="284"/>
        <w:gridCol w:w="567"/>
        <w:gridCol w:w="196"/>
        <w:gridCol w:w="196"/>
        <w:gridCol w:w="284"/>
        <w:gridCol w:w="466"/>
        <w:gridCol w:w="2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Segments:</w:t>
            </w:r>
          </w:p>
        </w:tc>
        <w:tc>
          <w:tcPr>
            <w:tcW w:w="146" w:type="dxa"/>
            <w:tcBorders/>
            <w:shd w:fill="FFFFFF" w:val="clear"/>
            <w:vAlign w:val="center"/>
          </w:tcPr>
          <w:p>
            <w:pPr>
              <w:pStyle w:val="TableContents"/>
              <w:bidi w:val="0"/>
              <w:spacing w:before="0" w:after="283"/>
              <w:jc w:val="left"/>
              <w:rPr/>
            </w:pPr>
            <w:r>
              <w:rPr/>
              <w:t> </w:t>
            </w:r>
          </w:p>
        </w:tc>
        <w:tc>
          <w:tcPr>
            <w:tcW w:w="934" w:type="dxa"/>
            <w:gridSpan w:val="2"/>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center"/>
              <w:rPr/>
            </w:pPr>
            <w:r>
              <w:rPr/>
              <w:t> </w:t>
            </w:r>
          </w:p>
        </w:tc>
        <w:tc>
          <w:tcPr>
            <w:tcW w:w="215" w:type="dxa"/>
            <w:tcBorders/>
            <w:shd w:fill="FFFFFF" w:val="clear"/>
            <w:vAlign w:val="center"/>
          </w:tcPr>
          <w:p>
            <w:pPr>
              <w:pStyle w:val="TableContents"/>
              <w:bidi w:val="0"/>
              <w:spacing w:before="0" w:after="283"/>
              <w:jc w:val="left"/>
              <w:rPr/>
            </w:pPr>
            <w:r>
              <w:rPr/>
              <w:t> </w:t>
            </w:r>
          </w:p>
        </w:tc>
        <w:tc>
          <w:tcPr>
            <w:tcW w:w="82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1"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0"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7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15"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both"/>
        <w:rPr/>
      </w:pPr>
      <w:r>
        <w:rPr/>
        <w:t> </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NOTE 19 — Subsequent Events</w:t>
      </w:r>
    </w:p>
    <w:p>
      <w:pPr>
        <w:pStyle w:val="TextBody"/>
        <w:bidi w:val="0"/>
        <w:spacing w:before="280" w:after="283"/>
        <w:jc w:val="both"/>
        <w:rPr>
          <w:rFonts w:ascii="Times New Roman" w:hAnsi="Times New Roman"/>
          <w:color w:val="000000"/>
          <w:sz w:val="20"/>
        </w:rPr>
      </w:pPr>
      <w:r>
        <w:rPr>
          <w:rFonts w:ascii="Times New Roman" w:hAnsi="Times New Roman"/>
          <w:color w:val="000000"/>
          <w:sz w:val="20"/>
        </w:rPr>
        <w:t xml:space="preserve">Effective October 11, 2024, Stay-Lite Lighting, Inc. was dissolved with all of its assets and liabilities being assigned to Orion Energy Systems, Inc. </w:t>
      </w:r>
    </w:p>
    <w:p>
      <w:pPr>
        <w:pStyle w:val="TextBody"/>
        <w:bidi w:val="0"/>
        <w:spacing w:before="280" w:after="283"/>
        <w:jc w:val="both"/>
        <w:rPr>
          <w:rFonts w:ascii="Times New Roman" w:hAnsi="Times New Roman"/>
          <w:color w:val="000000"/>
          <w:sz w:val="20"/>
        </w:rPr>
      </w:pPr>
      <w:r>
        <w:rPr>
          <w:rFonts w:ascii="Times New Roman" w:hAnsi="Times New Roman"/>
          <w:color w:val="000000"/>
          <w:sz w:val="20"/>
        </w:rPr>
        <w:t>On October, 30, 2024, the Company, with Bank of America, N.A. as lender, executed Amendment No. 3 ("Amendment No. 3") to its Credit Agreement. The primary purpose of Amendment No. 3 was to extend the maturity date of the Credit Facility from December 29, 2025 to June 30,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6" w:name="item_2__management_s_discussion_and_anal"/>
      <w:bookmarkEnd w:id="26"/>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2024.</w:t>
      </w:r>
    </w:p>
    <w:p>
      <w:pPr>
        <w:pStyle w:val="TextBody"/>
        <w:bidi w:val="0"/>
        <w:spacing w:before="280" w:after="283"/>
        <w:jc w:val="both"/>
        <w:rPr>
          <w:rFonts w:ascii="Times New Roman" w:hAnsi="Times New Roman"/>
          <w:b/>
          <w:color w:val="000000"/>
          <w:sz w:val="20"/>
        </w:rPr>
      </w:pPr>
      <w:bookmarkStart w:id="27" w:name="cautionary_note_regarding_forward_lookin"/>
      <w:bookmarkEnd w:id="27"/>
      <w:r>
        <w:rPr>
          <w:rFonts w:ascii="Times New Roman" w:hAnsi="Times New Roman"/>
          <w:b/>
          <w:color w:val="000000"/>
          <w:sz w:val="20"/>
        </w:rPr>
        <w:t>Cautionary Note Regarding Forward-Looking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several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2024.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pStyle w:val="TextBody"/>
        <w:bidi w:val="0"/>
        <w:spacing w:before="280" w:after="283"/>
        <w:jc w:val="both"/>
        <w:rPr>
          <w:rFonts w:ascii="Times New Roman" w:hAnsi="Times New Roman"/>
          <w:b/>
          <w:color w:val="000000"/>
          <w:sz w:val="20"/>
        </w:rPr>
      </w:pPr>
      <w:bookmarkStart w:id="28" w:name="overview"/>
      <w:bookmarkEnd w:id="28"/>
      <w:r>
        <w:rPr>
          <w:rFonts w:ascii="Times New Roman" w:hAnsi="Times New Roman"/>
          <w:b/>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provide state-of-the-art light emitting diode (“LED”) lighting systems, wireless Internet of Things (“IoT”) enabled control solutions, commercial and industrial electric vehicle (“EV”) charging infrastructure solutions, and lighting and electrical maintenance services. We help our customers achieve their sustainability, energy savings and carbon footprint reduction goals through innovative technology and exceptional service. We sell our products and services into many vertical markets within the broader commercial and industrial market segment. Primary verticals include: big box retail, manufacturing, warehousing/logistics, commercial office, federal and municipal government, healthcare and schools. Our services consist of turnkey installation (lighting and EV) and system maintenance. Virtually all of our sales occur within North America or for the US Department of Defense's military bases operating in foreign countries.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products consist primarily of LED lighting fixtures, many of which include sourced IoT enabled control systems. Our principal lighting customers include large national account end-users, federal and state government facilities, large regional account end-users, electrical distributors, electrical contractors and energy service companies (“ESCOs”). Currently, most of our lighting products are manufactured at our leased production facility located in Manitowoc, Wisconsin, although as the LED and related IoT market continues to evolve, we are increasingly sourcing products and components from third parties in order to provide versatility in our product development and offerings.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differentiate ourselves from our competitors by offering very efficient light fixtures (measured in lumens per watt) coupled with our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 and commissioning. In addition, we began to offer lighting and electrical maintenance services in fiscal 2021. We believe that providing these services enables us to support a long-term business relationship with our customers and results in an increase in our recurring revenue. We completed the acquisition of Stay-Lite Lighting on January 1, 2022, which was intended to further expand our maintenance services capabilities. We subsequently dissolved the Stay-Lite business and merged the net assets into Orion effective October 1, 2024. On October 5, 2022, we acquired Voltrek, which was intended to leverage our project management and maintenance expertise into the rapidly growing EV sector.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lighting products consist primarily of LED lighting fixtures, many of which include IoT enabled control systems provided by third parties. We believe the market for LED lighting products continues to grow. Due to their size and flexibility in application, we also believe that LED lighting systems can address opportunities for retrofit applications that cannot be satisfied by other lighting technologies.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generally do not have long-term contracts with our customers for product or turnkey services that provide us with recurring annual revenue. However, our maintenance services contracts usually consist of multi-year arrangements. We typically generate substantially all of our lighting revenue from sales of lighting systems and related services to governmental, commercial and industrial customers on a project-by-project basis. We also perform work under global services or product purchasing agreements with major customers with sales completed on a purchase order basis.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typically sell our lighting systems in replacement of our customers’ existing lighting fixtures. We call this replacement process a "retrofit". We frequently sell our products and services directly to our customers and in many cases we provide design and installation services as well as project management services. We also sell our lighting systems on a wholesale basis, principally to electrical distributors, electrical contractors and ESCOs which then resell to their own customers.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gross margins of our products can vary significantly depending upon the types of products we sell, with gross margins typically ranging from 10% to 50%. As a result, a change in the total mix of our sales among higher or lower gross margin products can cause our profitability to fluctuate from period to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fiscal year ends on March 31. We refer to our current fiscal year which ends on March 31, 2025 as "fiscal 2025". We refer to our most recently completed fiscal year, which ended on March 31, 2024, as “fiscal 2024”, and our prior fiscal year which ended on March 31, 2023 as "fiscal 2023". Our fiscal first quarter of each fiscal year ends on June 30, our fiscal second quarter ends on September 30, our fiscal third quarter ends on December 31, and our fiscal fourth quarter ends on March 31.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Reportable segments are components of an entity that have separate financial data that the entity's chief operating decision maker ("CODM") regularly reviews when allocating resources and assessing performance. Orion's CODM is the chief executive officer. Orion evaluates and reports on the business using three segments: Lighting Segment, Maintenance Segment and Electric Vehicle Charging Segment (“EV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Three Months Ended September 30, 2024 versus Three Months Ended September 30, 2023</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pStyle w:val="TextBody"/>
        <w:bidi w:val="0"/>
        <w:jc w:val="left"/>
        <w:rPr/>
      </w:pPr>
      <w:r>
        <w:rPr/>
        <w:t> </w:t>
      </w:r>
    </w:p>
    <w:tbl>
      <w:tblPr>
        <w:tblW w:w="9184" w:type="dxa"/>
        <w:jc w:val="left"/>
        <w:tblInd w:w="0" w:type="dxa"/>
        <w:tblLayout w:type="fixed"/>
        <w:tblCellMar>
          <w:top w:w="28" w:type="dxa"/>
          <w:left w:w="28" w:type="dxa"/>
          <w:bottom w:w="28" w:type="dxa"/>
          <w:right w:w="28" w:type="dxa"/>
        </w:tblCellMar>
      </w:tblPr>
      <w:tblGrid>
        <w:gridCol w:w="3091"/>
        <w:gridCol w:w="146"/>
        <w:gridCol w:w="211"/>
        <w:gridCol w:w="676"/>
        <w:gridCol w:w="166"/>
        <w:gridCol w:w="146"/>
        <w:gridCol w:w="211"/>
        <w:gridCol w:w="676"/>
        <w:gridCol w:w="166"/>
        <w:gridCol w:w="146"/>
        <w:gridCol w:w="146"/>
        <w:gridCol w:w="631"/>
        <w:gridCol w:w="331"/>
        <w:gridCol w:w="146"/>
        <w:gridCol w:w="146"/>
        <w:gridCol w:w="575"/>
        <w:gridCol w:w="331"/>
        <w:gridCol w:w="146"/>
        <w:gridCol w:w="146"/>
        <w:gridCol w:w="575"/>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 of </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18"/>
        </w:rPr>
        <w:t>* NM - Not Meaningful</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decreased 20.7%, or $3.2 million, for the second quarter of fiscal 2025 versus the second quarter of fiscal 2024. Service revenue increased 39.9%, or $2.0 million, for the second quarter of fiscal 2025 versus the second quarter of fiscal 2024. The resulting decrease in total revenue was due to decreased revenues in the Lighting segment, partially offset by increased revenue in the EV segment. Cost of product revenue decreased by 18.4%, or $2.0 million, in the second quarter of fiscal 2025 versus the comparable period in fiscal 2024. Cost of service revenue increased by 17.2%, or $0.9 million, in the second quarter of fiscal 2025 versus the comparable period in fiscal 2024. Gross margin increased from 22.2% of revenue in the second quarter of fiscal 2024 to 23.1% in the second quarter of fiscal 2025, due primarily to increased margins in the maintenance segment.</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9.4%, or $0.5 million, in the second quarter of fiscal 2025 compared to the second quarter of fiscal 2024. This comparative decrease was primarily due to a decrease in Voltrek earn out expense to $0.6 million in the second quarter of fiscal 2025 compared to $1.1 million in the second quarter of fiscal 2024.</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14.0%, or $0.5 million, in the second quarter of fiscal 2025 compared to the second quarter of fiscal 2024. This comparative decrease was primarily due to the lower volume of product sales resulting in lower commissions expense.</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14.1%, or $0.1 million, in the second quarter of fiscal 2025 compared to the second quarter of fiscal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29" w:name="engineered_systems_segment"/>
      <w:bookmarkEnd w:id="29"/>
      <w:r>
        <w:rPr>
          <w:rFonts w:ascii="Times New Roman" w:hAnsi="Times New Roman"/>
          <w:b/>
          <w:color w:val="000000"/>
          <w:sz w:val="20"/>
        </w:rPr>
        <w:t>Lighting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lighting segment develops and sells lighting products and provides construction and engineering services for our commercial lighting and energy management systems. Our lighting segment provides engineering, design, lighting products and in many cases turnkey solutions for large national accounts, governments, municipalities, schools and other customers mostly through direct sales and also sells lighting products though manufacturer representative agencies and to the wholesale contractor markets through ESCOs and contractors.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lighting segment operating results (dollars in thousands):</w:t>
      </w:r>
    </w:p>
    <w:p>
      <w:pPr>
        <w:pStyle w:val="TextBody"/>
        <w:bidi w:val="0"/>
        <w:jc w:val="left"/>
        <w:rPr/>
      </w:pPr>
      <w:r>
        <w:rPr/>
        <w:t> </w:t>
      </w:r>
    </w:p>
    <w:tbl>
      <w:tblPr>
        <w:tblW w:w="5468"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13,573</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Lighting segment revenue in the second quarter of fiscal 2025 decreased by 20.1%, or $2.7 million compared to the second quarter of fiscal 2024. The decrease in lighting segment revenue was due to variability in the timing of larger lighting projects along with the completion of the United States Department of Defense project in Germany. The decrease in operating loss in this segment was a result of an increased percentage of product revenue, which has a higher gross margin than service revenue. </w:t>
      </w:r>
    </w:p>
    <w:p>
      <w:pPr>
        <w:pStyle w:val="TextBody"/>
        <w:bidi w:val="0"/>
        <w:spacing w:before="280" w:after="283"/>
        <w:jc w:val="both"/>
        <w:rPr>
          <w:rFonts w:ascii="Times New Roman" w:hAnsi="Times New Roman"/>
          <w:b/>
          <w:color w:val="000000"/>
          <w:sz w:val="20"/>
        </w:rPr>
      </w:pPr>
      <w:bookmarkStart w:id="30" w:name="distribution_services_segment"/>
      <w:bookmarkEnd w:id="30"/>
      <w:r>
        <w:rPr>
          <w:rFonts w:ascii="Times New Roman" w:hAnsi="Times New Roman"/>
          <w:b/>
          <w:color w:val="000000"/>
          <w:sz w:val="20"/>
        </w:rPr>
        <w:t>Maintenance Segment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maintenance segment provides retailers, distributors and other businesses with maintenance, repair and replacement services for the lighting and related electrical components deployed in their facilities.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maintenance segment operating results (dollars in thousands):</w:t>
      </w:r>
    </w:p>
    <w:p>
      <w:pPr>
        <w:pStyle w:val="TextBody"/>
        <w:bidi w:val="0"/>
        <w:jc w:val="left"/>
        <w:rPr/>
      </w:pPr>
      <w:r>
        <w:rPr/>
        <w:t> </w:t>
      </w:r>
    </w:p>
    <w:tbl>
      <w:tblPr>
        <w:tblW w:w="5247" w:type="dxa"/>
        <w:jc w:val="left"/>
        <w:tblInd w:w="0" w:type="dxa"/>
        <w:tblLayout w:type="fixed"/>
        <w:tblCellMar>
          <w:top w:w="28" w:type="dxa"/>
          <w:left w:w="28" w:type="dxa"/>
          <w:bottom w:w="28" w:type="dxa"/>
          <w:right w:w="28" w:type="dxa"/>
        </w:tblCellMar>
      </w:tblPr>
      <w:tblGrid>
        <w:gridCol w:w="1546"/>
        <w:gridCol w:w="146"/>
        <w:gridCol w:w="211"/>
        <w:gridCol w:w="571"/>
        <w:gridCol w:w="331"/>
        <w:gridCol w:w="146"/>
        <w:gridCol w:w="211"/>
        <w:gridCol w:w="631"/>
        <w:gridCol w:w="331"/>
        <w:gridCol w:w="146"/>
        <w:gridCol w:w="157"/>
        <w:gridCol w:w="504"/>
        <w:gridCol w:w="31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segment revenue in the second quarter of fiscal 2025 increased by 4.5%, or $0.2 million, compared to the second quarter of fiscal 2024 primarily due to increased work orders from our major customer. Operating loss in this segment decreased as a result of an increase in gross margins driven by a more favorable revenue mix.</w:t>
      </w:r>
    </w:p>
    <w:p>
      <w:pPr>
        <w:pStyle w:val="TextBody"/>
        <w:bidi w:val="0"/>
        <w:spacing w:before="280" w:after="283"/>
        <w:jc w:val="both"/>
        <w:rPr>
          <w:rFonts w:ascii="Times New Roman" w:hAnsi="Times New Roman"/>
          <w:b/>
          <w:i/>
          <w:color w:val="000000"/>
          <w:sz w:val="20"/>
        </w:rPr>
      </w:pPr>
      <w:r>
        <w:rPr>
          <w:rFonts w:ascii="Times New Roman" w:hAnsi="Times New Roman"/>
          <w:b/>
          <w:i/>
          <w:color w:val="000000"/>
          <w:sz w:val="20"/>
        </w:rPr>
        <w:t>Electric Vehicle Charging Segment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Our EV segment offers leading electric vehicle charging expertise and provides EV turnkey installation solutions with ongoing support to all commercial verticals.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318" w:type="dxa"/>
        <w:jc w:val="left"/>
        <w:tblInd w:w="0" w:type="dxa"/>
        <w:tblLayout w:type="fixed"/>
        <w:tblCellMar>
          <w:top w:w="28" w:type="dxa"/>
          <w:left w:w="28" w:type="dxa"/>
          <w:bottom w:w="28" w:type="dxa"/>
          <w:right w:w="28" w:type="dxa"/>
        </w:tblCellMar>
      </w:tblPr>
      <w:tblGrid>
        <w:gridCol w:w="1546"/>
        <w:gridCol w:w="146"/>
        <w:gridCol w:w="211"/>
        <w:gridCol w:w="571"/>
        <w:gridCol w:w="331"/>
        <w:gridCol w:w="146"/>
        <w:gridCol w:w="211"/>
        <w:gridCol w:w="631"/>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3,379</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EV segment revenue in the second quarter of fiscal 2025 increased by 39.8%, or $1.3 million, compared to the second quarter of fiscal 2024. The increase in revenue over the second quarter of fiscal 2024 was due to a higher revenue volume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municipalities. Operating loss decreased $0.4 million in the second quarter of fiscal 2025 due to a $0.5 million decrease of earn-out expense included in general and administrative costs.</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Results of Operations - Six Months Ended September 30, 2024 versus Six Months Ended September 30, 2023</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tbl>
      <w:tblPr>
        <w:tblW w:w="9244" w:type="dxa"/>
        <w:jc w:val="left"/>
        <w:tblInd w:w="0" w:type="dxa"/>
        <w:tblLayout w:type="fixed"/>
        <w:tblCellMar>
          <w:top w:w="28" w:type="dxa"/>
          <w:left w:w="28" w:type="dxa"/>
          <w:bottom w:w="28" w:type="dxa"/>
          <w:right w:w="28" w:type="dxa"/>
        </w:tblCellMar>
      </w:tblPr>
      <w:tblGrid>
        <w:gridCol w:w="3091"/>
        <w:gridCol w:w="146"/>
        <w:gridCol w:w="211"/>
        <w:gridCol w:w="676"/>
        <w:gridCol w:w="166"/>
        <w:gridCol w:w="146"/>
        <w:gridCol w:w="211"/>
        <w:gridCol w:w="736"/>
        <w:gridCol w:w="166"/>
        <w:gridCol w:w="146"/>
        <w:gridCol w:w="146"/>
        <w:gridCol w:w="631"/>
        <w:gridCol w:w="331"/>
        <w:gridCol w:w="146"/>
        <w:gridCol w:w="146"/>
        <w:gridCol w:w="575"/>
        <w:gridCol w:w="331"/>
        <w:gridCol w:w="146"/>
        <w:gridCol w:w="146"/>
        <w:gridCol w:w="575"/>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shd w:fill="FFFFFF" w:val="clear"/>
            <w:vAlign w:val="center"/>
          </w:tcPr>
          <w:p>
            <w:pPr>
              <w:pStyle w:val="TableContents"/>
              <w:bidi w:val="0"/>
              <w:spacing w:before="0" w:after="283"/>
              <w:jc w:val="center"/>
              <w:rPr/>
            </w:pPr>
            <w:r>
              <w:rPr/>
              <w:t> </w:t>
            </w:r>
          </w:p>
        </w:tc>
        <w:tc>
          <w:tcPr>
            <w:tcW w:w="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w:t>
              <w:br/>
              <w:t>Revenue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issue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7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3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NM - Not Meaningful</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Revenue, Cost of Revenue and Gross Margin. </w:t>
      </w:r>
      <w:r>
        <w:rPr>
          <w:rFonts w:ascii="Times New Roman" w:hAnsi="Times New Roman"/>
          <w:color w:val="000000"/>
          <w:sz w:val="20"/>
        </w:rPr>
        <w:t>Product revenue decreased 14.1%, or $4.1 million, for the first six months of fiscal 2025 versus the first six months of fiscal 2024. Service revenue increased 58.1%, or $5.2 million, for the first six months of fiscal 2025 versus the first six months of fiscal 2024. Total revenue increased due to growth in the EV segment, which was partially offset due to a decrease in the Lighting and Maintenance segments. Cost of product revenue decreased by 16.8%, or $3.5 million, in the first six months of fiscal 2025 versus the comparable period in fiscal 2024. Cost of service revenue increased by 37.5%, or $3.6 million, in the first six months of fiscal 2025 versus the comparable period in fiscal 2024. Gross margin increased from 20.3% of revenue in the first six months of fiscal 2024 to 22.3% in the first six months of fiscal 2025, due primarily to increased margins within the Maintenance segment.</w:t>
      </w:r>
    </w:p>
    <w:p>
      <w:pPr>
        <w:pStyle w:val="TextBody"/>
        <w:bidi w:val="0"/>
        <w:spacing w:before="28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General and Administrative. </w:t>
      </w:r>
      <w:r>
        <w:rPr>
          <w:rFonts w:ascii="Times New Roman" w:hAnsi="Times New Roman"/>
          <w:color w:val="000000"/>
          <w:sz w:val="20"/>
        </w:rPr>
        <w:t>General and administrative expenses decreased 15.6%, or $1.7 million, in the first six months of fiscal 2025 compared to the first six months of fiscal 2024. This comparative decrease was primarily due to the decreased accrual of the expected Voltrek earn-out payment.</w:t>
      </w:r>
    </w:p>
    <w:p>
      <w:pPr>
        <w:pStyle w:val="TextBody"/>
        <w:bidi w:val="0"/>
        <w:spacing w:before="180" w:after="283"/>
        <w:jc w:val="both"/>
        <w:rPr>
          <w:rFonts w:ascii="Times New Roman" w:hAnsi="Times New Roman"/>
          <w:sz w:val="20"/>
        </w:rPr>
      </w:pPr>
      <w:r>
        <w:rPr>
          <w:rFonts w:ascii="Times New Roman" w:hAnsi="Times New Roman"/>
          <w:i/>
          <w:color w:val="000000"/>
          <w:sz w:val="20"/>
        </w:rPr>
        <w:t>Acquisition Related Costs.</w:t>
      </w:r>
      <w:r>
        <w:rPr>
          <w:rFonts w:ascii="Times New Roman" w:hAnsi="Times New Roman"/>
          <w:color w:val="000000"/>
          <w:sz w:val="20"/>
        </w:rPr>
        <w:t xml:space="preserve"> There were no acquisition related costs in the first six months of fiscal 2025 in comparison to the $0.1 million in the first six months of fiscal 2024.</w:t>
      </w:r>
    </w:p>
    <w:p>
      <w:pPr>
        <w:pStyle w:val="TextBody"/>
        <w:bidi w:val="0"/>
        <w:spacing w:before="180" w:after="283"/>
        <w:jc w:val="both"/>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decreased 12.5%, or $0.8 million, in the first six months of fiscal 2025 compared to the first six months of fiscal 2024. This comparative decrease was primarily due to decreased commission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31.3%, or $0.3 million, in the first six months of fiscal 2025 compared to the first six months of fiscal 2024. This comparative decrease was primarily due to the reduction of employee compensation costs.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Interest expenses increased 48.1% or $0.2 million, in the first six months of fiscal 2025 compared to the first six months of fiscal 2024. This comparative increase was primarily due to the interest on outstanding borrowings and a higher incremental borrowing rate.</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Lighting Division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our lighting division operating results (dollars in thousands):</w:t>
      </w:r>
    </w:p>
    <w:tbl>
      <w:tblPr>
        <w:tblW w:w="5457" w:type="dxa"/>
        <w:jc w:val="left"/>
        <w:tblInd w:w="0" w:type="dxa"/>
        <w:tblLayout w:type="fixed"/>
        <w:tblCellMar>
          <w:top w:w="28" w:type="dxa"/>
          <w:left w:w="28" w:type="dxa"/>
          <w:bottom w:w="28" w:type="dxa"/>
          <w:right w:w="28" w:type="dxa"/>
        </w:tblCellMar>
      </w:tblPr>
      <w:tblGrid>
        <w:gridCol w:w="1546"/>
        <w:gridCol w:w="146"/>
        <w:gridCol w:w="211"/>
        <w:gridCol w:w="676"/>
        <w:gridCol w:w="331"/>
        <w:gridCol w:w="146"/>
        <w:gridCol w:w="211"/>
        <w:gridCol w:w="676"/>
        <w:gridCol w:w="331"/>
        <w:gridCol w:w="146"/>
        <w:gridCol w:w="170"/>
        <w:gridCol w:w="491"/>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23,591</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26,194</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61"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Lighting division revenue in the first six months of fiscal 2025 decreased by 9.9%, or $2.6 million compared to the first six months of fiscal 2024. The decrease in lighting segment revenue was due to variability in the timing of larger lighting projects along with the completion of the United States Department of Defense project in Germany. The decrease in corresponding operating loss in this segment was a result of a decrease in under absorption of fixed costs. </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Maintenance Division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our maintenance division operating results (dollars in thousands):</w:t>
      </w:r>
    </w:p>
    <w:tbl>
      <w:tblPr>
        <w:tblW w:w="5378" w:type="dxa"/>
        <w:jc w:val="left"/>
        <w:tblInd w:w="0" w:type="dxa"/>
        <w:tblLayout w:type="fixed"/>
        <w:tblCellMar>
          <w:top w:w="28" w:type="dxa"/>
          <w:left w:w="28" w:type="dxa"/>
          <w:bottom w:w="28" w:type="dxa"/>
          <w:right w:w="28" w:type="dxa"/>
        </w:tblCellMar>
      </w:tblPr>
      <w:tblGrid>
        <w:gridCol w:w="1546"/>
        <w:gridCol w:w="146"/>
        <w:gridCol w:w="211"/>
        <w:gridCol w:w="631"/>
        <w:gridCol w:w="331"/>
        <w:gridCol w:w="146"/>
        <w:gridCol w:w="211"/>
        <w:gridCol w:w="631"/>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Maintenance division revenue in the first six months of fiscal 2025 decreased by 3.6%, or $0.3 million, compared to the first six months of fiscal 2024, primarily due to the loss of three large customers who decided not to renew their contracts, partially offset by increased work orders from our major customer. Operating loss in this segment decreased as a result of an increase in gross margin primarily due to a more favorable revenue mix.</w:t>
      </w:r>
    </w:p>
    <w:p>
      <w:pPr>
        <w:pStyle w:val="TextBody"/>
        <w:bidi w:val="0"/>
        <w:spacing w:before="280" w:after="283"/>
        <w:jc w:val="both"/>
        <w:rPr>
          <w:rFonts w:ascii="Times New Roman" w:hAnsi="Times New Roman"/>
          <w:b/>
          <w:color w:val="000000"/>
          <w:sz w:val="20"/>
        </w:rPr>
      </w:pPr>
      <w:r>
        <w:rPr>
          <w:rFonts w:ascii="Times New Roman" w:hAnsi="Times New Roman"/>
          <w:b/>
          <w:color w:val="000000"/>
          <w:sz w:val="20"/>
        </w:rPr>
        <w:t>Electric Vehicle Charging Division</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summarizes our EV segment operations results (dollars in thousands):</w:t>
      </w:r>
    </w:p>
    <w:tbl>
      <w:tblPr>
        <w:tblW w:w="5318" w:type="dxa"/>
        <w:jc w:val="left"/>
        <w:tblInd w:w="0" w:type="dxa"/>
        <w:tblLayout w:type="fixed"/>
        <w:tblCellMar>
          <w:top w:w="28" w:type="dxa"/>
          <w:left w:w="28" w:type="dxa"/>
          <w:bottom w:w="28" w:type="dxa"/>
          <w:right w:w="28" w:type="dxa"/>
        </w:tblCellMar>
      </w:tblPr>
      <w:tblGrid>
        <w:gridCol w:w="1546"/>
        <w:gridCol w:w="146"/>
        <w:gridCol w:w="211"/>
        <w:gridCol w:w="571"/>
        <w:gridCol w:w="331"/>
        <w:gridCol w:w="146"/>
        <w:gridCol w:w="211"/>
        <w:gridCol w:w="631"/>
        <w:gridCol w:w="331"/>
        <w:gridCol w:w="146"/>
        <w:gridCol w:w="146"/>
        <w:gridCol w:w="526"/>
        <w:gridCol w:w="37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w:t>
            </w:r>
          </w:p>
        </w:tc>
        <w:tc>
          <w:tcPr>
            <w:tcW w:w="33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w:t>
            </w:r>
          </w:p>
        </w:tc>
        <w:tc>
          <w:tcPr>
            <w:tcW w:w="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3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72" w:type="dxa"/>
            <w:gridSpan w:val="2"/>
            <w:tcBorders/>
            <w:shd w:fill="CFF0FC" w:val="clear"/>
            <w:vAlign w:val="center"/>
          </w:tcPr>
          <w:p>
            <w:pPr>
              <w:pStyle w:val="TableContents"/>
              <w:bidi w:val="0"/>
              <w:spacing w:before="0" w:after="283"/>
              <w:jc w:val="right"/>
              <w:rPr/>
            </w:pPr>
            <w:r>
              <w:rPr/>
              <w:t> </w:t>
            </w:r>
          </w:p>
        </w:tc>
        <w:tc>
          <w:tcPr>
            <w:tcW w:w="376" w:type="dxa"/>
            <w:tcBorders/>
            <w:shd w:fill="CFF0FC" w:val="cle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EV segment revenue in the first six months of fiscal 2025 increased by 85.3%, or $3.9 million, compared to the first six months of fiscal 2024. Operating loss in this segment decreased primarily as a result of the earn-out expense decreasing in fiscal 2025 compared to 2024 along with the significant increase in revenue allowing for greater absorption of fixed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1" w:name="liquidity_and_capital_resources"/>
      <w:bookmarkEnd w:id="31"/>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our existing cash and operating cash flow provide us with the financial flexibility needed to meet our capital requirements, including to fund targeted our budgeted capital expenditures and working capital needs for at least one year from the date of this report, as well as our longer-term capital requirements for periods beyond at least one year from the date of this report.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had approximately $5.4 million in cash and cash equivalents as of September 30, 2024, compared to $5.2 million at March 31, 2024. Our cash position increased as a result of our newly obtained mortgage loan largely offset by an operating loss, a $1 million repayment of debt, and a net use of working capital during the first two quarters of fiscal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future liquidity needs and forecasted cash flows are dependent upon many factors, including our relative revenue, gross margins, cash management practices, cost containment, working capital management and capital expenditures. While we believe that we will likely have adequate available cash and equivalents and credit availability under our Credit Agreement to satisfy our currently anticipated working capital and liquidity requirements for at least the next 12 months based on our current cash flow forecast, if we experience significant liquidity constraints, we may be required to issue equity or debt securities, reduce our sales efforts, implement additional cost savings initiatives or undertake other efforts to conserve our cash.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summarizes our cash flows for the six months ended September 30, 2024 and 2023 (in thousands):</w:t>
      </w:r>
    </w:p>
    <w:p>
      <w:pPr>
        <w:pStyle w:val="TextBody"/>
        <w:bidi w:val="0"/>
        <w:jc w:val="left"/>
        <w:rPr/>
      </w:pPr>
      <w:r>
        <w:rPr/>
        <w:t> </w:t>
      </w:r>
    </w:p>
    <w:tbl>
      <w:tblPr>
        <w:tblW w:w="6837" w:type="dxa"/>
        <w:jc w:val="left"/>
        <w:tblInd w:w="0" w:type="dxa"/>
        <w:tblLayout w:type="fixed"/>
        <w:tblCellMar>
          <w:top w:w="28" w:type="dxa"/>
          <w:left w:w="28" w:type="dxa"/>
          <w:bottom w:w="28" w:type="dxa"/>
          <w:right w:w="28" w:type="dxa"/>
        </w:tblCellMar>
      </w:tblPr>
      <w:tblGrid>
        <w:gridCol w:w="3991"/>
        <w:gridCol w:w="146"/>
        <w:gridCol w:w="250"/>
        <w:gridCol w:w="748"/>
        <w:gridCol w:w="196"/>
        <w:gridCol w:w="173"/>
        <w:gridCol w:w="250"/>
        <w:gridCol w:w="872"/>
        <w:gridCol w:w="2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(11,315</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0"/>
        </w:rPr>
        <w:t>Cash Flows Related to Operating Activities.</w:t>
      </w:r>
      <w:r>
        <w:rPr>
          <w:rFonts w:ascii="Times New Roman" w:hAnsi="Times New Roman"/>
          <w:color w:val="000000"/>
          <w:sz w:val="20"/>
        </w:rPr>
        <w:t xml:space="preserve"> Cash used in operating activities primarily consisted of net loss adjusted for certain non-cash items, including depreciation, amortization of intangible assets, stock-based compensation, amortization of debt issue costs, provisions for reserves, and the effect of changes in working capital and other activities.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six months of fiscal 2025 was $2.5 million and consisted of our net loss of $7.4 million adjusted for non-cash expense items and net cash provided in changes in operating assets of $4.9 million, the largest of which was a $3.9 million decrease in accounts payable, which was mostly offset by increases in accounts receivable and inventories.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operating activities for the first six months of fiscal 2024 was $11.3 million and consisted of our net loss of $11.1 million adjusted for non-cash expense items and net cash used in changes in operating assets of $0.2 million, the largest of which was a $2.6 million increase in accounts receivable.</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Investing Activities</w:t>
      </w:r>
      <w:r>
        <w:rPr>
          <w:rFonts w:ascii="Times New Roman" w:hAnsi="Times New Roman"/>
          <w:color w:val="000000"/>
          <w:sz w:val="20"/>
        </w:rPr>
        <w:t>. Cash provided by investing activities of $155 thousand in the first six months of fiscal 2025 consisted primarily of sales of property and equipment.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in investing activities of $0.6 million in the first six months of fiscal 2024 consisted primarily of purchases of property and equipment, partially offset by proceeds from sale of property and equipment.</w:t>
      </w:r>
    </w:p>
    <w:p>
      <w:pPr>
        <w:pStyle w:val="TextBody"/>
        <w:bidi w:val="0"/>
        <w:spacing w:before="180" w:after="283"/>
        <w:jc w:val="both"/>
        <w:rPr>
          <w:rFonts w:ascii="Times New Roman" w:hAnsi="Times New Roman"/>
          <w:sz w:val="20"/>
        </w:rPr>
      </w:pPr>
      <w:r>
        <w:rPr>
          <w:rFonts w:ascii="Times New Roman" w:hAnsi="Times New Roman"/>
          <w:i/>
          <w:color w:val="000000"/>
          <w:sz w:val="20"/>
        </w:rPr>
        <w:t>Cash Flows Related to Financing Activities.</w:t>
      </w:r>
      <w:r>
        <w:rPr>
          <w:rFonts w:ascii="Times New Roman" w:hAnsi="Times New Roman"/>
          <w:color w:val="000000"/>
          <w:sz w:val="20"/>
        </w:rPr>
        <w:t xml:space="preserve"> Cash provided by financing activities of $2.5 million in the first six months of fiscal 2025 was primarily due to the term loan discussed in Note 12 above, which was partially offset by payments on the revolving credit facility and long-term debt.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Cash used by financing activities of $5 thousand in the first six months of fiscal 2024 consisted primarily of payment of long-term debt.</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Working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Our net working capital as of September 30, 2024 was $13.1 million, consisting of $40.0 million in current assets and $26.9 million in current liabilities. Our net working capital as of March 31, 2024 was $16.7 million, consisting of $44.8 million in current assets and $28.1 million in current liabilities.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payables and unbilled revenue may increase to the extent our revenue and order levels increase. </w:t>
      </w:r>
    </w:p>
    <w:p>
      <w:pPr>
        <w:pStyle w:val="TextBody"/>
        <w:bidi w:val="0"/>
        <w:spacing w:before="280" w:after="283"/>
        <w:jc w:val="left"/>
        <w:rPr>
          <w:rFonts w:ascii="Times New Roman" w:hAnsi="Times New Roman"/>
          <w:b/>
          <w:i/>
          <w:color w:val="000000"/>
          <w:sz w:val="20"/>
        </w:rPr>
      </w:pPr>
      <w:r>
        <w:rPr>
          <w:rFonts w:ascii="Times New Roman" w:hAnsi="Times New Roman"/>
          <w:b/>
          <w:i/>
          <w:color w:val="000000"/>
          <w:sz w:val="20"/>
        </w:rPr>
        <w:t>Indebtedness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Revolving Credit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2024, the borrowing base supported approximately $16.7 million of availability under the Credit Facility with $9.0 million drawn against that availability. As of September 30, 2023, the borrowing base supported approximately $18.9 million of availability under the Credit Facility with $10.0 million drawn against that availability.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is secured by a first lien security interest in substantially all of our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Borrowings under the credit agreement are permitted in the form of SOFR or prime rate-based loans and generally bear interest at floating rates plus an applicable margin determined by reference to our availability under the Credit Agreement. Among other fees, we are required to pay an annual facility fee of $15,000 and a fee of 25 basis points on the unused portion of the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credit agreement includes a springing minimum fixed cost coverage ratio of 1.0 to 1.0 when excess availability under the Credit Facility falls below the greater of $3.0 million or 15% of the committed facility. Currently, the required springing minimum fixed cost coverage ratio is not required.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credit agreement also contains customary events of default and other covenants, including certain restrictions on our ability to incur additional indebtedness, consolidate or merge, enter into acquisitions, pay any dividend or distribution on our stock, redeem, retire or purchase shares of our stock, make investments or pledge or transfer assets. If an event of default under the credit agreement occurs and is continuing, then the lender may cease making advances under the credit agreement and declare any outstanding obligations under the credit agreement to be immediately due and payable. In addition, if we become the subject of voluntary or involuntary proceedings under any bankruptcy or similar law, then any outstanding obligations under the credit agreement will automatically become immediately due and payable.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April 22, 2024, we, along with the lender, executed Amendment No. 2 (“Amendment No. 2”) to the credit agreement. The primary purpose of Amendment No. 2 was to add a $3.525 million mortgage loan facility to the credit agreement secured by our office headquarters property in Manitowoc, Wisconsin. Amendment No. 2 also broadened the definition of receivables to encompass government receivables as being eligible to be included in our borrowing base calculation for the purpose of establishing our monthly borrowing availability under the credit agreement. Quarterly installments of $88,125 are due on the first day of each fiscal quarter beginning October 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discussed in Note 19 - Subsequent Events, the maturity date of the Credit Facility was extended from December 29, 2025 to June 30, 2027.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Backlog represents the amount of revenue that we expect to realize in the future as a result of firm, committed purchase orders. Backlog totaled $11.1 million and $22.0 million as of September 30, 2024 and March 31, 2024, respectively. We generally expect our backlog to be recognized as revenue within one year. Backlog does not include any amounts for contracted maintenance services.</w:t>
      </w:r>
    </w:p>
    <w:p>
      <w:pPr>
        <w:pStyle w:val="TextBody"/>
        <w:bidi w:val="0"/>
        <w:spacing w:before="280" w:after="283"/>
        <w:jc w:val="left"/>
        <w:rPr>
          <w:rFonts w:ascii="Times New Roman" w:hAnsi="Times New Roman"/>
          <w:b/>
          <w:color w:val="000000"/>
          <w:sz w:val="20"/>
        </w:rPr>
      </w:pPr>
      <w:bookmarkStart w:id="32" w:name="off_balance_sheet_arrangements"/>
      <w:bookmarkEnd w:id="32"/>
      <w:r>
        <w:rPr>
          <w:rFonts w:ascii="Times New Roman" w:hAnsi="Times New Roman"/>
          <w:b/>
          <w:color w:val="000000"/>
          <w:sz w:val="20"/>
        </w:rPr>
        <w:t>Off-Balance Sheet Arrangements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no off-balance sheet arrangements.</w:t>
      </w:r>
    </w:p>
    <w:p>
      <w:pPr>
        <w:pStyle w:val="TextBody"/>
        <w:bidi w:val="0"/>
        <w:spacing w:before="280" w:after="283"/>
        <w:jc w:val="left"/>
        <w:rPr>
          <w:rFonts w:ascii="Times New Roman" w:hAnsi="Times New Roman"/>
          <w:b/>
          <w:color w:val="000000"/>
          <w:sz w:val="20"/>
        </w:rPr>
      </w:pPr>
      <w:bookmarkStart w:id="33" w:name="critical_accounting_policies_and_estimat"/>
      <w:bookmarkEnd w:id="33"/>
      <w:r>
        <w:rPr>
          <w:rFonts w:ascii="Times New Roman" w:hAnsi="Times New Roman"/>
          <w:b/>
          <w:color w:val="000000"/>
          <w:sz w:val="20"/>
        </w:rPr>
        <w:t>Critical Accounting Policies and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stock-based compensation and income taxes. The estimates of forecasted cash flows are used in the assessment for impairment of long-lived assets and the realizability of deferred tax assets.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2024. For the quarter ended September 30, 2024, there were no material changes in our accounting policies.</w:t>
      </w:r>
    </w:p>
    <w:p>
      <w:pPr>
        <w:pStyle w:val="TextBody"/>
        <w:bidi w:val="0"/>
        <w:spacing w:before="280" w:after="283"/>
        <w:jc w:val="left"/>
        <w:rPr>
          <w:rFonts w:ascii="Times New Roman" w:hAnsi="Times New Roman"/>
          <w:b/>
          <w:color w:val="000000"/>
          <w:sz w:val="20"/>
        </w:rPr>
      </w:pPr>
      <w:bookmarkStart w:id="34" w:name="recent_accounting_pronouncements"/>
      <w:bookmarkEnd w:id="34"/>
      <w:r>
        <w:rPr>
          <w:rFonts w:ascii="Times New Roman" w:hAnsi="Times New Roman"/>
          <w:b/>
          <w:color w:val="000000"/>
          <w:sz w:val="20"/>
        </w:rPr>
        <w:t>Recent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a complete discussion of recent accounting pronouncements, refer to Note 2 in the Condensed Consolidated Financial Statements included elsewhere in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b/>
          <w:color w:val="000000"/>
          <w:sz w:val="20"/>
        </w:rPr>
      </w:pPr>
      <w:bookmarkStart w:id="35" w:name="item_3__quantitative_and_qualitative_dis"/>
      <w:bookmarkEnd w:id="3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exposure to market risk was discussed in the “Quantitative and Qualitative Disclosures About Market Risk” section contained in our Annual Report on Form 10-K for the year ended March 31, 2024. There have been no material changes to such exposures since March 31, 2024.</w:t>
      </w:r>
    </w:p>
    <w:p>
      <w:pPr>
        <w:pStyle w:val="TextBody"/>
        <w:bidi w:val="0"/>
        <w:spacing w:before="280" w:after="283"/>
        <w:jc w:val="left"/>
        <w:rPr>
          <w:rFonts w:ascii="Times New Roman" w:hAnsi="Times New Roman"/>
          <w:b/>
          <w:color w:val="000000"/>
          <w:sz w:val="20"/>
        </w:rPr>
      </w:pPr>
      <w:bookmarkStart w:id="36" w:name="item_4__controls_and_procedures"/>
      <w:bookmarkEnd w:id="36"/>
      <w:r>
        <w:rPr>
          <w:rFonts w:ascii="Times New Roman" w:hAnsi="Times New Roman"/>
          <w:b/>
          <w:color w:val="000000"/>
          <w:sz w:val="20"/>
        </w:rPr>
        <w:t>ITEM 4. CONTROLS 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September 30, 2024,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2024.</w:t>
      </w:r>
    </w:p>
    <w:p>
      <w:pPr>
        <w:pStyle w:val="TextBody"/>
        <w:bidi w:val="0"/>
        <w:spacing w:before="2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13a-15(e) and Rule 15d-15(e) of the Exchange Act) for the quarter ended September 30, 2024,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37" w:name="part_ii_other_information"/>
      <w:bookmarkEnd w:id="37"/>
      <w:r>
        <w:rPr>
          <w:rFonts w:ascii="Times New Roman" w:hAnsi="Times New Roman"/>
          <w:b/>
          <w:color w:val="000000"/>
          <w:sz w:val="20"/>
        </w:rPr>
        <w:t>PART II – OTHER INFORMATION</w:t>
      </w:r>
    </w:p>
    <w:p>
      <w:pPr>
        <w:pStyle w:val="TextBody"/>
        <w:bidi w:val="0"/>
        <w:spacing w:before="180" w:after="283"/>
        <w:jc w:val="both"/>
        <w:rPr>
          <w:rFonts w:ascii="Times New Roman" w:hAnsi="Times New Roman"/>
          <w:b/>
          <w:color w:val="000000"/>
          <w:sz w:val="20"/>
        </w:rPr>
      </w:pPr>
      <w:bookmarkStart w:id="38" w:name="item_1__legal_proceedings"/>
      <w:bookmarkEnd w:id="38"/>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See Note 14 – Commitments and Contingencies, to the Condensed Consolidated Financial Statements in Item 1 of this Quarterly Report on Form 10-Q.</w:t>
      </w:r>
    </w:p>
    <w:p>
      <w:pPr>
        <w:pStyle w:val="TextBody"/>
        <w:bidi w:val="0"/>
        <w:spacing w:before="280" w:after="283"/>
        <w:jc w:val="both"/>
        <w:rPr>
          <w:rFonts w:ascii="Times New Roman" w:hAnsi="Times New Roman"/>
          <w:b/>
          <w:color w:val="000000"/>
          <w:sz w:val="20"/>
        </w:rPr>
      </w:pPr>
      <w:bookmarkStart w:id="39" w:name="item_1a__risk_factors"/>
      <w:bookmarkEnd w:id="39"/>
      <w:r>
        <w:rPr>
          <w:rFonts w:ascii="Times New Roman" w:hAnsi="Times New Roman"/>
          <w:b/>
          <w:color w:val="000000"/>
          <w:sz w:val="20"/>
        </w:rPr>
        <w:t>ITEM 1A. RISK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2024, which we filed with the SEC on June 12, 2024 and in Part 1 - Item 2 under the heading "Management's Discussion and Analysis of Financial Condition and Results of Operations" in this Form 10-Q.</w:t>
      </w:r>
    </w:p>
    <w:p>
      <w:pPr>
        <w:pStyle w:val="TextBody"/>
        <w:bidi w:val="0"/>
        <w:spacing w:before="280" w:after="283"/>
        <w:jc w:val="both"/>
        <w:rPr>
          <w:rFonts w:ascii="Times New Roman" w:hAnsi="Times New Roman"/>
          <w:b/>
          <w:color w:val="000000"/>
          <w:sz w:val="20"/>
        </w:rPr>
      </w:pPr>
      <w:bookmarkStart w:id="40" w:name="item_2__unregistered_sale_of_equity_secu"/>
      <w:bookmarkEnd w:id="40"/>
      <w:r>
        <w:rPr>
          <w:rFonts w:ascii="Times New Roman" w:hAnsi="Times New Roman"/>
          <w:b/>
          <w:color w:val="000000"/>
          <w:sz w:val="20"/>
        </w:rPr>
        <w:t>ITEM 2. UNREGISTERED SALES OF EQUITY SECURITIES AND USE OF PROCEEDS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80" w:after="283"/>
        <w:jc w:val="both"/>
        <w:rPr>
          <w:rFonts w:ascii="Times New Roman" w:hAnsi="Times New Roman"/>
          <w:b/>
          <w:color w:val="000000"/>
          <w:sz w:val="20"/>
        </w:rPr>
      </w:pPr>
      <w:bookmarkStart w:id="41" w:name="item_5__other_information"/>
      <w:bookmarkEnd w:id="41"/>
      <w:r>
        <w:rPr>
          <w:rFonts w:ascii="Times New Roman" w:hAnsi="Times New Roman"/>
          <w:b/>
          <w:color w:val="000000"/>
          <w:sz w:val="20"/>
        </w:rPr>
        <w:t>ITEM 5. OTHER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months ended September 30, 2024, no director or officer of Orion adopted or terminated a "Rule 10b5-1 trading arrangement," or "non-Rule 10b5-1 trading arrangement," as each term is defined in Item 408(a) of Regulation S-K.</w:t>
        <w:b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2" w:name="item_6__exhibits"/>
      <w:bookmarkEnd w:id="42"/>
      <w:r>
        <w:rPr>
          <w:rFonts w:ascii="Times New Roman" w:hAnsi="Times New Roman"/>
          <w:b/>
          <w:color w:val="000000"/>
          <w:sz w:val="20"/>
        </w:rPr>
        <w:t>ITEM 6. EXHIBITS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7"/>
        <w:gridCol w:w="9518"/>
      </w:tblGrid>
      <w:tr>
        <w:trPr/>
        <w:tc>
          <w:tcPr>
            <w:tcW w:w="687" w:type="dxa"/>
            <w:tcBorders/>
            <w:vAlign w:val="center"/>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Amendment No. 3 to Loan and Security Agreement, dated effective as of October 30, 2024, among Orion Energy Systems, Inc., Bank of America, N.A., as lender, and the subsidiary borrowers party thereto, file as Exhibit 10.1 to Registrant's Current Report on Form 8-K filed on October 31, 2024, is hereby incorporated by reference.</w:t>
              </w:r>
            </w:hyperlink>
          </w:p>
        </w:tc>
      </w:tr>
      <w:tr>
        <w:trPr/>
        <w:tc>
          <w:tcPr>
            <w:tcW w:w="6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oesx-ex31_1.htm">
              <w:r>
                <w:rPr>
                  <w:rStyle w:val="InternetLink"/>
                  <w:rFonts w:ascii="Times New Roman" w:hAnsi="Times New Roman"/>
                  <w:color w:val="0000FF"/>
                  <w:sz w:val="20"/>
                  <w:u w:val="single"/>
                </w:rPr>
                <w:t>Certification of Chief Executive Officer of Orion Energy Systems, Inc. pursuant to Rule 13a-14(a) or Rule 15d-14(a) promulgated under the Securities Exchange Act of 1934, as amended.+</w:t>
              </w:r>
            </w:hyperlink>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oesx-ex31_2.htm">
              <w:r>
                <w:rPr>
                  <w:rStyle w:val="InternetLink"/>
                  <w:rFonts w:ascii="Times New Roman" w:hAnsi="Times New Roman"/>
                  <w:color w:val="0000FF"/>
                  <w:sz w:val="20"/>
                  <w:u w:val="single"/>
                </w:rPr>
                <w:t>Certification of Chief Financial Officer of Orion Energy Systems, Inc. pursuant to Rule 13a-14(a) or Rule 15d-14(a) promulgated under the Securities Exchange Act of 1934, as amended.+</w:t>
              </w:r>
            </w:hyperlink>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oesx-ex32_1.htm">
              <w:r>
                <w:rPr>
                  <w:rStyle w:val="InternetLink"/>
                  <w:rFonts w:ascii="Times New Roman" w:hAnsi="Times New Roman"/>
                  <w:color w:val="0000FF"/>
                  <w:sz w:val="20"/>
                  <w:u w:val="single"/>
                </w:rPr>
                <w:t>Certification of Chief Executive Officer of Orion Energy Systems, Inc. pursuant to Rule 13a-14(b) promulgated under the Securities Exchange Act of 1934, as amended, and 18 U.S.C. Section 1350, as adopted pursuant to Section 906 of the Sarbanes-Oxley Act of 2002.+</w:t>
              </w:r>
            </w:hyperlink>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oesx-ex32_2.htm">
              <w:r>
                <w:rPr>
                  <w:rStyle w:val="InternetLink"/>
                  <w:rFonts w:ascii="Times New Roman" w:hAnsi="Times New Roman"/>
                  <w:color w:val="0000FF"/>
                  <w:sz w:val="20"/>
                  <w:u w:val="single"/>
                </w:rPr>
                <w:t>Certification of Chief Financial Officer of Orion Energy Systems, Inc. pursuant to Rule 13a-14(b) promulgated under the Securities Exchange Act of 1934, as amended, and 18 U.S.C. Section 1350, as adopted pursuant to Section 906 of the Sarbanes-Oxley Act of 2002.+</w:t>
              </w:r>
            </w:hyperlink>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95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951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687" w:type="dxa"/>
            <w:tcBorders/>
            <w:vAlign w:val="center"/>
          </w:tcPr>
          <w:p>
            <w:pPr>
              <w:pStyle w:val="TableContents"/>
              <w:bidi w:val="0"/>
              <w:spacing w:before="0" w:after="283"/>
              <w:jc w:val="left"/>
              <w:rPr/>
            </w:pPr>
            <w:r>
              <w:rPr/>
              <w:t> </w:t>
            </w:r>
          </w:p>
        </w:tc>
        <w:tc>
          <w:tcPr>
            <w:tcW w:w="9518" w:type="dxa"/>
            <w:tcBorders/>
            <w:vAlign w:val="center"/>
          </w:tcPr>
          <w:p>
            <w:pPr>
              <w:pStyle w:val="TableContents"/>
              <w:bidi w:val="0"/>
              <w:spacing w:before="0" w:after="283"/>
              <w:jc w:val="left"/>
              <w:rPr/>
            </w:pPr>
            <w:r>
              <w:rPr/>
              <w:t> </w:t>
            </w:r>
          </w:p>
        </w:tc>
      </w:tr>
      <w:tr>
        <w:trPr/>
        <w:tc>
          <w:tcPr>
            <w:tcW w:w="6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September 30, 2024, has been formatted in Inline XBRL and is contained in Exhibit 101.</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3" w:name="signature"/>
      <w:bookmarkEnd w:id="43"/>
      <w:r>
        <w:rPr>
          <w:rFonts w:ascii="Times New Roman" w:hAnsi="Times New Roman"/>
          <w:b/>
          <w:color w:val="000000"/>
          <w:sz w:val="20"/>
        </w:rPr>
        <w:t>SIGNATURE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 on November 6, 2024.</w:t>
      </w:r>
    </w:p>
    <w:p>
      <w:pPr>
        <w:pStyle w:val="TextBody"/>
        <w:bidi w:val="0"/>
        <w:jc w:val="left"/>
        <w:rPr/>
      </w:pPr>
      <w:r>
        <w:rPr/>
        <w:t> </w:t>
      </w:r>
    </w:p>
    <w:tbl>
      <w:tblPr>
        <w:tblW w:w="5068" w:type="dxa"/>
        <w:jc w:val="left"/>
        <w:tblInd w:w="0" w:type="dxa"/>
        <w:tblLayout w:type="fixed"/>
        <w:tblCellMar>
          <w:top w:w="28" w:type="dxa"/>
          <w:left w:w="28" w:type="dxa"/>
          <w:bottom w:w="28" w:type="dxa"/>
          <w:right w:w="28" w:type="dxa"/>
        </w:tblCellMar>
      </w:tblPr>
      <w:tblGrid>
        <w:gridCol w:w="361"/>
        <w:gridCol w:w="146"/>
        <w:gridCol w:w="456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5068"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ENERGY SYSTEMS, INC.</w:t>
            </w:r>
          </w:p>
        </w:tc>
      </w:tr>
      <w:tr>
        <w:trPr/>
        <w:tc>
          <w:tcPr>
            <w:tcW w:w="361" w:type="dxa"/>
            <w:tcBorders/>
            <w:vAlign w:val="center"/>
          </w:tcPr>
          <w:p>
            <w:pPr>
              <w:pStyle w:val="TableContents"/>
              <w:bidi w:val="0"/>
              <w:spacing w:before="0" w:after="283"/>
              <w:jc w:val="left"/>
              <w:rPr/>
            </w:pPr>
            <w:r>
              <w:rPr/>
              <w:t> </w:t>
            </w:r>
          </w:p>
        </w:tc>
        <w:tc>
          <w:tcPr>
            <w:tcW w:w="4707" w:type="dxa"/>
            <w:gridSpan w:val="2"/>
            <w:tcBorders/>
            <w:vAlign w:val="center"/>
          </w:tcPr>
          <w:p>
            <w:pPr>
              <w:pStyle w:val="TableContents"/>
              <w:bidi w:val="0"/>
              <w:spacing w:before="0" w:after="283"/>
              <w:jc w:val="left"/>
              <w:rPr/>
            </w:pPr>
            <w:r>
              <w:rPr/>
              <w:t> </w:t>
            </w:r>
          </w:p>
        </w:tc>
      </w:tr>
      <w:tr>
        <w:trPr/>
        <w:tc>
          <w:tcPr>
            <w:tcW w:w="3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456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Per Brodin</w:t>
            </w:r>
          </w:p>
        </w:tc>
      </w:tr>
      <w:tr>
        <w:trPr/>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 and Authorized Signatory)</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oesx-ex31_1.htm"/>
      <w:bookmarkStart w:id="45" w:name="ksoesxex31_1"/>
      <w:bookmarkEnd w:id="44"/>
      <w:bookmarkEnd w:id="45"/>
      <w:r>
        <w:rPr>
          <w:rFonts w:ascii="Times New Roman" w:hAnsi="Times New Roman"/>
          <w:b/>
          <w:color w:val="000000"/>
          <w:sz w:val="20"/>
        </w:rPr>
        <w:t>Exhibit 31.1</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Michael H. Jenkins,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November 6, 2024</w:t>
      </w:r>
    </w:p>
    <w:p>
      <w:pPr>
        <w:pStyle w:val="TextBody"/>
        <w:bidi w:val="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Michael H. Jenkins</w:t>
            </w:r>
          </w:p>
        </w:tc>
      </w:tr>
      <w:tr>
        <w:trPr/>
        <w:tc>
          <w:tcPr>
            <w:tcW w:w="2116" w:type="dxa"/>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Michael H. Jenkins</w:t>
            </w:r>
          </w:p>
        </w:tc>
      </w:tr>
      <w:tr>
        <w:trPr/>
        <w:tc>
          <w:tcPr>
            <w:tcW w:w="2116" w:type="dxa"/>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90" w:after="283"/>
        <w:jc w:val="right"/>
        <w:rPr/>
      </w:pPr>
      <w:r>
        <w:rPr/>
        <w:t> </w:t>
      </w:r>
    </w:p>
    <w:p>
      <w:pPr>
        <w:pStyle w:val="TextBody"/>
        <w:bidi w:val="0"/>
        <w:spacing w:before="9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oesx-ex31_2.htm"/>
      <w:bookmarkStart w:id="47" w:name="ksoesxex31_2"/>
      <w:bookmarkEnd w:id="46"/>
      <w:bookmarkEnd w:id="47"/>
      <w:r>
        <w:rPr>
          <w:rFonts w:ascii="Times New Roman" w:hAnsi="Times New Roman"/>
          <w:b/>
          <w:color w:val="000000"/>
          <w:sz w:val="20"/>
        </w:rPr>
        <w:t>Exhibit 31.2</w:t>
      </w:r>
      <w:r>
        <w:br w:type="page"/>
      </w:r>
    </w:p>
    <w:p>
      <w:pPr>
        <w:pStyle w:val="TextBody"/>
        <w:bidi w:val="0"/>
        <w:spacing w:before="90" w:after="283"/>
        <w:jc w:val="center"/>
        <w:rPr>
          <w:rFonts w:ascii="Times New Roman" w:hAnsi="Times New Roman"/>
          <w:b/>
          <w:i/>
          <w:color w:val="000000"/>
          <w:sz w:val="20"/>
        </w:rPr>
      </w:pPr>
      <w:r>
        <w:rPr>
          <w:rFonts w:ascii="Times New Roman" w:hAnsi="Times New Roman"/>
          <w:b/>
          <w:i/>
          <w:color w:val="000000"/>
          <w:sz w:val="20"/>
        </w:rPr>
        <w:t>Certification</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I, J. Per Brodin,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Orion Energy Systems,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November 6, 2024</w:t>
      </w:r>
    </w:p>
    <w:p>
      <w:pPr>
        <w:pStyle w:val="TextBody"/>
        <w:bidi w:val="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05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 Per Brodin</w:t>
            </w:r>
          </w:p>
        </w:tc>
      </w:tr>
      <w:tr>
        <w:trPr/>
        <w:tc>
          <w:tcPr>
            <w:tcW w:w="2056" w:type="dxa"/>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J. Per Brodin</w:t>
            </w:r>
          </w:p>
        </w:tc>
      </w:tr>
      <w:tr>
        <w:trPr/>
        <w:tc>
          <w:tcPr>
            <w:tcW w:w="2056" w:type="dxa"/>
            <w:tcBorders/>
            <w:vAlign w:val="center"/>
          </w:tcPr>
          <w:p>
            <w:pPr>
              <w:pStyle w:val="TableContents"/>
              <w:bidi w:val="0"/>
              <w:spacing w:before="0" w:after="283"/>
              <w:ind w:left="0" w:right="0" w:firstLine="30"/>
              <w:jc w:val="both"/>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oesx-ex32_1.htm"/>
      <w:bookmarkStart w:id="49" w:name="ksoesxex32_1"/>
      <w:bookmarkEnd w:id="48"/>
      <w:bookmarkEnd w:id="49"/>
      <w:r>
        <w:rPr>
          <w:rFonts w:ascii="Times New Roman" w:hAnsi="Times New Roman"/>
          <w:b/>
          <w:color w:val="000000"/>
          <w:sz w:val="20"/>
        </w:rPr>
        <w:t>Exhibit 32.1</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CEO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September 30, 2024, as filed with the Securities and Exchange Commission on the date hereof (the “Report”), I, Michael H. Jenkins, Chief Executive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207" w:type="dxa"/>
        <w:jc w:val="left"/>
        <w:tblInd w:w="0" w:type="dxa"/>
        <w:tblLayout w:type="fixed"/>
        <w:tblCellMar>
          <w:top w:w="28" w:type="dxa"/>
          <w:left w:w="28" w:type="dxa"/>
          <w:bottom w:w="28" w:type="dxa"/>
          <w:right w:w="28" w:type="dxa"/>
        </w:tblCellMar>
      </w:tblPr>
      <w:tblGrid>
        <w:gridCol w:w="556"/>
        <w:gridCol w:w="165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2024</w:t>
            </w:r>
          </w:p>
        </w:tc>
      </w:tr>
      <w:tr>
        <w:trPr/>
        <w:tc>
          <w:tcPr>
            <w:tcW w:w="55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20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H. Jenkins</w:t>
            </w:r>
          </w:p>
        </w:tc>
      </w:tr>
      <w:tr>
        <w:trPr/>
        <w:tc>
          <w:tcPr>
            <w:tcW w:w="220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H. Jenkins</w:t>
            </w:r>
          </w:p>
        </w:tc>
      </w:tr>
      <w:tr>
        <w:trPr/>
        <w:tc>
          <w:tcPr>
            <w:tcW w:w="220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oesx-ex32_2.htm"/>
      <w:bookmarkStart w:id="51" w:name="ksoesxex32_2"/>
      <w:bookmarkEnd w:id="50"/>
      <w:bookmarkEnd w:id="51"/>
      <w:r>
        <w:rPr>
          <w:rFonts w:ascii="Times New Roman" w:hAnsi="Times New Roman"/>
          <w:b/>
          <w:color w:val="000000"/>
          <w:sz w:val="20"/>
        </w:rPr>
        <w:t>Exhibit 32.2</w:t>
      </w:r>
      <w:r>
        <w:br w:type="page"/>
      </w:r>
    </w:p>
    <w:p>
      <w:pPr>
        <w:pStyle w:val="TextBody"/>
        <w:bidi w:val="0"/>
        <w:spacing w:before="90" w:after="283"/>
        <w:jc w:val="center"/>
        <w:rPr>
          <w:rFonts w:ascii="Times New Roman" w:hAnsi="Times New Roman"/>
          <w:b/>
          <w:color w:val="000000"/>
          <w:sz w:val="20"/>
        </w:rPr>
      </w:pPr>
      <w:r>
        <w:rPr>
          <w:rFonts w:ascii="Times New Roman" w:hAnsi="Times New Roman"/>
          <w:b/>
          <w:color w:val="000000"/>
          <w:sz w:val="20"/>
        </w:rPr>
        <w:t>Certification of CFO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Quarterly Report of Orion Energy Systems, Inc., a Wisconsin corporation (the “Company”), on Form 10-Q for the period ended September 30, 2024,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2207" w:type="dxa"/>
        <w:jc w:val="left"/>
        <w:tblInd w:w="0" w:type="dxa"/>
        <w:tblLayout w:type="fixed"/>
        <w:tblCellMar>
          <w:top w:w="28" w:type="dxa"/>
          <w:left w:w="28" w:type="dxa"/>
          <w:bottom w:w="28" w:type="dxa"/>
          <w:right w:w="28" w:type="dxa"/>
        </w:tblCellMar>
      </w:tblPr>
      <w:tblGrid>
        <w:gridCol w:w="556"/>
        <w:gridCol w:w="165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c>
          <w:tcPr>
            <w:tcW w:w="165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6, 2024</w:t>
            </w:r>
          </w:p>
        </w:tc>
      </w:tr>
      <w:tr>
        <w:trPr/>
        <w:tc>
          <w:tcPr>
            <w:tcW w:w="55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r>
      <w:tr>
        <w:trPr/>
        <w:tc>
          <w:tcPr>
            <w:tcW w:w="220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Per Brodin</w:t>
            </w:r>
          </w:p>
        </w:tc>
      </w:tr>
      <w:tr>
        <w:trPr/>
        <w:tc>
          <w:tcPr>
            <w:tcW w:w="2207" w:type="dxa"/>
            <w:gridSpan w:val="2"/>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 Per Brodin</w:t>
            </w:r>
          </w:p>
        </w:tc>
      </w:tr>
      <w:tr>
        <w:trPr/>
        <w:tc>
          <w:tcPr>
            <w:tcW w:w="2207"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409375/000095017024119241/oesx-2024103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14557</Words>
  <Characters>78627</Characters>
  <CharactersWithSpaces>94251</CharactersWithSpaces>
  <Paragraphs>5981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