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81915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121920</wp:posOffset>
            </wp:positionV>
            <wp:extent cx="1603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63" w:lineRule="exact"/>
        <w:rPr>
          <w:sz w:val="24"/>
          <w:szCs w:val="24"/>
          <w:color w:val="auto"/>
        </w:rPr>
      </w:pPr>
    </w:p>
    <w:p>
      <w:pPr>
        <w:ind w:left="540" w:right="20" w:hanging="532"/>
        <w:spacing w:after="0" w:line="262" w:lineRule="auto"/>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2018</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40" w:hanging="532"/>
        <w:spacing w:after="0" w:line="262" w:lineRule="auto"/>
        <w:tabs>
          <w:tab w:leader="none" w:pos="5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105410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90170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35"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5200" w:type="dxa"/>
            <w:vAlign w:val="bottom"/>
          </w:tcPr>
          <w:p>
            <w:pPr>
              <w:jc w:val="center"/>
              <w:ind w:right="1621"/>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00" w:type="dxa"/>
            <w:vAlign w:val="bottom"/>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39-1847269</w:t>
            </w:r>
          </w:p>
        </w:tc>
      </w:tr>
      <w:tr>
        <w:trPr>
          <w:trHeight w:val="149"/>
        </w:trPr>
        <w:tc>
          <w:tcPr>
            <w:tcW w:w="5200" w:type="dxa"/>
            <w:vAlign w:val="bottom"/>
          </w:tcPr>
          <w:p>
            <w:pPr>
              <w:jc w:val="center"/>
              <w:ind w:right="16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6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200" w:type="dxa"/>
            <w:vAlign w:val="bottom"/>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21"/>
        </w:trPr>
        <w:tc>
          <w:tcPr>
            <w:tcW w:w="5200" w:type="dxa"/>
            <w:vAlign w:val="bottom"/>
          </w:tcPr>
          <w:p>
            <w:pPr>
              <w:jc w:val="center"/>
              <w:ind w:right="1621"/>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Wisconsin</w:t>
            </w:r>
          </w:p>
        </w:tc>
        <w:tc>
          <w:tcPr>
            <w:tcW w:w="310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54220</w:t>
            </w:r>
          </w:p>
        </w:tc>
      </w:tr>
      <w:tr>
        <w:trPr>
          <w:trHeight w:val="193"/>
        </w:trPr>
        <w:tc>
          <w:tcPr>
            <w:tcW w:w="520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(920) 892-9340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114300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36"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3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8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29,576,944 shares of the Registrant’s common stock outstanding on January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1" w:name="page2"/>
    <w:bookmarkEnd w:id="1"/>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104"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FOR THE QUARTER ENDED DECEMBER 31, 2018</w:t>
      </w:r>
    </w:p>
    <w:p>
      <w:pPr>
        <w:spacing w:after="0" w:line="104"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5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FINANCIAL INFORMATION</w:t>
        </w:r>
      </w:hyperlink>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1100" w:type="dxa"/>
            <w:vAlign w:val="bottom"/>
          </w:tcPr>
          <w:p>
            <w:pPr>
              <w:spacing w:after="0"/>
              <w:rPr>
                <w:sz w:val="22"/>
                <w:szCs w:val="22"/>
                <w:color w:val="auto"/>
              </w:rPr>
            </w:pPr>
          </w:p>
        </w:tc>
        <w:tc>
          <w:tcPr>
            <w:tcW w:w="926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December 31, 2018 and March 31, 2018</w:t>
              </w:r>
            </w:hyperlink>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1100" w:type="dxa"/>
            <w:vAlign w:val="bottom"/>
          </w:tcPr>
          <w:p>
            <w:pPr>
              <w:spacing w:after="0"/>
              <w:rPr>
                <w:sz w:val="22"/>
                <w:szCs w:val="22"/>
                <w:color w:val="auto"/>
              </w:rPr>
            </w:pPr>
          </w:p>
        </w:tc>
        <w:tc>
          <w:tcPr>
            <w:tcW w:w="92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Nine Months Ended December 31, 2018 and December 31,</w:t>
              </w:r>
            </w:hyperlink>
          </w:p>
        </w:tc>
      </w:tr>
      <w:tr>
        <w:trPr>
          <w:trHeight w:val="196"/>
        </w:trPr>
        <w:tc>
          <w:tcPr>
            <w:tcW w:w="1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2017</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64"/>
        </w:trPr>
        <w:tc>
          <w:tcPr>
            <w:tcW w:w="1100" w:type="dxa"/>
            <w:vAlign w:val="bottom"/>
          </w:tcPr>
          <w:p>
            <w:pPr>
              <w:spacing w:after="0"/>
              <w:rPr>
                <w:sz w:val="22"/>
                <w:szCs w:val="22"/>
                <w:color w:val="auto"/>
              </w:rPr>
            </w:pPr>
          </w:p>
        </w:tc>
        <w:tc>
          <w:tcPr>
            <w:tcW w:w="89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for the Nine Months Ended December 31, 2018 and December 31, 2017</w:t>
              </w:r>
            </w:hyperlink>
          </w:p>
        </w:tc>
        <w:tc>
          <w:tcPr>
            <w:tcW w:w="300" w:type="dxa"/>
            <w:vAlign w:val="bottom"/>
          </w:tcPr>
          <w:p>
            <w:pPr>
              <w:spacing w:after="0"/>
              <w:rPr>
                <w:sz w:val="22"/>
                <w:szCs w:val="22"/>
                <w:color w:val="auto"/>
              </w:rPr>
            </w:pPr>
          </w:p>
        </w:tc>
      </w:tr>
      <w:tr>
        <w:trPr>
          <w:trHeight w:val="264"/>
        </w:trPr>
        <w:tc>
          <w:tcPr>
            <w:tcW w:w="1100" w:type="dxa"/>
            <w:vAlign w:val="bottom"/>
          </w:tcPr>
          <w:p>
            <w:pPr>
              <w:spacing w:after="0"/>
              <w:rPr>
                <w:sz w:val="22"/>
                <w:szCs w:val="22"/>
                <w:color w:val="auto"/>
              </w:rPr>
            </w:pPr>
          </w:p>
        </w:tc>
        <w:tc>
          <w:tcPr>
            <w:tcW w:w="9260" w:type="dxa"/>
            <w:vAlign w:val="bottom"/>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the Condensed Consolidated Financial Statements</w:t>
              </w:r>
            </w:hyperlink>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5"/>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2"/>
          </w:tcPr>
          <w:p>
            <w:pPr>
              <w:spacing w:after="0"/>
              <w:rPr>
                <w:sz w:val="22"/>
                <w:szCs w:val="22"/>
                <w:color w:val="auto"/>
              </w:rPr>
            </w:pPr>
          </w:p>
        </w:tc>
        <w:tc>
          <w:tcPr>
            <w:tcW w:w="2800" w:type="dxa"/>
            <w:vAlign w:val="bottom"/>
            <w:gridSpan w:val="2"/>
          </w:tcPr>
          <w:p>
            <w:pPr>
              <w:spacing w:after="0"/>
              <w:rPr>
                <w:sz w:val="22"/>
                <w:szCs w:val="22"/>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Controls and Procedures</w:t>
              </w:r>
            </w:hyperlink>
          </w:p>
        </w:tc>
        <w:tc>
          <w:tcPr>
            <w:tcW w:w="7480" w:type="dxa"/>
            <w:vAlign w:val="bottom"/>
            <w:gridSpan w:val="8"/>
          </w:tcPr>
          <w:p>
            <w:pPr>
              <w:spacing w:after="0"/>
              <w:rPr>
                <w:sz w:val="22"/>
                <w:szCs w:val="22"/>
                <w:color w:val="auto"/>
              </w:rPr>
            </w:pPr>
          </w:p>
        </w:tc>
      </w:tr>
      <w:tr>
        <w:trPr>
          <w:trHeight w:val="264"/>
        </w:trPr>
        <w:tc>
          <w:tcPr>
            <w:tcW w:w="2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PART II OTHER INFORMATION</w:t>
              </w:r>
            </w:hyperlink>
          </w:p>
        </w:tc>
        <w:tc>
          <w:tcPr>
            <w:tcW w:w="7820" w:type="dxa"/>
            <w:vAlign w:val="bottom"/>
            <w:gridSpan w:val="9"/>
          </w:tcPr>
          <w:p>
            <w:pPr>
              <w:spacing w:after="0"/>
              <w:rPr>
                <w:sz w:val="22"/>
                <w:szCs w:val="22"/>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Legal Proceedings</w:t>
              </w:r>
            </w:hyperlink>
          </w:p>
        </w:tc>
        <w:tc>
          <w:tcPr>
            <w:tcW w:w="7920" w:type="dxa"/>
            <w:vAlign w:val="bottom"/>
            <w:gridSpan w:val="10"/>
          </w:tcPr>
          <w:p>
            <w:pPr>
              <w:spacing w:after="0"/>
              <w:rPr>
                <w:sz w:val="22"/>
                <w:szCs w:val="22"/>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Risk Factors</w:t>
              </w:r>
            </w:hyperlink>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Unregistered Sale of Equity Securities and Use of Proceeds</w:t>
              </w:r>
            </w:hyperlink>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Other Information</w:t>
              </w:r>
            </w:hyperlink>
          </w:p>
        </w:tc>
        <w:tc>
          <w:tcPr>
            <w:tcW w:w="2960" w:type="dxa"/>
            <w:vAlign w:val="bottom"/>
            <w:tcBorders>
              <w:top w:val="single" w:sz="8" w:color="0000EE"/>
            </w:tcBorders>
            <w:gridSpan w:val="6"/>
          </w:tcPr>
          <w:p>
            <w:pPr>
              <w:spacing w:after="0"/>
              <w:rPr>
                <w:sz w:val="22"/>
                <w:szCs w:val="22"/>
                <w:color w:val="auto"/>
              </w:rPr>
            </w:pPr>
          </w:p>
        </w:tc>
        <w:tc>
          <w:tcPr>
            <w:tcW w:w="4980" w:type="dxa"/>
            <w:vAlign w:val="bottom"/>
            <w:gridSpan w:val="5"/>
          </w:tcPr>
          <w:p>
            <w:pPr>
              <w:spacing w:after="0"/>
              <w:rPr>
                <w:sz w:val="22"/>
                <w:szCs w:val="22"/>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1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Exhibits</w:t>
              </w:r>
            </w:hyperlink>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SIGNATURES</w:t>
        </w:r>
      </w:hyperlink>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INSTANCE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SCHEMA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CALCULATION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LABELS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24765</wp:posOffset>
            </wp:positionV>
            <wp:extent cx="471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2">
            <w:col w:w="10360" w:space="460"/>
            <w:col w:w="600"/>
          </w:cols>
          <w:pgMar w:left="240" w:top="33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98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80" w:type="dxa"/>
            <w:vAlign w:val="bottom"/>
          </w:tcPr>
          <w:p>
            <w:pPr>
              <w:spacing w:after="0"/>
              <w:rPr>
                <w:sz w:val="19"/>
                <w:szCs w:val="19"/>
                <w:color w:val="auto"/>
              </w:rPr>
            </w:pP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29,453</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9"/>
                <w:szCs w:val="19"/>
                <w:color w:val="auto"/>
              </w:rPr>
            </w:pPr>
          </w:p>
        </w:tc>
      </w:tr>
      <w:tr>
        <w:trPr>
          <w:trHeight w:val="263"/>
        </w:trPr>
        <w:tc>
          <w:tcPr>
            <w:tcW w:w="6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40,333</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120" w:type="dxa"/>
            <w:vAlign w:val="bottom"/>
            <w:tcBorders>
              <w:bottom w:val="single" w:sz="8" w:color="CFF0FC"/>
            </w:tcBorders>
          </w:tcPr>
          <w:p>
            <w:pPr>
              <w:spacing w:after="0"/>
              <w:rPr>
                <w:sz w:val="22"/>
                <w:szCs w:val="22"/>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280" w:type="dxa"/>
            <w:vAlign w:val="bottom"/>
          </w:tcPr>
          <w:p>
            <w:pPr>
              <w:spacing w:after="0"/>
              <w:rPr>
                <w:sz w:val="19"/>
                <w:szCs w:val="19"/>
                <w:color w:val="auto"/>
              </w:rPr>
            </w:pP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at December 31,</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2018 and March 31, 2018; no shares issued and outstanding at December 31, 2018</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March 31, 2018</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 December 31, 2018</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March 31, 2018; shares issued: 39,011,019 at December 31, 2018 and</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38,384,575 at March 31, 2018; shares outstanding: 29,571,944 at December 31,</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2018 and 28,953,183 at March 31, 2018</w:t>
            </w: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155,003</w:t>
            </w:r>
          </w:p>
        </w:tc>
        <w:tc>
          <w:tcPr>
            <w:tcW w:w="120" w:type="dxa"/>
            <w:vAlign w:val="bottom"/>
          </w:tcPr>
          <w:p>
            <w:pPr>
              <w:spacing w:after="0"/>
              <w:rPr>
                <w:sz w:val="19"/>
                <w:szCs w:val="19"/>
                <w:color w:val="auto"/>
              </w:rPr>
            </w:pPr>
          </w:p>
        </w:tc>
      </w:tr>
      <w:tr>
        <w:trPr>
          <w:trHeight w:val="211"/>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common shares: 9,439,075 at December 31, 2018 and 9,431,392 at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2018</w:t>
            </w: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(36,092)</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(36,085)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(100,885)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(95,494)</w:t>
            </w:r>
          </w:p>
        </w:tc>
      </w:tr>
      <w:tr>
        <w:trPr>
          <w:trHeight w:val="223"/>
        </w:trPr>
        <w:tc>
          <w:tcPr>
            <w:tcW w:w="69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ind w:left="260" w:right="244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OPERATIONS (in thousands,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5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29,568,986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28,909,847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29,376,959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28,734,394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and share equivalents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29,568,986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28,909,847</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29,376,959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28,734,394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CASH FLOWS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(5,792)</w:t>
            </w:r>
          </w:p>
        </w:tc>
        <w:tc>
          <w:tcPr>
            <w:tcW w:w="960" w:type="dxa"/>
            <w:vAlign w:val="bottom"/>
            <w:gridSpan w:val="2"/>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(11,666)</w:t>
            </w: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current and long-term</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contract costs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68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68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long-term debt and capital leases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51,926</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(43,078)</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(54,933)</w:t>
            </w: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to settle employee tax withholdings on stock-based compensation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proceeds from employee equity exercises</w:t>
            </w:r>
          </w:p>
        </w:tc>
        <w:tc>
          <w:tcPr>
            <w:tcW w:w="1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6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108"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leases office space in Jacksonville, Florida. Orion had leased office space in Chicago, Illinois, and Houston, Texas, but as of June 30, 2018, Orion had vacated these locations. During fiscal 2018, Orion had leased warehouse space in Manitowoc, Wisconsin and Augusta, Georgia, but as of March 31, 2018, Orion had vacated these storage locations.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Orion Energy Systems, Inc. and its wholly-owned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2019 or other interim periods.</w:t>
      </w:r>
    </w:p>
    <w:p>
      <w:pPr>
        <w:spacing w:after="0" w:line="130"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Sheets at March 31, 2018 has been derived from the audited consolidated financial statements at that date but does not include all of the information required by GAAP for complete financial statements.</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2018 filed with the SEC on June 13, 2018.</w:t>
      </w:r>
    </w:p>
    <w:p>
      <w:pPr>
        <w:spacing w:after="0" w:line="122"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In the warranty rollforward in Note 9 – Accrued Expenses and Other, certain prior period balances have been reclassified to conform to current period presentation. The reclassifications were immaterial to the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Orion's cash is deposited with three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22"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ballasts, lamps and LED components, from multiple suppliers. For the three months ended December 31, 2018, one supplier accounted for 11.7% of total cost of revenue. For the nine months ended December 31, 2018, no supplier accounted for more than 10% of total cost of revenue. For the three months ended December 31, 2017, one supplier accounted for 13.9% of total cost of revenue. For the nine months ended December 31, 2017, no supplier accounted for more than 10.0% of total cost of revenue.</w:t>
      </w:r>
    </w:p>
    <w:p>
      <w:pPr>
        <w:spacing w:after="0" w:line="126" w:lineRule="exact"/>
        <w:rPr>
          <w:sz w:val="20"/>
          <w:szCs w:val="20"/>
          <w:color w:val="auto"/>
        </w:rPr>
      </w:pPr>
    </w:p>
    <w:p>
      <w:pPr>
        <w:ind w:right="160" w:firstLine="501"/>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2018, one customer accounted for 11.6% of total revenue. For the nine months ended December 31, 2018, no customers accounted for more than 10.0% of total revenue. For the three months ended December 31, 2017, one customer accounted for 13.4% of total revenue. For the nine months ended December 31, 2017, one customer accounted for 11.1% of total revenue.</w:t>
      </w:r>
    </w:p>
    <w:p>
      <w:pPr>
        <w:spacing w:after="0" w:line="122" w:lineRule="exact"/>
        <w:rPr>
          <w:sz w:val="20"/>
          <w:szCs w:val="20"/>
          <w:color w:val="auto"/>
        </w:rPr>
      </w:pPr>
    </w:p>
    <w:p>
      <w:pPr>
        <w:ind w:right="300" w:firstLine="501"/>
        <w:spacing w:after="0" w:line="282" w:lineRule="auto"/>
        <w:rPr>
          <w:sz w:val="20"/>
          <w:szCs w:val="20"/>
          <w:color w:val="auto"/>
        </w:rPr>
      </w:pPr>
      <w:r>
        <w:rPr>
          <w:rFonts w:ascii="Times New Roman" w:cs="Times New Roman" w:eastAsia="Times New Roman" w:hAnsi="Times New Roman"/>
          <w:sz w:val="18"/>
          <w:szCs w:val="18"/>
          <w:color w:val="auto"/>
        </w:rPr>
        <w:t>As of December 31, 2018, no customer accounted for more than 10.0% of Accounts receivable. As of March 31, 2018, one customer accounted for 13.2% of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175"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2016-02, "Leases" (Subtopic 842). The pronouncement, and subsequent amendments, which is included in the Accounting Standards Codification as Subtopic 842 (“ASC 842”), requires that lessees recognize right-of-use assets and liabilities on the balance sheet for the rights and obligations created by long-term leases and disclose additional quantitative and qualitative information about leasing arrangements. Under ASU 842, leases will be classified as either finance or operating, with classification affecting the timing of expense recognition. Similarly, lessors will be required to classify leases as sales-type, finance or operating leases, with classification affecting the timing of income recognition. Classification for both lessees and lessors will be based on an assessment of whether risks and rewards, as well as substantive control, have been transferred through the lease contract. ASU 842 also provides guidance on the presentation of the effects of leases in the income statement and statement of cash flows. Orion will adopt ASU 842 on April 1, 2019 and expects to elect certain practical expedients permitted under the transition guidance. Additionally, Orion expects to elect the optional transition method that allows for a cumulative-effect adjustment in the period of adoption and will not restate prior periods. Orion has completed an initial assessment of potential leases but has not yet completed its review of the full provisions of ASU 842 against its outstanding lease arrangements and is in the process of quantifying the lease liability and related right-of-use asset which will be recorded to its condensed consolidated balance sheets upon adoption of ASU 842. In addition, the Company is in the process of identifying and implementing the appropriate changes to business processes and controls to support recognition and disclosure under the new standard. Management continues to assess the impact of adoption of ASU 842 on its condensed consolidated statements of operations, cash flows, and the related footnote disclosures.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175"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8"/>
          <w:szCs w:val="18"/>
          <w:color w:val="auto"/>
        </w:rPr>
        <w:t>On April 1, 2018, Orion adopted ASU 2014-09 and subsequent amendments, which is included in the Accounting Standards Codification as "Revenue from Contracts with Customers" (Topic 606) (“ASC 606”) and Sub-Topic 340-40 (“ASC 340-40”), using the modified retrospective approach. ASC 606 superseded the revenue recognition requirements in “Revenue Recognition” (Topic 605) ("ASC 605") and provides guidance on the accounting for other assets and deferred costs associated with contracts with customers. ASC 606 requires entities to recognize revenue when control of the promised goods or services is transferred to customers at an amount that reflects the consideration to which the entity expects to be entitled to in exchange for those goods or services. ASC 340-40 limits the circumstances that an entity can recognize an asset from the costs incurred to obtain or fulfill a contract that are not subject to the guidance in other portions in the Accounting Standards Codification, such as those related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inventory. The provisions of ASC 606 and ASC 340-40 require entities to use more judgments and estimates than under previous guidance when allocating the total consideration in a contract to the individual promises to customers (“performance obligations”) and determining when a performance obligation has been satisfied and revenue can be recognized. Orion’s adoption of ASC 606 did not have a material effect on Orion's financial statements. Orion has updated its processes and controls necessary for implementing ASC 606, including the increased footnote disclosure requirements.</w:t>
      </w:r>
    </w:p>
    <w:p>
      <w:pPr>
        <w:spacing w:after="0" w:line="126" w:lineRule="exact"/>
        <w:rPr>
          <w:sz w:val="20"/>
          <w:szCs w:val="20"/>
          <w:color w:val="auto"/>
        </w:rPr>
      </w:pPr>
    </w:p>
    <w:p>
      <w:pPr>
        <w:jc w:val="both"/>
        <w:ind w:firstLine="496"/>
        <w:spacing w:after="0" w:line="256" w:lineRule="auto"/>
        <w:rPr>
          <w:sz w:val="20"/>
          <w:szCs w:val="20"/>
          <w:color w:val="auto"/>
        </w:rPr>
      </w:pPr>
      <w:r>
        <w:rPr>
          <w:rFonts w:ascii="Times New Roman" w:cs="Times New Roman" w:eastAsia="Times New Roman" w:hAnsi="Times New Roman"/>
          <w:sz w:val="18"/>
          <w:szCs w:val="18"/>
          <w:color w:val="auto"/>
        </w:rPr>
        <w:t>In August 2016, the FASB issued ASU 2016-15, "Classification of Certain Cash Receipts and Cash Payments," which provided clarification and additional guidance as to the presentation and classification of certain cash receipts and cash payments in the statement of cash flows. This ASU provided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This new ASU was effective for Orion in the first quarter of fiscal 2019 and has been applied through retrospective adjustment to all periods presented. The adoption of this ASU did not have a material impact on Orion’s condensed consolidated financial statements.</w:t>
      </w:r>
    </w:p>
    <w:p>
      <w:pPr>
        <w:spacing w:after="0" w:line="134" w:lineRule="exact"/>
        <w:rPr>
          <w:sz w:val="20"/>
          <w:szCs w:val="20"/>
          <w:color w:val="auto"/>
        </w:rPr>
      </w:pPr>
    </w:p>
    <w:p>
      <w:pPr>
        <w:jc w:val="both"/>
        <w:ind w:firstLine="496"/>
        <w:spacing w:after="0" w:line="261" w:lineRule="auto"/>
        <w:rPr>
          <w:sz w:val="20"/>
          <w:szCs w:val="20"/>
          <w:color w:val="auto"/>
        </w:rPr>
      </w:pPr>
      <w:r>
        <w:rPr>
          <w:rFonts w:ascii="Times New Roman" w:cs="Times New Roman" w:eastAsia="Times New Roman" w:hAnsi="Times New Roman"/>
          <w:sz w:val="18"/>
          <w:szCs w:val="18"/>
          <w:color w:val="auto"/>
        </w:rPr>
        <w:t>In May 2017, the FASB issued ASU 2017-09, “Compensation-Stock Compensation: Scope of Modification Accounting” which provides guidance about which changes to the terms or conditions of a share-based payment award would require an entity to apply modification accounting. The provisions of this ASU were effective for Orion beginning on April 1, 2018. The adoption of this ASU did not have a material impact on Orion’s condensed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adopted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the opening balance of retained deficit within Orion’s Condensed Consolidated Statement of Shareholders’ Equity.</w:t>
      </w:r>
    </w:p>
    <w:p>
      <w:pPr>
        <w:spacing w:after="0" w:line="122"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new standards are applied separately for each contract between Orion and a customer. While the impact of the new standards vary for each contract based on its specific terms, in general, the new standards result in Orion (a) delaying the recognition of some of its Product revenue from the point of shipment until a later date during the installation period, (b) recording Service revenue associated with installing lighting fixtures as such fixtures are installed instead of recording all Services revenue at the completion of the installation, and (c) recording costs associated with installing lighting fixtures as they are incurred instead of deferring such costs and recognizing them at the time Service revenue was recorded.</w:t>
      </w:r>
    </w:p>
    <w:p>
      <w:pPr>
        <w:spacing w:after="0" w:line="130"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The adoption of the new standards also resulted in reclassifications (a) between Product revenue and Service revenue, and between Cost of service revenue and Sales and marketing expenses in Orion’s Condensed Consolidated Statements of Operations, and (b) between Accounts receivable, net, Revenue earned but not billed, Inventories, net, Deferred contract costs, Prepaid expenses and other current assets, Accounts payable, Accrued expenses and other, Deferred revenue, current, Deferred revenue, long-term, and Other long-term liabilities in Orion’s Condensed Consolidated Balance Sheets.</w:t>
      </w:r>
    </w:p>
    <w:p>
      <w:pPr>
        <w:spacing w:after="0" w:line="126"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For all adjustments and changes as a result of adopting the new standards for the current period, refer to the section “Impacts on Financial Statements” below. In accordance with the modified retrospective transition method, the historical information within Orion’s financial statements has not been restated and continues to be reported under the accounting standard in effect for those periods. As a result, Orion has disclosed the accounting policies in effect prior to April 1, 2018, as well as the policies applied starting April 1, 2018.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Periods prior to April 1, 2018</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was recognized in accordance with ASC 605 when the following criteria were met:</w:t>
      </w:r>
    </w:p>
    <w:p>
      <w:pPr>
        <w:spacing w:after="0" w:line="171" w:lineRule="exact"/>
        <w:rPr>
          <w:sz w:val="20"/>
          <w:szCs w:val="20"/>
          <w:color w:val="auto"/>
        </w:rPr>
      </w:pPr>
    </w:p>
    <w:p>
      <w:pPr>
        <w:ind w:left="800" w:hanging="40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2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and title has passed to the customer;</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is fixed and determinable and no further obligation exists; and</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153"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Revenue was recorded net of estimated provisions for returns, early payment discounts and rebates and other consideration paid to Orion’s customers. Revenues were presented net of sales tax and other sales related taxes.</w:t>
      </w:r>
    </w:p>
    <w:p>
      <w:pPr>
        <w:spacing w:after="0" w:line="10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Deferred contract costs consisted primarily of the costs of products delivered, and services performed, that were subject to additional performance obligations or customer acceptance. These Deferred contract costs were expensed at the time the related revenue was recognized.</w:t>
      </w:r>
    </w:p>
    <w:p>
      <w:pPr>
        <w:spacing w:after="0" w:line="108"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Deferred revenue related to advance customer billings and investment tax grants received related to power purchase agreement contracts still outstanding related to Orion’s legacy solar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Period Commencing April 1, 2018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173"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Orion generates revenues primarily by selling commercial lighting fixtures and components and by installing these fixtures in its customer’s facilities.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34"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30"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Revenue derived from customer contracts which include only performance obligation(s) for the sale of lighting fixtures and components is classified as Product revenue in the Condensed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30"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108"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163" w:lineRule="exact"/>
        <w:rPr>
          <w:sz w:val="20"/>
          <w:szCs w:val="20"/>
          <w:color w:val="auto"/>
        </w:rPr>
      </w:pPr>
    </w:p>
    <w:p>
      <w:pPr>
        <w:ind w:left="800" w:hanging="400"/>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a legal transfer of ownership;</w:t>
      </w:r>
    </w:p>
    <w:p>
      <w:pPr>
        <w:spacing w:after="0" w:line="2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obtains physical possession of the products;</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starts to receive the benefit of the products;</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duration of physical control that Orion maintains on the products after they are shipped to, and received at, the customer’s facility;</w:t>
      </w:r>
    </w:p>
    <w:p>
      <w:pPr>
        <w:spacing w:after="0" w:line="9" w:lineRule="exact"/>
        <w:rPr>
          <w:rFonts w:ascii="Times New Roman" w:cs="Times New Roman" w:eastAsia="Times New Roman" w:hAnsi="Times New Roman"/>
          <w:sz w:val="18"/>
          <w:szCs w:val="18"/>
          <w:color w:val="auto"/>
        </w:rPr>
      </w:pPr>
    </w:p>
    <w:p>
      <w:pPr>
        <w:ind w:left="800" w:hanging="400"/>
        <w:spacing w:after="0" w:line="250"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Orion is required to maintain insurance on the lighting fixtures when they are in transit and after they are delivered to the customer’s facility;</w:t>
      </w:r>
    </w:p>
    <w:p>
      <w:pPr>
        <w:ind w:left="800" w:hanging="400"/>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each light fixture is physically installed and working correctly;</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formally accepts the product; and</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Orion receives payment from the customer for the light fixtures.</w:t>
      </w:r>
    </w:p>
    <w:p>
      <w:pPr>
        <w:spacing w:after="0" w:line="153"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completely installed as of the measurement date in comparison to the total number of light fixtures to be installed under the contract.</w:t>
      </w:r>
    </w:p>
    <w:p>
      <w:pPr>
        <w:spacing w:after="0" w:line="126"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the three and nine months ended December 31, 2018.</w:t>
      </w:r>
    </w:p>
    <w:p>
      <w:pPr>
        <w:spacing w:after="0" w:line="126"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3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9, Accrued Expenses and Other for a discussion of Orion’s accounting for the warranty it provides to customers for its products and services.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collected from customers and remitted to governmental authorities are accounted for on a net (excluded from revenues) basis.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Fulfillment Costs</w:t>
      </w:r>
    </w:p>
    <w:p>
      <w:pPr>
        <w:spacing w:after="0" w:line="173"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Costs associated with product sales are accumulated in inventory as the fixtures are manufactured and are transferred to Cost of product revenue at the time revenue is recorded. See Note 5, Inventories, Net. Costs associated with installation sales are expensed as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Orion’s Product revenue includes revenue from contracts with customers accounted for under the scope of ASC 606 and revenue which is accounted for under other guidance. For the three and nine months ended December 31, 2018, Product revenue included $1.0 million and $2.1 million, respectively, derived from sales-type leases for light fixtures, $25,615 and $0.2 million, respectively, derived from the sale of tax credits generated from Orion’s legacy operation for distributing solar energy, and $18,889 and $0.1 million, respectively,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primary end-users of Orion’s lighting products and services are (a) the federal government, and (b) commercial or industrial companies.</w:t>
      </w:r>
    </w:p>
    <w:p>
      <w:pPr>
        <w:spacing w:after="0" w:line="171"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Footnote 16, Segments, for additional discussion concerning Orion’s reportable segments.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 of Orion’s total revenues for the three and nine months ended December 31, 2018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 2018</w:t>
            </w:r>
          </w:p>
        </w:tc>
        <w:tc>
          <w:tcPr>
            <w:tcW w:w="140" w:type="dxa"/>
            <w:vAlign w:val="bottom"/>
          </w:tcPr>
          <w:p>
            <w:pPr>
              <w:spacing w:after="0"/>
              <w:rPr>
                <w:sz w:val="15"/>
                <w:szCs w:val="15"/>
                <w:color w:val="auto"/>
              </w:rPr>
            </w:pPr>
          </w:p>
        </w:tc>
        <w:tc>
          <w:tcPr>
            <w:tcW w:w="314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December 31, 2018</w:t>
            </w:r>
          </w:p>
        </w:tc>
      </w:tr>
      <w:tr>
        <w:trPr>
          <w:trHeight w:val="156"/>
        </w:trPr>
        <w:tc>
          <w:tcPr>
            <w:tcW w:w="4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Lighting revenues, by end user</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government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39,552</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lighting</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40,957</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41,003</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Considerations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Customer payments for material only orders are due shortly after shipment.</w:t>
      </w:r>
    </w:p>
    <w:p>
      <w:pPr>
        <w:spacing w:after="0" w:line="171"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Turnkey projects where the end-user is a commercial or industrial company typically span between two weeks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22"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consistently with all other installation related performance obligations. The portion of the transaction associated with the sale of the multiple individual light fixtures is accounted for as sales-type leases in accordance with ASC 840,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2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payments associated with these transactions that are due during the twelve months subsequent to December 31, 2018 are included in Accounts receivable, net in Orion’s Condensed Consolidated Balance Sheets. The remaining amounts due that are associated with these transactions are included in Other long-term assets in Orion’s Condensed Consolidated Balance Sheets.</w:t>
      </w:r>
    </w:p>
    <w:p>
      <w:pPr>
        <w:spacing w:after="0" w:line="122" w:lineRule="exact"/>
        <w:rPr>
          <w:sz w:val="20"/>
          <w:szCs w:val="20"/>
          <w:color w:val="auto"/>
        </w:rPr>
      </w:pPr>
    </w:p>
    <w:p>
      <w:pPr>
        <w:jc w:val="both"/>
        <w:ind w:firstLine="501"/>
        <w:spacing w:after="0" w:line="277" w:lineRule="auto"/>
        <w:rPr>
          <w:sz w:val="20"/>
          <w:szCs w:val="20"/>
          <w:color w:val="auto"/>
        </w:rPr>
      </w:pPr>
      <w:r>
        <w:rPr>
          <w:rFonts w:ascii="Times New Roman" w:cs="Times New Roman" w:eastAsia="Times New Roman" w:hAnsi="Times New Roman"/>
          <w:sz w:val="17"/>
          <w:szCs w:val="17"/>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Condensed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14"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three and nine months ended December 31, 2018 was $1.5 million and $4.4 million, respectively. Orion’s losses on these sales aggregated to $28,891 and $0.2 million for the three and nine months ended December 31, 2018 and is included in Interest expense in the Condensed Consolidated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73"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22"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has also adopted the practical expedient that provides an exemption to the disclosure requirement of the value assigned to performance obligations associated with contracts that were not complete as of April 1, 2018.</w:t>
      </w:r>
    </w:p>
    <w:p>
      <w:pPr>
        <w:spacing w:after="0" w:line="108"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08"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December 31, 2018 and April 1, 2018 includes $0.6 million and $0.6 million, respectively, which was not derived from contracts with customers and therefore not classified as a contract asset as defined by the new standards.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 w:name="page13"/>
    <w:bookmarkEnd w:id="12"/>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Deferred revenue, current as of December 31, 2018, included $43,448 of contract liabilities which represented consideration received from customers prior to the point that Orion has fulfilled the promises included in a performance obligation and recorded revenue.</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April 1, 2018, after the adoption of the new standards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5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contract assets outside of standard reclassifications to Accounts receivable, net upon billing. There were no significant changes to contract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8"/>
          <w:szCs w:val="18"/>
          <w:i w:val="1"/>
          <w:iCs w:val="1"/>
          <w:color w:val="auto"/>
        </w:rPr>
        <w:t>Impact on Financial Statements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at</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2018 and March 31, 2018; no shares issued and</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2018 and March 31, 2018</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2018 and March 31, 2018; shares issued: 39,011,019 at</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2018 and 38,384,575 at March 31, 2018; shares</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29,571,944 at December 31, 2018 and 28,953,183 at</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2018</w:t>
            </w: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common shares: 9,439,075 at December 31, 2018 and</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9,431,392 at March 31, 2018</w:t>
            </w: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(36,092)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7" w:right="21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OPERATIONS (in thousands,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December 31, 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10"/>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December 31,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Balances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Balances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1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 of</w:t>
            </w:r>
          </w:p>
        </w:tc>
        <w:tc>
          <w:tcPr>
            <w:tcW w:w="80" w:type="dxa"/>
            <w:vAlign w:val="bottom"/>
          </w:tcPr>
          <w:p>
            <w:pPr>
              <w:spacing w:after="0"/>
              <w:rPr>
                <w:sz w:val="12"/>
                <w:szCs w:val="12"/>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2"/>
                <w:szCs w:val="12"/>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7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Basic net loss per share attributable to</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29,568,986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29,568,986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29,376,959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29,376,959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and share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29,568,986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29,568,986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29,376,959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29,376,959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5" w:name="page16"/>
    <w:bookmarkEnd w:id="1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CASH FLOWS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40" w:type="dxa"/>
            <w:vAlign w:val="bottom"/>
            <w:gridSpan w:val="10"/>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Nine Months Ended December 31,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Balances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ASC 606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activities:</w:t>
            </w:r>
          </w:p>
        </w:tc>
        <w:tc>
          <w:tcPr>
            <w:tcW w:w="1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bad debts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current and long-term</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contract costs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long-term debt and capital leases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settle employee tax withholdings on stock-based</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compensation</w:t>
            </w:r>
          </w:p>
        </w:tc>
        <w:tc>
          <w:tcPr>
            <w:tcW w:w="1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proceeds from employee equity exercises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175" w:lineRule="exact"/>
        <w:rPr>
          <w:sz w:val="20"/>
          <w:szCs w:val="20"/>
          <w:color w:val="auto"/>
        </w:rPr>
      </w:pPr>
    </w:p>
    <w:p>
      <w:pPr>
        <w:ind w:right="60" w:firstLine="501"/>
        <w:spacing w:after="0" w:line="282" w:lineRule="auto"/>
        <w:rPr>
          <w:sz w:val="20"/>
          <w:szCs w:val="20"/>
          <w:color w:val="auto"/>
        </w:rPr>
      </w:pPr>
      <w:r>
        <w:rPr>
          <w:rFonts w:ascii="Times New Roman" w:cs="Times New Roman" w:eastAsia="Times New Roman" w:hAnsi="Times New Roman"/>
          <w:sz w:val="18"/>
          <w:szCs w:val="18"/>
          <w:color w:val="auto"/>
        </w:rPr>
        <w:t>As of December 31, 2018, and March 31, 2018, Orion's Accounts receivable and Allowance for doubtful accounts balances were as follows (dollars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8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37"/>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8,886</w:t>
            </w:r>
          </w:p>
        </w:tc>
        <w:tc>
          <w:tcPr>
            <w:tcW w:w="120" w:type="dxa"/>
            <w:vAlign w:val="bottom"/>
            <w:shd w:val="clear" w:color="auto" w:fill="CFF0FC"/>
          </w:tcPr>
          <w:p>
            <w:pPr>
              <w:spacing w:after="0"/>
              <w:rPr>
                <w:sz w:val="20"/>
                <w:szCs w:val="20"/>
                <w:color w:val="auto"/>
              </w:rPr>
            </w:pPr>
          </w:p>
        </w:tc>
      </w:tr>
      <w:tr>
        <w:trPr>
          <w:trHeight w:val="24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(150)</w:t>
            </w: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2018, and March 31, 2018, Orion's Inventory balances were as follows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December 31, 2018</w:t>
            </w:r>
          </w:p>
        </w:tc>
        <w:tc>
          <w:tcPr>
            <w:tcW w:w="2140" w:type="dxa"/>
            <w:vAlign w:val="bottom"/>
            <w:tcBorders>
              <w:top w:val="single" w:sz="8" w:color="CFF0FC"/>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96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March 31, 2018</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96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2018, and March 31, 2018, Prepaid expenses and other current assets included the following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120" w:type="dxa"/>
            <w:vAlign w:val="bottom"/>
          </w:tcPr>
          <w:p>
            <w:pPr>
              <w:spacing w:after="0"/>
              <w:rPr>
                <w:sz w:val="15"/>
                <w:szCs w:val="15"/>
                <w:color w:val="auto"/>
              </w:rPr>
            </w:pPr>
          </w:p>
        </w:tc>
        <w:tc>
          <w:tcPr>
            <w:tcW w:w="398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accounts receivable (1)</w:t>
            </w:r>
          </w:p>
        </w:tc>
        <w:tc>
          <w:tcPr>
            <w:tcW w:w="27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7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 2018, in conjunction with the adoption of ASC 606, the balance of unbilled Accounts receivable was included in Revenue earned but not billed on the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2018, and March 31, 2018, Property and equipment, net, included the following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8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(22,161)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(21,298)</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As of September 30, 2018, a triggering event occurred requiring Orion to evaluate its long-lived assets for impairment. Due to the central nature of its operations, Orion’s tangible and intangible definite-lived assets support its full operations, are utilized by all three of its reportable segments, and do not generate separately identifiable cash flows. As such, these assets together represent a single asset group. In reviewing the asset group for impairment, Orion elected to bypass the qualitative impairment assessment and went directly to performing the Step 1 recoverability test. Orion performed the Step 1 recoverability test for the asset group comparing its carrying value to the group’s expected future undiscounted cash flows. Orion concluded that the undiscounted cash flows of the definite lived asset group exceeded its carrying value. As such the asset group was deemed recoverable and no impairment was recorded.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Equipment included above under capital leases was as follows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700" w:type="dxa"/>
            <w:vAlign w:val="bottom"/>
          </w:tcPr>
          <w:p>
            <w:pPr>
              <w:spacing w:after="0"/>
              <w:rPr>
                <w:sz w:val="15"/>
                <w:szCs w:val="15"/>
                <w:color w:val="auto"/>
              </w:rPr>
            </w:pPr>
          </w:p>
        </w:tc>
        <w:tc>
          <w:tcPr>
            <w:tcW w:w="338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21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recorded depreciation expense of $0.3 and $1.0 million for the three and nine months ended December 31, 2018, respectively, and $0.4 and $1.1 million for the three and nine months ended December 31, 2017,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INTANGIBLE ASSETS, NET</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As of December 31, 2018, and March 31, 2018, the components of, and changes in, the carrying amount of Other intangible assets, net, were as follows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120" w:type="dxa"/>
            <w:vAlign w:val="bottom"/>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6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(3,326)</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As of September 30, 2017, a triggering event occurred requiring Orion to evaluate its long-lived assets for impairment. As such Orion performed a quantitative impairment review of its indefinite lived intangible assets related to the Harris trade name applying the royalty replacement method to determine the asset’s fair value as of September 30, 2017. Under the royalty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$0.7 million was recorded to Impairment of intangible assets during the quarter ended September 30, 2017 to reduce the asset’s carrying value to its calculated fair value. This fair value determination was categorized as Level 3 in the fair value hierarchy.</w:t>
      </w:r>
    </w:p>
    <w:p>
      <w:pPr>
        <w:spacing w:after="0" w:line="134"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$0.1 and $0.2 million for the three months ended December 31, 2018 and 2017, respectively. Amortization expense on intangible assets was $0.3 and $0.5 million for the nine months ended December 31, 2018 and 2017, respectively.</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2018, the weighted average remaining useful life of intangible assets was 5.1 years.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amortization expense for the remainder of fiscal 2019, the next five fiscal years and beyond is shown below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2019 (period remaining)</w:t>
            </w:r>
          </w:p>
        </w:tc>
        <w:tc>
          <w:tcPr>
            <w:tcW w:w="800" w:type="dxa"/>
            <w:vAlign w:val="bottom"/>
            <w:gridSpan w:val="2"/>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2021</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ACCRUED EXPENSES AND OTHER</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2018, and March 31, 2018, Accrued expenses and other included the following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8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returns reserve (1)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 due to customers (1)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00" w:hanging="492"/>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returns reserve was previously classified in Accounts receivable, net and Credits due to customers was previously classified in Accounts payable. As of April 1, 2018, in conjunction with the adoption of ASC 606, these balances are now included in Accrued expenses and other on the Condensed Consolidated Balance Sheets.</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chips and drivers, control devices, and other fixture related items, which are significant components in Orion's lighting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56"/>
        </w:trPr>
        <w:tc>
          <w:tcPr>
            <w:tcW w:w="4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Borders>
              <w:top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0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739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on adoption of ASC 606</w:t>
            </w: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w:t>
            </w:r>
          </w:p>
        </w:tc>
        <w:tc>
          <w:tcPr>
            <w:tcW w:w="10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NET LOSS PER COMMON SHARE</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Basic net loss per common share is computed by dividing Basic net loss attributable to common shareholders by the Weighted-average number of common shares outstanding for the period and does not consider common stock equivalents.</w:t>
      </w:r>
    </w:p>
    <w:p>
      <w:pPr>
        <w:spacing w:after="0" w:line="108" w:lineRule="exact"/>
        <w:rPr>
          <w:sz w:val="20"/>
          <w:szCs w:val="20"/>
          <w:color w:val="auto"/>
        </w:rPr>
      </w:pPr>
    </w:p>
    <w:p>
      <w:pPr>
        <w:jc w:val="both"/>
        <w:ind w:right="20" w:firstLine="501"/>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December 31, 2018 and 2017, Orion was in a net loss position; therefore, the Basic and Diluted Weighted average shares outstanding are equal because any increase to the basic shares would be anti-dilutive. Basic and Diluted net loss per common share was calculated based upon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5"/>
                <w:szCs w:val="15"/>
                <w:color w:val="auto"/>
              </w:rPr>
            </w:pPr>
          </w:p>
        </w:tc>
        <w:tc>
          <w:tcPr>
            <w:tcW w:w="26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(in thousands)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(11,666)</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29,568,986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28,909,847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29,376,959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28,734,394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shares and common share</w:t>
            </w: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8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29,568,986</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28,909,847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29,376,959</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28,734,394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4"/>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loss per common share because their inclusion would have been anti-dilutive. The number of shares are as of the end of each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20" w:type="dxa"/>
            <w:vAlign w:val="bottom"/>
            <w:tcBorders>
              <w:bottom w:val="single" w:sz="8" w:color="CFF0FC"/>
            </w:tcBorders>
          </w:tcPr>
          <w:p>
            <w:pPr>
              <w:spacing w:after="0"/>
              <w:rPr>
                <w:sz w:val="15"/>
                <w:szCs w:val="15"/>
                <w:color w:val="auto"/>
              </w:rPr>
            </w:pPr>
          </w:p>
        </w:tc>
        <w:tc>
          <w:tcPr>
            <w:tcW w:w="24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477,836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2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1,329,693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1,545,209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1,807,529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2,254,876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tc>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42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(dollars in thousands):</w:t>
            </w: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420" w:type="dxa"/>
            <w:vAlign w:val="bottom"/>
            <w:tcBorders>
              <w:bottom w:val="single" w:sz="8" w:color="CFF0FC"/>
            </w:tcBorders>
          </w:tcPr>
          <w:p>
            <w:pPr>
              <w:spacing w:after="0"/>
              <w:rPr>
                <w:sz w:val="15"/>
                <w:szCs w:val="15"/>
                <w:color w:val="auto"/>
              </w:rPr>
            </w:pPr>
          </w:p>
        </w:tc>
        <w:tc>
          <w:tcPr>
            <w:tcW w:w="24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Equipment lease obligations</w:t>
            </w:r>
          </w:p>
        </w:tc>
        <w:tc>
          <w:tcPr>
            <w:tcW w:w="2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On October 26, 2018, Orion and its subsidiaries entered into a new secured revolving Business Financing Agreement with Western Alliance Bank, as lender (the “New Credit Agreement”). The New Credit Agreement replaced Orion’s existing Credit Agreement.</w:t>
      </w:r>
    </w:p>
    <w:p>
      <w:pPr>
        <w:spacing w:after="0" w:line="108"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New Credit Agreement provides for a two-year revolving credit facility (the “New Credit Facility”) that matures on October 26, 2020. Borrowings under the New Credit Facility are initially limited to $20.15 million, subject to a borrowing base requirement based on eligible receivables and inventory. The New Credit Agreement includes a $2.0 million sublimit for the issuance of letters of credit. As of December 31, 2018, Orion’s borrowing base was $4.4 million, and Orion had $3.3 million in borrowings outstanding which were included in non-current liabilities in the accompanying Condensed Consolidated Balance Sheets. Orion had no outstanding letters of credit leaving additional borrowing availability of $1.1 million.</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New Credit Agreement is secured by a security interest in substantially all of Orion's and its subsidiaries’ personal property.</w:t>
      </w:r>
    </w:p>
    <w:p>
      <w:pPr>
        <w:spacing w:after="0" w:line="171"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Borrowings under the New Credit Agreement generally bear interest at floating rates based upon the prime rate (but not be less than 5.00% per year) plus an applicable margin determined by reference to Orion’s quick ratio (defined as the aggregate amount of unrestricted cash, unrestricted marketable securities and, with certain adjustments, receivables convertible into cash divided by total current liabilities, including the obligations under the New Credit Agreement). As of December 31, 2018, the interest rate was 6.0%. Among other fees, Orion is required to pay an annual facility fee equal to 0.45% of the credit limit under the New Credit Agreement, which was paid at commencement (October 26, 2018) and is due on each anniversary thereof. With certain exceptions, if the New Credit Agreement is terminated prior to the first anniversary of the closing date of the New Credit Agreement, Orion is required to pay a termination fee equal to 0.50% of the credit limit under the New Credit Agreement.</w:t>
      </w:r>
    </w:p>
    <w:p>
      <w:pPr>
        <w:spacing w:after="0" w:line="13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The New Credit Agreement requires Orion to maintain nine months’ of “RML” as of the end of each month. For purposes of the New Credit Agreement, RML is defined as, as of the applicable determination date, unrestricted cash on deposit with Western Alliance Bank plus availability under the New Credit Agreement divided by an amount equal to, for the applicable trailing three-month period, consolidated net profit before tax, plus depreciation expense, amortization expense and stock-based compensation, minus capital lease principal payments, tested as of the end of each month.</w:t>
      </w:r>
    </w:p>
    <w:p>
      <w:pPr>
        <w:spacing w:after="0" w:line="126"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The New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New Credit Agreement occurs and is continuing, then Western Alliance Bank may cease making advances under the New Credit Agreement and declare any outstanding obligations under the New Credit Agreement to be immediately due and payable. In addition, if Orion becomes the subject of voluntary or involuntary proceedings under any bankruptcy or similar law, then any outstanding obligations under the New Credit Agreement will automatically become immediately due and payable.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Lease Obligations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In June 2015, Orion entered into a lease agreement with a financing company in the principal amount of $0.4 million to fund certain equipment. The lease is secured by the related equipment. The lease bears interest at a rate of 3.6%, and matures in June 2020. The lease contains a one dollar buyout option.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Equipment Finance Notes Payable</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In December 2014, Orion entered into a secured borrowing agreement with a financing company in the principal amount of $0.4 million to fund completed customer contracts under its Orion Throughput Agreement (“OTA”) finance program that were previously funded under a different OTA credit agreement. The loan amount was secured by the OTA-related equipment and the expected future monthly payments under the supporting 25 individual OTA customer contracts. The borrowing agreement bore an interest rate of 8.36% and matured in April 2018.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In September 2010, Orion entered into a note agreement with the Wisconsin Department of Commerce that provided Orion with $0.3 million to fund Orion’s rooftop solar project at its Manitowoc facility. The note matured in June 2017 and was paid in full upon maturity.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Orion’s income tax provision was determined by applying an estimated annual effective tax rate based upon the facts and circumstances known to book loss before income tax, adjusting for discrete items. Orion’s actual effective tax rate is adjusted each interim period, as appropriate, for changes in facts and circumstances. For the three-month period ended December 31, 2018 and 2017, Orion recorded income tax expense (benefit) of $0 and $(23,330), respectively, using this methodology. For the nine-month period ended December 31, 2018 and 2017, Orion recorded income tax expense (benefit) of $25,748 and $(23,330), respectively, using this methodology.</w:t>
      </w:r>
    </w:p>
    <w:p>
      <w:pPr>
        <w:spacing w:after="0" w:line="130"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As of December 31, 2018, and March 31, 2018, Orion had a full valuation allowance recorded against its deferred tax assets. Orion considers future taxable income and ongoing prudent and feasible tax planning strategies in assessing the need for the valuation allowance. In the event that Orion determines that the deferred tax assets are able to be realized, an adjustment to the valuation allowance would increase income in the period such determination is made.</w:t>
      </w:r>
    </w:p>
    <w:p>
      <w:pPr>
        <w:spacing w:after="0" w:line="33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During fiscal 2018, Orion recognized a provisional reduction to its deferred tax assets of ($9.9 million) related to the Tax Cut and Jobs Act (“Act”). Substantially all of this decrease was offset by a corresponding decrease to the valuation allowance. Orion also provisionally estimated it would incur no transition tax. As of December 31, 2018, Orion did not adjust its estimates and considers all changes due to the Act final.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As of December 31, 2018, Orion’s balance of gross unrecognized tax benefits was approximately $0.1 million, all of which would reduce Orion’s effective tax rate if recognized.</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leases office space and equipment under operating leases expiring at various dates through 2020. Rent expense under these operating leases was $0.2 million and $0.2 million for the three months ended December 31, 2018 and 2017, respectively. Rent expense under these operating leases was $0.5 million and $0.7 million for the nine months ended December 31, 2018 and 2017,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was a party to the proceedings described below.</w:t>
      </w:r>
    </w:p>
    <w:p>
      <w:pPr>
        <w:spacing w:after="0" w:line="122"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On March 27, 2014, Orion was named as a defendant in a civil lawsuit filed by Neal R. Verfuerth, a former chief executive officer who left Orion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pecuniary and compensatory damages, fees and such other relief as the court may deem just and proper. On January 11, 2018, a three-judge panel of the United States Court of Appeals Seventh Circuit unanimously affirmed the dismissal of all of the plaintiff’s claims against Orion.</w:t>
      </w:r>
    </w:p>
    <w:p>
      <w:pPr>
        <w:spacing w:after="0" w:line="108"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On November 10, 2017, a purported shareholder, Stephen Narten, filed a civil lawsuit in the Circuit Court for Manitowoc County against those individuals who served on Orion's board of directors during fiscal years 2015, 2016, and 2017 and certain current and former officers during the same period. The plaintiff, who purported to bring the suit derivatively on behalf of Orion, alleged that the director defendants breached their fiduciary duties in connection with granting certain stock-based incentive awards under Orion's 2004 Stock and Incentive Awards Plan and that the directors and current and former officers breached their fiduciary duties by accepting those awards. During the first quarter of fiscal 2019, the parties reached a settlement of the claims and the case was dismissed. The settlement did not have a material impact on Orion's results of operations, cash flows or financial condition.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Tax Assessment</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based on current information, in the opinion of Orion's management, the ultimate disposition of these matters will not have a material adverse effect on Orion's consolidated balance sheets, statements of operations, or liquidity.</w:t>
      </w:r>
    </w:p>
    <w:p>
      <w:pPr>
        <w:spacing w:after="0" w:line="126"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During fiscal 2019, Orion was notified of a pending sales and use tax audit by the California Department of Tax and Fee Administration for the period covering April 1, 2015 through March 31, 2018. Although the final resolution of Orion's sales and use tax audit is uncertain, based on current information, in the opinion of Orion's management, the ultimate disposition of these matters will not have a material adverse effect on the Orion's consolidated balance sheets, statements of operations, or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Orion issued the following shares from treasury under the ESPP during the nine months ended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28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ESPP</w:t>
            </w: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6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280" w:type="dxa"/>
            <w:vAlign w:val="bottom"/>
            <w:tcBorders>
              <w:bottom w:val="single" w:sz="8" w:color="CFF0FC"/>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June 30, 2018</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$1.10</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September 30, 2018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$0.96</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December 31, 2018</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0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$0.57</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issued in fiscal 2019</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0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$ 0.57 - 1.10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In prior years, Orion issued loans to non-executive employees to purchase shares of its stock under the ESPP. The loan program has been discontinued and new loans are no longer issued. As of March 31, 2017, $4,000 of such loans remained outstanding and were reflected on Orion’s balance sheet as a contra-equity account. During the nine months ended December 31, 2017, Orion entered into agreements with the counterparties to these loans. In exchange for the forgiveness of their outstanding loan balance, the employees returned their shares to Orion. As a result of these transactions, 1,230 shares were recorded within treasury stock and the loan balances were eliminated.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 OPTIONS AND RESTRICTED SHARES</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common stock, restricted stock, restricted stock units, incentive awards or dividend equivalent units.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3" w:name="page24"/>
    <w:bookmarkEnd w:id="23"/>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Prior to shareholder approval of the Plan, the Company maintained its 2004 Stock and Incentive Awards Plan, as amended, which authorized the grant of cash and equity awards to employees (the “Former Plan”). No new awards are being granted under the Former Plan; however, all awards granted under the Former Plan that are outstanding will continue to be governed by the Former Plan. Forfeited awards originally issued under the Former Plan are canceled and are not available for subsequent issuance under the Plan. The Plan and the Former Plan also permit accelerated vesting in the event of certain changes of control of Orion as well as under other special circumstances.</w:t>
      </w:r>
    </w:p>
    <w:p>
      <w:pPr>
        <w:spacing w:after="0" w:line="130"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amounts of stock-based compensation were recorded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1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first nine months of fiscal 2019, Orion had the following activity related to its stock-based compensation: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1,485,799</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519,000</w:t>
            </w:r>
          </w:p>
        </w:tc>
        <w:tc>
          <w:tcPr>
            <w:tcW w:w="28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vested</w:t>
            </w: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(626,444)</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(48,662)</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(151,831)</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outstanding at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1,329,693</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477,836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As of December 31, 2018, the amount of deferred stock-based compensation expense to be recognized, over a remaining period of 1.7 years, was approximately $1.0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Engineered Systems Division</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Distribution Services Division</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The ODS segment focuses on selling lighting products through manufacturer representative agencies and a network of broadline North American distributors.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U.S. Markets Division</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USM segment sells commercial lighting systems and energy management systems to the wholesale contractor markets. USM customers include ESCOs and electrical contractors.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ind w:firstLine="501"/>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420"/>
          </w:cols>
          <w:pgMar w:left="240" w:top="590" w:right="239" w:bottom="1440" w:gutter="0" w:footer="0" w:header="0"/>
        </w:sectPr>
      </w:pPr>
    </w:p>
    <w:p>
      <w:pPr>
        <w:spacing w:after="0" w:line="23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7620</wp:posOffset>
            </wp:positionV>
            <wp:extent cx="16205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wp:posOffset>
            </wp:positionV>
            <wp:extent cx="1620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80"/>
        <w:spacing w:after="0"/>
        <w:tabs>
          <w:tab w:leader="none" w:pos="776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7620</wp:posOffset>
            </wp:positionV>
            <wp:extent cx="16294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wp:posOffset>
            </wp:positionV>
            <wp:extent cx="16294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60"/>
        <w:spacing w:after="0"/>
        <w:tabs>
          <w:tab w:leader="none" w:pos="144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1" w:lineRule="exact"/>
        <w:rPr>
          <w:sz w:val="20"/>
          <w:szCs w:val="20"/>
          <w:color w:val="auto"/>
        </w:rPr>
      </w:pPr>
    </w:p>
    <w:p>
      <w:pPr>
        <w:sectPr>
          <w:pgSz w:w="11900" w:h="16838" w:orient="portrait"/>
          <w:cols w:equalWidth="0" w:num="2">
            <w:col w:w="8400" w:space="720"/>
            <w:col w:w="2300"/>
          </w:cols>
          <w:pgMar w:left="240" w:top="59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Engineered Systems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(1,248)</w:t>
            </w:r>
          </w:p>
        </w:tc>
      </w:tr>
      <w:tr>
        <w:trPr>
          <w:trHeight w:val="223"/>
        </w:trPr>
        <w:tc>
          <w:tcPr>
            <w:tcW w:w="59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0" w:right="239" w:bottom="1440" w:gutter="0" w:footer="0" w:header="0"/>
          <w:type w:val="continuous"/>
        </w:sectPr>
      </w:pPr>
    </w:p>
    <w:p>
      <w:pPr>
        <w:spacing w:after="0" w:line="7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7620</wp:posOffset>
            </wp:positionV>
            <wp:extent cx="16205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wp:posOffset>
            </wp:positionV>
            <wp:extent cx="16205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80"/>
        <w:spacing w:after="0"/>
        <w:tabs>
          <w:tab w:leader="none" w:pos="776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wp:posOffset>
            </wp:positionV>
            <wp:extent cx="16294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wp:posOffset>
            </wp:positionV>
            <wp:extent cx="16294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20"/>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1" w:lineRule="exact"/>
        <w:rPr>
          <w:sz w:val="20"/>
          <w:szCs w:val="20"/>
          <w:color w:val="auto"/>
        </w:rPr>
      </w:pPr>
    </w:p>
    <w:p>
      <w:pPr>
        <w:sectPr>
          <w:pgSz w:w="11900" w:h="16838" w:orient="portrait"/>
          <w:cols w:equalWidth="0" w:num="2">
            <w:col w:w="8440" w:space="720"/>
            <w:col w:w="2260"/>
          </w:cols>
          <w:pgMar w:left="240" w:top="59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Engineered Systems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(1,944)</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(2,970)</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(3,240)</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(4,968)</w:t>
            </w:r>
          </w:p>
        </w:tc>
      </w:tr>
      <w:tr>
        <w:trPr>
          <w:trHeight w:val="223"/>
        </w:trPr>
        <w:tc>
          <w:tcPr>
            <w:tcW w:w="59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REORGANIZATION OF BUSINESS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During fiscal 2018, Orion executed on a cost reduction plan by entering into separation agreements with multiple employees. Orion's restructuring expense for the three and nine months ended December 31, 2018 and 2017 is reflected within its Condensed Consolidated Statements of Operations as follows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0" w:type="dxa"/>
            <w:vAlign w:val="bottom"/>
            <w:gridSpan w:val="5"/>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6"/>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5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gridSpan w:val="5"/>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9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2,019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restructuring expense by segment was recorded as follows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0" w:type="dxa"/>
            <w:vAlign w:val="bottom"/>
            <w:gridSpan w:val="5"/>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5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5"/>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96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Engineered Systems</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Distribution Systems</w:t>
            </w:r>
          </w:p>
        </w:tc>
        <w:tc>
          <w:tcPr>
            <w:tcW w:w="780" w:type="dxa"/>
            <w:vAlign w:val="bottom"/>
          </w:tcPr>
          <w:p>
            <w:pPr>
              <w:spacing w:after="0"/>
              <w:rPr>
                <w:sz w:val="19"/>
                <w:szCs w:val="19"/>
                <w:color w:val="auto"/>
              </w:rPr>
            </w:pP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Cash payments for employee separation costs in connection with its reorganization of its business were $8,573 and $0.1 million in the three months ended December 31, 2018 and December 31, 2017, respectively. Cash payments for employee separation costs in connection with the reorganization of its business were $0.2 million and $1.6 million in the nine months ended December 31, 2018, and December 31, 2017, respectively. The remaining restructuring cost accruals as of December 31, 2018 were $0.1 million, which represents post-retirement medical benefits for one former employee which will be paid over several years.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501"/>
        <w:spacing w:after="0" w:line="254" w:lineRule="auto"/>
        <w:rPr>
          <w:sz w:val="20"/>
          <w:szCs w:val="20"/>
          <w:color w:val="auto"/>
        </w:rPr>
      </w:pPr>
      <w:r>
        <w:rPr>
          <w:rFonts w:ascii="Times New Roman" w:cs="Times New Roman" w:eastAsia="Times New Roman" w:hAnsi="Times New Roman"/>
          <w:sz w:val="18"/>
          <w:szCs w:val="18"/>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2018.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We provide enterprise-grade light emitting diode ("LED") lighting and energy project solutions.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26"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Our principal customers include national account end-users, electrical distributors, energy service companies ("ESCOs") and electrical contractors. Currently, substantially all of our products are manufactured at our leased production facility location in Manitowoc, Wisconsin, although as the LED market continues to evolve, we have the flexibility to source products and components from third parties in order to provide versatility in our product development.</w:t>
      </w:r>
    </w:p>
    <w:p>
      <w:pPr>
        <w:spacing w:after="0" w:line="126"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We believe the market for lighting products has shifted to LED lighting systems, and that the customer base for our legacy high intensity fluorescent ("HIF") technology products will continue to decline. Compared to our legacy HIF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HIF or other legacy technologies. Although we continue to sell some lighting products using our legacy HIF technology, we do not build to stock HIF products and instead build to committed customer orders as received. We plan to maintain our primary focus on developing and selling innovative LED products.</w:t>
      </w:r>
    </w:p>
    <w:p>
      <w:pPr>
        <w:spacing w:after="0" w:line="134"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 w:name="page28"/>
    <w:bookmarkEnd w:id="27"/>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Our ability to achieve our desired revenue growth and profitability goals depends on our ability to effectively engage distribution and sales agents, develop recurring revenue streams, implement our cost reduction initiatives, manage pricing pressures in the LED market, and improve our marketing, new product development, project execution, customer service, margin enhancement and operating expense management, as well as other factors. In addition, 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30" w:lineRule="exact"/>
        <w:rPr>
          <w:sz w:val="20"/>
          <w:szCs w:val="20"/>
          <w:color w:val="auto"/>
        </w:rPr>
      </w:pPr>
    </w:p>
    <w:p>
      <w:pPr>
        <w:jc w:val="both"/>
        <w:ind w:right="20" w:firstLine="501"/>
        <w:spacing w:after="0" w:line="261" w:lineRule="auto"/>
        <w:rPr>
          <w:sz w:val="20"/>
          <w:szCs w:val="20"/>
          <w:color w:val="auto"/>
        </w:rPr>
      </w:pPr>
      <w:r>
        <w:rPr>
          <w:rFonts w:ascii="Times New Roman" w:cs="Times New Roman" w:eastAsia="Times New Roman" w:hAnsi="Times New Roman"/>
          <w:sz w:val="18"/>
          <w:szCs w:val="18"/>
          <w:color w:val="auto"/>
        </w:rPr>
        <w:t>Our fiscal year ends on March 31. We refer to our current fiscal year which will end on March 31, 2019 as "fiscal 2019". We refer to our most recently completed fiscal year, which ended on March 31, 2018, as “fiscal 2018”, and our prior fiscal year which ended on March 31, 2017 as "fiscal 2017". Our fiscal first quarter of each fiscal year ends on June 30, our fiscal second quarter ends on September 30, our fiscal third quarter ends on December 31, and our fiscal fourth quarter ends on March 31.</w:t>
      </w:r>
    </w:p>
    <w:p>
      <w:pPr>
        <w:spacing w:after="0" w:line="12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Engineered Systems Division ("OES"), Orion Distribution Services Division ("ODS"), and Orion U.S. Markets Division ("USM").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Shift to Light Emitting Diode Products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rapid market shift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122" w:lineRule="exact"/>
        <w:rPr>
          <w:sz w:val="20"/>
          <w:szCs w:val="20"/>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product end user customer pricing pressure.</w:t>
      </w:r>
    </w:p>
    <w:p>
      <w:pPr>
        <w:spacing w:after="0" w:line="27" w:lineRule="exact"/>
        <w:rPr>
          <w:rFonts w:ascii="Times New Roman" w:cs="Times New Roman" w:eastAsia="Times New Roman" w:hAnsi="Times New Roman"/>
          <w:sz w:val="18"/>
          <w:szCs w:val="18"/>
          <w:color w:val="auto"/>
        </w:rPr>
      </w:pPr>
    </w:p>
    <w:p>
      <w:pPr>
        <w:ind w:left="800" w:hanging="400"/>
        <w:spacing w:after="0" w:line="250"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LED product performance and reducing customer return on investment payback periods resulting in increased customer preference for LED lighting products compared to legacy HIF lighting products.</w:t>
      </w: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LED lighting product customer sales compared to decreasing HIF product sales.</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broader and more diverse customer base and market opportunities compared to our historical commercial and industrial facility customers.</w:t>
      </w:r>
    </w:p>
    <w:p>
      <w:pPr>
        <w:spacing w:after="0" w:line="9" w:lineRule="exact"/>
        <w:rPr>
          <w:rFonts w:ascii="Times New Roman" w:cs="Times New Roman" w:eastAsia="Times New Roman" w:hAnsi="Times New Roman"/>
          <w:sz w:val="18"/>
          <w:szCs w:val="18"/>
          <w:color w:val="auto"/>
        </w:rPr>
      </w:pPr>
    </w:p>
    <w:p>
      <w:pPr>
        <w:ind w:left="800" w:right="20" w:hanging="400"/>
        <w:spacing w:after="0" w:line="250"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importance of highly innovative product designs and features and enhanced product research and development capabilities requiring rapid new product introduction and new methods of product and company differentiation.</w:t>
      </w:r>
    </w:p>
    <w:p>
      <w:pPr>
        <w:ind w:left="800" w:right="20" w:hanging="400"/>
        <w:spacing w:after="0" w:line="250"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reduced product technology life cycles; significantly shorter product inventory shelf lives and the related increased risk of rapidly occurring product technology obsolescence.</w:t>
      </w: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reliance on international component sources.</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internal product fabrication and production capabilities needed to support LED product assembly.</w:t>
      </w:r>
    </w:p>
    <w:p>
      <w:pPr>
        <w:spacing w:after="0" w:line="9" w:lineRule="exact"/>
        <w:rPr>
          <w:rFonts w:ascii="Times New Roman" w:cs="Times New Roman" w:eastAsia="Times New Roman" w:hAnsi="Times New Roman"/>
          <w:sz w:val="18"/>
          <w:szCs w:val="18"/>
          <w:color w:val="auto"/>
        </w:rPr>
      </w:pPr>
    </w:p>
    <w:p>
      <w:pPr>
        <w:ind w:left="800" w:right="20" w:hanging="400"/>
        <w:spacing w:after="0" w:line="250"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broader types of components, fabrication and assembly processes needed to support LED product assembly compared to our legacy products.</w:t>
      </w: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customer bases and sales channels.</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longer end user product warranty requirements for LED products compared to our legacy products.</w:t>
      </w:r>
    </w:p>
    <w:p>
      <w:pPr>
        <w:spacing w:after="0" w:line="153"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Restructuring and Focus on Profitability</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During fiscal 2018, we executed on a cost reduction plan to reduce our costs and streamline operations. This cost reduction plan included a reduction in headcount, restructuring of management and board compensation, and other cost reduction measures. Restructuring expenses included severance, outplacement services and continued medical benefits for terminated employees for a limited post-employment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8" w:name="page29"/>
    <w:bookmarkEnd w:id="28"/>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Our restructuring expense for the three and nine months ended December 31, 2018 and 2017 is reflected within our Condensed Consolidated Statements of Operations as follows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0" w:type="dxa"/>
            <w:vAlign w:val="bottom"/>
            <w:gridSpan w:val="5"/>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6"/>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5"/>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96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2,019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restructuring expense by segment was recorded as follows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0" w:type="dxa"/>
            <w:vAlign w:val="bottom"/>
            <w:gridSpan w:val="5"/>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5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5"/>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96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Engineered Systems</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Distribution Systems</w:t>
            </w:r>
          </w:p>
        </w:tc>
        <w:tc>
          <w:tcPr>
            <w:tcW w:w="780" w:type="dxa"/>
            <w:vAlign w:val="bottom"/>
          </w:tcPr>
          <w:p>
            <w:pPr>
              <w:spacing w:after="0"/>
              <w:rPr>
                <w:sz w:val="19"/>
                <w:szCs w:val="19"/>
                <w:color w:val="auto"/>
              </w:rPr>
            </w:pP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501"/>
        <w:spacing w:after="0" w:line="266" w:lineRule="auto"/>
        <w:rPr>
          <w:sz w:val="20"/>
          <w:szCs w:val="20"/>
          <w:color w:val="auto"/>
        </w:rPr>
      </w:pPr>
      <w:r>
        <w:rPr>
          <w:rFonts w:ascii="Times New Roman" w:cs="Times New Roman" w:eastAsia="Times New Roman" w:hAnsi="Times New Roman"/>
          <w:sz w:val="18"/>
          <w:szCs w:val="18"/>
          <w:color w:val="auto"/>
        </w:rPr>
        <w:t>Cash payments for employee separation costs in connection with our reorganization of our business were $8,573 and $0.1 million in the three months ended December 31, 2018 and December 31, 2017, respectively. Cash payments for employee separation costs in connection with our reorganization of our business were $0.2 million and $1.6 million in the nine months ended December 31, 2018, and December 31, 2017,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2019 Outlook</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We remain optimistic about our near-term and long-term financial performance. Our executive leadership team has developed a fiscal 2019 strategic plan to reflect our current business environment and the continuing opportunities and challenges of the LED and connected lighting marketplace. The overall goal of the plan is to build on what we achieved in fiscal 2018, both in terms of our distribution network and reinvigoration of our direct sales effort, while leveraging our achieved cost containment efforts.</w:t>
      </w:r>
    </w:p>
    <w:p>
      <w:pPr>
        <w:spacing w:after="0" w:line="126"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Our outlook for the remainder of fiscal 2019 is positive, as we believe that the following factors will directly or indirectly drive customer spending on lighting solutions:</w:t>
      </w:r>
    </w:p>
    <w:p>
      <w:pPr>
        <w:spacing w:after="0" w:line="108" w:lineRule="exact"/>
        <w:rPr>
          <w:sz w:val="20"/>
          <w:szCs w:val="20"/>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adoption continues to grow in all sectors;</w:t>
      </w:r>
    </w:p>
    <w:p>
      <w:pPr>
        <w:spacing w:after="0" w:line="2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industrial sentiment remains strong;</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incentives continue to be available;</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spending is increasing;</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profits are increasing; and</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spending remains strong.</w:t>
      </w:r>
    </w:p>
    <w:p>
      <w:pPr>
        <w:spacing w:after="0" w:line="153"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Beyond the benefits of our lighting fixtures, we believe that there is also an opportunity to utilize our platform as a “connected ceiling”, or a framework or network that can support the installation and integration of other business solutions on our digital platform. This anticipated potential growth opportunity is also known as the “Industrial Internet of Things” or IoT, and is still early in its development; however, we have already participated in a few compelling applications that deliver cost savings and efficiency in areas outside of lighting.</w:t>
      </w:r>
    </w:p>
    <w:p>
      <w:pPr>
        <w:spacing w:after="0" w:line="126"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There continues to be a great amount of debate regarding a wide range of policy options with respect to monetary, regulatory, and trade, amongst others, that the U.S. federal government has and may pursue, including the recent imposition of tariffs on certain imports. Certain sourced finished products and certain of the components used in our products are impacted by the recently imposed tariffs on China imports. Our efforts to mitigate the impact of added costs include a variety of activities, such as sourcing from non-tariff impacted countries and raising prices. We believe that these mitigation activities will assist to offset added costs,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On January 11, 2019, we secured a letter of intent with an existing customer to retrofit a number of the customer's locations with our state-of-the-art LED lighting solutions. We expect to realize revenue of approximately $11 million under the letter of intent.</w:t>
      </w:r>
    </w:p>
    <w:p>
      <w:pPr>
        <w:spacing w:after="0" w:line="108"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project involves initial energy audits, custom design, production, logistics, wireless control systems commissioning and full project management through installation at a number of the customer's locations nationwide.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significant portion of the installations are expected to be completed in the fourth quarter of fiscal 2019.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adopted ASC 606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our opening balance of retained deficit within our condensed consolidated statement of shareholders’ equity.</w:t>
      </w:r>
    </w:p>
    <w:p>
      <w:pPr>
        <w:spacing w:after="0" w:line="122"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new standards are applied separately for each contract between us and a customer. While the impact of the new standards vary for each contract based on its specific terms, in general, the new standards result in us (a) delaying the recognition of some of our Product revenue from the point of shipment until a later date during the installation period, (b) recording Service revenue associated with installing lighting fixtures as such fixtures are installed instead of recording all Services revenue at the completion of the installation, and (c) recording costs associated with installing lighting fixtures as they are incurred instead of deferring such costs and recognizing them at the time Service revenue was recorded.</w:t>
      </w:r>
    </w:p>
    <w:p>
      <w:pPr>
        <w:spacing w:after="0" w:line="130"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The adoption of the new standards also resulted in reclassifications (a) between Product revenue and Service revenue, and between Cost of service revenue and Sales and marketing expenses in our Condensed Consolidated Statements of Operations, and (b) among Accounts receivable, Revenue earned but not billed, Inventories, net, Deferred contract costs, Prepaid expenses and other current assets, Accounts payable, Accrued expenses and other, Deferred revenue, current, Deferred revenue, long-term, and Other long-term liabilities in our Condensed Consolidated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December 31, 2018 versus Three Months Ended December 31, 2017</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10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6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2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56.8%</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20" w:type="dxa"/>
            <w:vAlign w:val="bottom"/>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52" w:lineRule="exact"/>
        <w:rPr>
          <w:sz w:val="20"/>
          <w:szCs w:val="20"/>
          <w:color w:val="auto"/>
        </w:rPr>
      </w:pPr>
    </w:p>
    <w:p>
      <w:pPr>
        <w:jc w:val="both"/>
        <w:ind w:firstLine="50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decreased 12.8%, or $2.0 million, for the third quarter of fiscal 2019 versus the third quarter of fiscal 2018.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 was principally due to a decrease in sales volume through our distribution channel, as well as the timing of delivery of our turnkey projects. Service revenue increased 84.2%, or $1.1 million, primarily due to the timing of project completions. Total revenue decreased by 5.6%, or $1.0 million, primarily due to the items discussed above. Excluding the impact of the adoption of ASC 606, Product revenue decreased 9.8%, or $1.6 million, Service revenue decreased 32.0%, or $0.4 million, and Total revenue decreased by 11.5%, or $2.0 million, compared to the prior year quarter.</w:t>
      </w:r>
    </w:p>
    <w:p>
      <w:pPr>
        <w:spacing w:after="0" w:line="126" w:lineRule="exact"/>
        <w:rPr>
          <w:sz w:val="20"/>
          <w:szCs w:val="20"/>
          <w:color w:val="auto"/>
        </w:rPr>
      </w:pPr>
    </w:p>
    <w:p>
      <w:pPr>
        <w:jc w:val="both"/>
        <w:ind w:firstLine="50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Cost of product revenue decreased 6.0%, or $0.7 million, in the third quarter of fiscal 2019 versus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2018 primarily due to the decrease in sales. Cost of service revenue increased 67.0%, or $0.6 million, in the third quarter of fiscal 2019 versus the third quarter of fiscal 2018. The increase was primarily due to the timing of project installations compared to the prior year quarter. Gross margin decreased to 25.6% of revenue in the third quarter fiscal 2019 from 29.6% in the third quarter of fiscal 2018, primarily due to the impact of fixed cost absorption on lower revenue. Excluding the impact of the adoption of ASC 606, gross margin as a percent of sales in the third quarter of fiscal 2019 was 26.9%.</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21.2%, or $0.6 million, in the third quarter of fiscal 2019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fiscal 2018, primarily due to reduced employee costs, legal expense, and consulting expense as a result of our cost reduction plan.</w:t>
      </w:r>
    </w:p>
    <w:p>
      <w:pPr>
        <w:spacing w:after="0" w:line="104"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26.5%, or $0.8 million, in the third quarter of fiscal 2019 compared to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2018. Excluding the impact of the adoption of ASC 606, Sales and marketing expenses decreased 14.7%, or $0.4 million, in the third quarter of fiscal 2019 compared to the third quarter of fiscal 2018. The decrease quarter over quarter was primarily due to a decrease in commission expense on lower sales, reduced employee costs as a result of our cost reduction plan, and lower travel and entertainment and marketing expenses.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jc w:val="both"/>
        <w:ind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by 51.6%, or $0.3 million, in the third quarter of fiscal 2019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fiscal 2018 primarily due to a decrease in testing costs based on timing of new product rollouts and lower employee costs as a result of our cost reduction plan.</w:t>
      </w:r>
    </w:p>
    <w:p>
      <w:pPr>
        <w:spacing w:after="0" w:line="120"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in the third quarter of fiscal 2019 primarily represented product royalties received from licensing agreements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w:t>
      </w:r>
    </w:p>
    <w:p>
      <w:pPr>
        <w:spacing w:after="0" w:line="104" w:lineRule="exact"/>
        <w:rPr>
          <w:sz w:val="20"/>
          <w:szCs w:val="20"/>
          <w:color w:val="auto"/>
        </w:rPr>
      </w:pPr>
    </w:p>
    <w:p>
      <w:pPr>
        <w:jc w:val="both"/>
        <w:ind w:right="20"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the third quarter of fiscal 2019 increased by 4.1%, or $3,000, from the third quarter of fiscal 2018.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was due to increased third party financing costs.</w:t>
      </w:r>
    </w:p>
    <w:p>
      <w:pPr>
        <w:spacing w:after="0" w:line="104" w:lineRule="exact"/>
        <w:rPr>
          <w:sz w:val="20"/>
          <w:szCs w:val="20"/>
          <w:color w:val="auto"/>
        </w:rPr>
      </w:pPr>
    </w:p>
    <w:p>
      <w:pPr>
        <w:jc w:val="both"/>
        <w:ind w:right="20"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debt issue costs</w:t>
      </w:r>
      <w:r>
        <w:rPr>
          <w:rFonts w:ascii="Times New Roman" w:cs="Times New Roman" w:eastAsia="Times New Roman" w:hAnsi="Times New Roman"/>
          <w:sz w:val="18"/>
          <w:szCs w:val="18"/>
          <w:color w:val="auto"/>
        </w:rPr>
        <w:t>. Amortization of debt issue costs in the third quarter of fiscal 2019 increased by 10.7%, or $3,000, from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2018. The increase in amortization of debt issue costs was due to the execution of the new revolving credit agreement.</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 the third quarter of fiscal 2019 remained relatively flat compared to the third quarter of fiscal 2018. Interest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relates to interest earned on sweep bank accounts.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was $0 in the third quarter of fiscal 2019. Our income tax expense is due primarily to minimum state tax liabilities.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Engineered Systems Division</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OES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9"/>
                <w:szCs w:val="19"/>
                <w:color w:val="auto"/>
              </w:rPr>
            </w:pP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8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501"/>
        <w:spacing w:after="0" w:line="282" w:lineRule="auto"/>
        <w:rPr>
          <w:sz w:val="20"/>
          <w:szCs w:val="20"/>
          <w:color w:val="auto"/>
        </w:rPr>
      </w:pPr>
      <w:r>
        <w:rPr>
          <w:rFonts w:ascii="Times New Roman" w:cs="Times New Roman" w:eastAsia="Times New Roman" w:hAnsi="Times New Roman"/>
          <w:sz w:val="18"/>
          <w:szCs w:val="18"/>
          <w:color w:val="auto"/>
        </w:rPr>
        <w:t>OES revenue decreased in the third quarter of fiscal 2019 by 7.0%, or $0.5 million, compared to the third quarter of fiscal 2018 primarily as a result of the timing of delivery of our turnkey projects.</w:t>
      </w:r>
    </w:p>
    <w:p>
      <w:pPr>
        <w:spacing w:after="0" w:line="108" w:lineRule="exact"/>
        <w:rPr>
          <w:sz w:val="20"/>
          <w:szCs w:val="20"/>
          <w:color w:val="auto"/>
        </w:rPr>
      </w:pPr>
    </w:p>
    <w:p>
      <w:pPr>
        <w:ind w:firstLine="501"/>
        <w:spacing w:after="0" w:line="282" w:lineRule="auto"/>
        <w:rPr>
          <w:sz w:val="20"/>
          <w:szCs w:val="20"/>
          <w:color w:val="auto"/>
        </w:rPr>
      </w:pPr>
      <w:r>
        <w:rPr>
          <w:rFonts w:ascii="Times New Roman" w:cs="Times New Roman" w:eastAsia="Times New Roman" w:hAnsi="Times New Roman"/>
          <w:sz w:val="18"/>
          <w:szCs w:val="18"/>
          <w:color w:val="auto"/>
        </w:rPr>
        <w:t>OES segment operating income in the third quarter of fiscal 2019 was $33,000, a decrease of $0.1 million from the third quarter of fiscal 2018. The decrease in the segment’s operating income was the result of lower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75" w:lineRule="exact"/>
        <w:rPr>
          <w:sz w:val="20"/>
          <w:szCs w:val="20"/>
          <w:color w:val="auto"/>
        </w:rPr>
      </w:pPr>
    </w:p>
    <w:p>
      <w:pPr>
        <w:ind w:right="20" w:firstLine="501"/>
        <w:spacing w:after="0" w:line="282" w:lineRule="auto"/>
        <w:rPr>
          <w:sz w:val="20"/>
          <w:szCs w:val="20"/>
          <w:color w:val="auto"/>
        </w:rPr>
      </w:pPr>
      <w:r>
        <w:rPr>
          <w:rFonts w:ascii="Times New Roman" w:cs="Times New Roman" w:eastAsia="Times New Roman" w:hAnsi="Times New Roman"/>
          <w:sz w:val="18"/>
          <w:szCs w:val="18"/>
          <w:color w:val="auto"/>
        </w:rPr>
        <w:t>The ODS segment focuses on selling lighting products through manufacturer representative agencies and a network of broadline North American distributors.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ODS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24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CFF0FC"/>
            </w:tcBorders>
          </w:tcPr>
          <w:p>
            <w:pPr>
              <w:spacing w:after="0"/>
              <w:rPr>
                <w:sz w:val="15"/>
                <w:szCs w:val="15"/>
                <w:color w:val="auto"/>
              </w:rPr>
            </w:pPr>
          </w:p>
        </w:tc>
        <w:tc>
          <w:tcPr>
            <w:tcW w:w="240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ODS segment revenue decreased in the third quarter of fiscal 2019 by 21.6%, or $1.7 million, compared to the third quarter of fiscal 2018, primarily due to a decrease in sales volume through our distribution channel.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2" w:name="page33"/>
    <w:bookmarkEnd w:id="32"/>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ODS segment operating loss in the third quarter of fiscal 2019 was ($0.2 million), a decrease of $0.5 million from the operating income of $0.2 million in the third quarter of fiscal 2018. The segment’s operating loss was primarily due to the decrease in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USM segment sells commercial lighting systems and energy management systems to the wholesale contractor markets. USM customers include ESCOs and electrical contractors.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USM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40" w:type="dxa"/>
            <w:vAlign w:val="bottom"/>
          </w:tcPr>
          <w:p>
            <w:pPr>
              <w:spacing w:after="0"/>
              <w:rPr>
                <w:sz w:val="19"/>
                <w:szCs w:val="19"/>
                <w:color w:val="auto"/>
              </w:rPr>
            </w:pP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USM segment revenue increased from the third quarter of fiscal 2018 by 56.2%, or $1.2 million. The increase in revenue during the third quarter of fiscal 2019 compared to the third quarter of fiscal 2018 was primarily due to an increase in sales volume as a result of our reengagement in the sales channel.</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USM segment operating income for the third quarter of fiscal 2019 was $0.6 million, an improvement of $1.1 million over the third quarter of fiscal 2018. The improvement from the operating loss in the third quarter of fiscal 2018 represented the increase in sales volume, as well as improved operating expense leverage on lower allocated corporate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December 31, 2018 versus Nine Months Ended December 31, 2017</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10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6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30,587</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220" w:type="dxa"/>
            <w:vAlign w:val="bottom"/>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62.7%</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22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50.7%</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22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50.4%</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3" w:name="page34"/>
    <w:bookmarkEnd w:id="33"/>
    <w:p>
      <w:pPr>
        <w:jc w:val="both"/>
        <w:ind w:firstLine="50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decreased 8.4%, or $3.5 million, for the first nine months of fiscal 2019 versus the first nine months of fiscal 2018.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Product revenue was primarily the result of the timing of delivery of our turnkey projects, partially offset by higher sales through our distribution and reseller channels. Service revenue increased 47.6%, or $1.6 million, primarily due to the timing of project installations. Total revenue decreased by 4.3%, or $1.9 million, primarily due to the items discussed above. Excluding the impact of the adoption of ASC 606, Product revenue decreased 4.8%, or $2.0 million, Service revenue decreased 29.9%, or $1.0 million, and Total revenue decreased by 6.6%, or $3.0 million, compared to the first nine months of fiscal 2018.</w:t>
      </w:r>
    </w:p>
    <w:p>
      <w:pPr>
        <w:spacing w:after="0" w:line="129" w:lineRule="exact"/>
        <w:rPr>
          <w:sz w:val="20"/>
          <w:szCs w:val="20"/>
          <w:color w:val="auto"/>
        </w:rPr>
      </w:pPr>
    </w:p>
    <w:p>
      <w:pPr>
        <w:jc w:val="both"/>
        <w:ind w:firstLine="50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Cost of product revenue decreased 3.2%, or $1.0 million, in the first nine months of fiscal 2019 versus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of fiscal 2018 primarily due to the decrease in sales. Cost of service revenue increased 10.4%, or $0.3 million, in the first nine months of fiscal 2019 versus the first nine months of fiscal 2018, primarily due to the increase in service revenue on timing of delivery of our turnkey projects. Gross margin decreased to 23.5% of revenue in the first nine months of fiscal 2019 from 25.3% in the first nine months of 2018, primarily reflecting the impact of fixed cost absorption on lower revenue. Excluding the impact of the adoption of ASC 606, gross margin in the first nine months of fiscal 2019 was 25.5%.</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32.4%, or $3.7 million, in the first nine months of fiscal 2019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nine months of fiscal 2018, primarily due to $1.8 million in employee separation costs incurred in fiscal 2018 which did not recur in fiscal 2019, as well as reduced employee costs, legal expense, and consulting expense as a result of our cost reduction plan.</w:t>
      </w:r>
    </w:p>
    <w:p>
      <w:pPr>
        <w:spacing w:after="0" w:line="120"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25.3%, or $2.3 million, in the first nine months of fiscal 2019 compared to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fiscal 2018. Excluding the impact of the adoption of ASC 606, Sales and marketing expenses decreased 15.3%, or $1.4 million, in the first nine months of fiscal 2019 compared to the prior year period. The decrease year over year was primarily due to reduced employee costs due to the impact of our cost reduction plan, and lower travel and entertainment and marketing expenses.</w:t>
      </w:r>
    </w:p>
    <w:p>
      <w:pPr>
        <w:spacing w:after="0" w:line="126" w:lineRule="exact"/>
        <w:rPr>
          <w:sz w:val="20"/>
          <w:szCs w:val="20"/>
          <w:color w:val="auto"/>
        </w:rPr>
      </w:pPr>
    </w:p>
    <w:p>
      <w:pPr>
        <w:jc w:val="both"/>
        <w:ind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by 30.4%, or $0.5 million, in the first nine months of fiscal 2019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first nine months of fiscal 2018 primarily due to lower employee costs as a result of our cost reduction plan, as well as a decrease in testing costs based on timing of new product rollouts.</w:t>
      </w:r>
    </w:p>
    <w:p>
      <w:pPr>
        <w:spacing w:after="0" w:line="120"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in the first nine months of fiscal 2019 primarily represented product royalties received from licensing agreements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the first nine months of fiscal 2019 increased by 48.9%, or $0.1 million, from the first nine months of fiscal 2018.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expense was due to increased third-party financing costs related to the sale of receivables.</w:t>
      </w:r>
    </w:p>
    <w:p>
      <w:pPr>
        <w:spacing w:after="0" w:line="151"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debt issue costs</w:t>
      </w:r>
      <w:r>
        <w:rPr>
          <w:rFonts w:ascii="Times New Roman" w:cs="Times New Roman" w:eastAsia="Times New Roman" w:hAnsi="Times New Roman"/>
          <w:sz w:val="18"/>
          <w:szCs w:val="18"/>
          <w:color w:val="auto"/>
        </w:rPr>
        <w:t>. Amortization of debt issue costs in the first nine months of fiscal 2019 decreased by 62.7%, or $0.1 million,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fiscal 2018. The decrease in amortization of debt issue costs is due to the execution of the new revolving credit facility.</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 the first nine months of fiscal 2019 remained relatively flat compared to the first nine months of fiscal 2018.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relates to interest earned on sweep bank accounts.</w:t>
      </w:r>
    </w:p>
    <w:p>
      <w:pPr>
        <w:spacing w:after="0" w:line="151"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of $26,000 in the first nine months of 2019 primarily reflected state tax liabilities. Our income tax expense is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minimum state tax liabilities.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Orion Engineered Systems Division</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OES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 Ended December 31,</w:t>
            </w: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00" w:type="dxa"/>
            <w:vAlign w:val="bottom"/>
            <w:tcBorders>
              <w:bottom w:val="single" w:sz="8" w:color="CFF0FC"/>
            </w:tcBorders>
          </w:tcPr>
          <w:p>
            <w:pPr>
              <w:spacing w:after="0"/>
              <w:rPr>
                <w:sz w:val="15"/>
                <w:szCs w:val="15"/>
                <w:color w:val="auto"/>
              </w:rPr>
            </w:pPr>
          </w:p>
        </w:tc>
        <w:tc>
          <w:tcPr>
            <w:tcW w:w="2600" w:type="dxa"/>
            <w:vAlign w:val="bottom"/>
            <w:tcBorders>
              <w:bottom w:val="single" w:sz="8" w:color="CFF0FC"/>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15,168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w:t>
            </w:r>
          </w:p>
        </w:tc>
        <w:tc>
          <w:tcPr>
            <w:tcW w:w="88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(2,891)</w:t>
            </w:r>
          </w:p>
        </w:tc>
        <w:tc>
          <w:tcPr>
            <w:tcW w:w="3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501"/>
        <w:spacing w:after="0" w:line="282" w:lineRule="auto"/>
        <w:rPr>
          <w:sz w:val="20"/>
          <w:szCs w:val="20"/>
          <w:color w:val="auto"/>
        </w:rPr>
      </w:pPr>
      <w:r>
        <w:rPr>
          <w:rFonts w:ascii="Times New Roman" w:cs="Times New Roman" w:eastAsia="Times New Roman" w:hAnsi="Times New Roman"/>
          <w:sz w:val="18"/>
          <w:szCs w:val="18"/>
          <w:color w:val="auto"/>
        </w:rPr>
        <w:t>OES revenue decreased in the first nine months of fiscal 2019 by 19.6%, or $3.7 million, compared to the first nine months of fiscal 2018 primarily as a result of the timing of delivery of our turnkey projects.</w:t>
      </w:r>
    </w:p>
    <w:p>
      <w:pPr>
        <w:spacing w:after="0" w:line="108" w:lineRule="exact"/>
        <w:rPr>
          <w:sz w:val="20"/>
          <w:szCs w:val="20"/>
          <w:color w:val="auto"/>
        </w:rPr>
      </w:pPr>
    </w:p>
    <w:p>
      <w:pPr>
        <w:jc w:val="both"/>
        <w:ind w:right="20" w:firstLine="501"/>
        <w:spacing w:after="0" w:line="266" w:lineRule="auto"/>
        <w:rPr>
          <w:sz w:val="20"/>
          <w:szCs w:val="20"/>
          <w:color w:val="auto"/>
        </w:rPr>
      </w:pPr>
      <w:r>
        <w:rPr>
          <w:rFonts w:ascii="Times New Roman" w:cs="Times New Roman" w:eastAsia="Times New Roman" w:hAnsi="Times New Roman"/>
          <w:sz w:val="18"/>
          <w:szCs w:val="18"/>
          <w:color w:val="auto"/>
        </w:rPr>
        <w:t>OES segment operating loss in the first nine months of fiscal 2019 was ($1.9 million), an improvement of $0.9 million from the first nine months of fiscal 2018. The improvement in the segment’s operating loss was the result of the benefit of lower corporate allocated costs due to the impact of cost reduction initiatives, as well as a non-recurring asset impairment charge of $0.5 million in the third quarter of fiscal 2018.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75" w:lineRule="exact"/>
        <w:rPr>
          <w:sz w:val="20"/>
          <w:szCs w:val="20"/>
          <w:color w:val="auto"/>
        </w:rPr>
      </w:pPr>
    </w:p>
    <w:p>
      <w:pPr>
        <w:jc w:val="both"/>
        <w:ind w:right="40" w:firstLine="501"/>
        <w:spacing w:after="0" w:line="282" w:lineRule="auto"/>
        <w:rPr>
          <w:sz w:val="20"/>
          <w:szCs w:val="20"/>
          <w:color w:val="auto"/>
        </w:rPr>
      </w:pPr>
      <w:r>
        <w:rPr>
          <w:rFonts w:ascii="Times New Roman" w:cs="Times New Roman" w:eastAsia="Times New Roman" w:hAnsi="Times New Roman"/>
          <w:sz w:val="18"/>
          <w:szCs w:val="18"/>
          <w:color w:val="auto"/>
        </w:rPr>
        <w:t>The ODS segment focuses on selling lighting products through manufacturer representative agencies and a network of broadline North American distributors.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ODS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For the Nine Months Ended December 31,</w:t>
            </w: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00" w:type="dxa"/>
            <w:vAlign w:val="bottom"/>
            <w:tcBorders>
              <w:bottom w:val="single" w:sz="8" w:color="CFF0FC"/>
            </w:tcBorders>
          </w:tcPr>
          <w:p>
            <w:pPr>
              <w:spacing w:after="0"/>
              <w:rPr>
                <w:sz w:val="15"/>
                <w:szCs w:val="15"/>
                <w:color w:val="auto"/>
              </w:rPr>
            </w:pPr>
          </w:p>
        </w:tc>
        <w:tc>
          <w:tcPr>
            <w:tcW w:w="2600" w:type="dxa"/>
            <w:vAlign w:val="bottom"/>
            <w:tcBorders>
              <w:bottom w:val="single" w:sz="8" w:color="CFF0FC"/>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20,202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19,998</w:t>
            </w: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(564)</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ODS segment revenue increased in the nine months of fiscal 2019 by 1.0%, or $0.2 million, compared to the first nine months of fiscal 2018, primarily due to an increase in sales volume through our distribution channel.</w:t>
      </w:r>
    </w:p>
    <w:p>
      <w:pPr>
        <w:spacing w:after="0" w:line="10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ODS segment operating loss in the first nine months of fiscal 2019 was ($1.1 million), an increase in the operating loss of ($0.5 million) in the first nine months of fiscal 2018, primarily due to higher allocated corporate costs compared to the prior year and an increase in selling expenses on higher sales.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The USM segment sells commercial lighting systems and energy management systems to the wholesale contractor markets. USM customers include ESCOs and electrical contractors.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USM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 Ended December 31,</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29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CFF0FC"/>
            </w:tcBorders>
          </w:tcPr>
          <w:p>
            <w:pPr>
              <w:spacing w:after="0"/>
              <w:rPr>
                <w:sz w:val="15"/>
                <w:szCs w:val="15"/>
                <w:color w:val="auto"/>
              </w:rPr>
            </w:pPr>
          </w:p>
        </w:tc>
        <w:tc>
          <w:tcPr>
            <w:tcW w:w="290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9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74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19"/>
                <w:szCs w:val="19"/>
                <w:color w:val="auto"/>
              </w:rPr>
            </w:pPr>
          </w:p>
        </w:tc>
        <w:tc>
          <w:tcPr>
            <w:tcW w:w="90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(2,970)</w:t>
            </w:r>
          </w:p>
        </w:tc>
        <w:tc>
          <w:tcPr>
            <w:tcW w:w="3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680" w:type="dxa"/>
            <w:vAlign w:val="bottom"/>
          </w:tcPr>
          <w:p>
            <w:pPr>
              <w:spacing w:after="0"/>
              <w:rPr>
                <w:sz w:val="24"/>
                <w:szCs w:val="24"/>
                <w:color w:val="auto"/>
              </w:rPr>
            </w:pPr>
          </w:p>
        </w:tc>
        <w:tc>
          <w:tcPr>
            <w:tcW w:w="2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35" w:name="page36"/>
    <w:bookmarkEnd w:id="35"/>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USM segment revenue increased from the first nine months of fiscal 2018 by 24.3%, or $1.6 million. The increase in revenue during the first nine months of fiscal 2019 compared to the first nine months of fiscal 2018 was primarily due to an increase in sales volume as a result of our reengagement in the sales channel.</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USM segment operating income for the first nine months of fiscal 2019 was $0.8 million, an improvement of $3.8 million over the operating loss in the first nine months of fiscal 2018. The improvement was primarily due to better operating leverage on lower allocated corporate costs, as well as a non-recurring asset impairment charge of $0.2 million in the first nine months of fiscal 2018.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had approximately $6.6 million in cash and cash equivalents as of December 31, 2018, compared to $9.4 million at March 31, 2018. Our cash position decreased primarily as a result of our net loss, offset by continued progress on managing working capital and the net repayment of $0.6 million on our new and prior revolving credit facility.</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During the second quarter, we listed our corporate office location in Manitowoc, Wisconsin for sale or lease to increase liquidity from divesting a non-core asset. Because of the uncertainty of a sale of our building in the next twelve months, the building continues to be classified as held and used as of December 31, 2018.</w:t>
      </w:r>
    </w:p>
    <w:p>
      <w:pPr>
        <w:spacing w:after="0" w:line="122"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higher working capital costs when we increase sales from existing levels. Based on our current expectations, while we anticipate realizing improved operating results in the future, we also currently believe that we may experience negative working capital cash flows during some interim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December 31, 2018 and 2017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20" w:type="dxa"/>
            <w:vAlign w:val="bottom"/>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4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5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(3,142)</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5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0"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provided by or used in operating activities primarily consisted of a net loss adjusted for certain non-cash items, including depreciation, amortization of intangible assets, stock-based compensation, amortization of debt issue costs, provisions for reserves, and the effect of changes in working capital and other activities.</w:t>
      </w:r>
    </w:p>
    <w:p>
      <w:pPr>
        <w:spacing w:after="0" w:line="122"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first nine months of fiscal 2019 was ($1.6 million) and consisted of a net loss adjusted for non-cash expense items of ($3.8 million) and net cash provided by changes in operating assets and liabilities of $2.2 million. Cash used by changes in operating assets and liabilities consisted primarily of a decrease of $0.7 million in Revenue earned but not billed due to timing on revenue recognition compared to invoicing, and an increase in Inventory of $0.4 million on anticipated fourth quarter sales. Cash provided by changes in operating assets and liabilities consisted primarily of a decrease of $2.9 million in Accounts receivable due to lower sales and the timing of customer collections, and an increase of $0.6 million in Accounts payable based on timing of payments.</w:t>
      </w:r>
    </w:p>
    <w:p>
      <w:pPr>
        <w:spacing w:after="0" w:line="134"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first nine months of fiscal 2018 was ($3.1 million) and consisted of a net loss adjusted for non-cash expense items of ($7.8 million) and net cash provided by changes in operating assets and liabilities of $4.7 million. Cash used by changes in operating assets and liabilities consisted of a decrease of $0.8 million in accrued expenses and other primarily due to the timing of payment of commissions and lower accrued bonuses in the current fiscal year, a decrease of $0.3 million in deferred revenue due to the timing of project completion and a decrease of $0.2 million in deferred contract costs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due to the timing of project completions. Cash provided by changes in operating assets and liabilities included a decrease of $0.5 million in accounts receivable due to the decline in sales and the timing of customer collections, a decrease in inventory of $4.1 million as a result of increased focus on inventory management in consideration of the lower sales volume, a decrease of $1.3 million in prepaid and other assets primarily due to the timing of project billings, and a negligible decrease in accounts payable.</w:t>
      </w:r>
    </w:p>
    <w:p>
      <w:pPr>
        <w:spacing w:after="0" w:line="12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Cash Flows Related to Investing Activities</w:t>
      </w:r>
      <w:r>
        <w:rPr>
          <w:rFonts w:ascii="Times New Roman" w:cs="Times New Roman" w:eastAsia="Times New Roman" w:hAnsi="Times New Roman"/>
          <w:sz w:val="18"/>
          <w:szCs w:val="18"/>
          <w:color w:val="auto"/>
        </w:rPr>
        <w:t>. Cash used in investing activities of ($0.2 million) in the first nine months of fiscal 2019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Property and equipment and additions to patents and licenses.</w:t>
      </w:r>
    </w:p>
    <w:p>
      <w:pPr>
        <w:spacing w:after="0" w:line="106"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Cash used by investing activities was ($0.5 million) in the first nine months of fiscal 2018 which consisted of purchases of property and equipment and additions to patents and licenses.</w:t>
      </w:r>
    </w:p>
    <w:p>
      <w:pPr>
        <w:spacing w:after="0" w:line="106" w:lineRule="exact"/>
        <w:rPr>
          <w:sz w:val="20"/>
          <w:szCs w:val="20"/>
          <w:color w:val="auto"/>
        </w:rPr>
      </w:pPr>
    </w:p>
    <w:p>
      <w:pPr>
        <w:jc w:val="both"/>
        <w:ind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used in financing activities was ($1.0 million) for the first nine months of fiscal 2019. This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consisted primarily of net repayments of ($0.6 million) of our new and prior revolving credit facility and deferred financing costs associated with our New Credit Agreement (defined below) of ($0.4 million).</w:t>
      </w:r>
    </w:p>
    <w:p>
      <w:pPr>
        <w:spacing w:after="0" w:line="122"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($3.1 million) for the first nine months of fiscal 2018 was due primarily to the net repayment of our prior revolving credit facility.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ind w:firstLine="501"/>
        <w:spacing w:after="0" w:line="253" w:lineRule="auto"/>
        <w:rPr>
          <w:sz w:val="20"/>
          <w:szCs w:val="20"/>
          <w:color w:val="auto"/>
        </w:rPr>
      </w:pPr>
      <w:r>
        <w:rPr>
          <w:rFonts w:ascii="Times New Roman" w:cs="Times New Roman" w:eastAsia="Times New Roman" w:hAnsi="Times New Roman"/>
          <w:sz w:val="18"/>
          <w:szCs w:val="18"/>
          <w:color w:val="auto"/>
        </w:rPr>
        <w:t>Our net working capital as of December 31, 2018 was $8.6 million, consisting of $25.5 million in current assets and $16.9 million in current liabilities. Our net working capital as of March 31, 2018 was $13.0 million, consisting of $29.4 million in current assets and $16.4 in current liabilities. Our current Accounts receivable, net balance decreased by $2.6 million from the fiscal 2018 year-end primarily due to lower sales and the timing of customer collections. Our Revenue earned but not billed balance increased $3.1 million from the fiscal 2018 year-end; the change in the account included reclassifications of $2.4 million as of April 1, 2018 which were recorded in conjunction with the adoption of ASC 606. Our Prepaid expenses and other current assets decreased $1.8 million primarily due to the reclassification of Revenue earned not billed of $1.9 million to its own balance sheet line item in conjunction with the adoption of ASC 606. Our Inventories, net increased from the fiscal 2018 year-end by $1.2 million due to reclassifications of $0.7 million as of April 1, 2018 in conjunction with the adoption of ASC 606 and an increase in inventory of $0.5 million due primarily to anticipated fourth quarter sales. Our Deferred contract costs decreased $1.0 million from the fiscal 2018 year-end due to the adoption of ASC 606 and reclassification of these costs to either equity or inventory as part of the transition adjustment on April 1, 2018. Deferred costs is not used subsequent to the adoption of ASC 606. Our Accounts payable decreased $0.3 million due to reclassifications of $0.9 million of April 1, 2018 in conjunction with the adoption of ASC 606, offset by the timing of purchases during the quarter. Our Accrued expenses increased from our fiscal 2018 year-end by $1.1 million due to reclassifications of $1.3 million as of April 1, 2018 in conjunction with the adoption of ASC 606 offset by payments for commissions and other expenses.</w:t>
      </w:r>
    </w:p>
    <w:p>
      <w:pPr>
        <w:spacing w:after="0" w:line="13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On October 26, 2018, we entered into a new secured revolving Business Financing Agreement with Western Alliance Bank, as lender (the “New Credit Agreement”). The New Credit Agreement replaced our existing Credit Agreement.</w:t>
      </w:r>
    </w:p>
    <w:p>
      <w:pPr>
        <w:spacing w:after="0" w:line="108"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New Credit Agreement provides for a two-year revolving credit facility (the “New Credit Facility”) that matures on October 26, 2020. Borrowings under the New Credit Facility are initially limited to $20.15 million subject to a borrowing base requirement based on eligible receivables and inventory. The New Credit Agreement includes a $2.0 million sublimit for the issuance of letters of credit. As of December 31, 2018, our borrowing base was $4.4 million, and we had $3.3 million in borrowings outstanding which were included in non-current liabilities in the accompanying Condensed Consolidated Balance Sheets. As of December 31, 2018, we had no outstanding letters of credit leaving additional borrowing availability of $1.1 million.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7" w:name="page38"/>
    <w:bookmarkEnd w:id="37"/>
    <w:p>
      <w:pPr>
        <w:ind w:left="500"/>
        <w:spacing w:after="0"/>
        <w:rPr>
          <w:sz w:val="20"/>
          <w:szCs w:val="20"/>
          <w:color w:val="auto"/>
        </w:rPr>
      </w:pPr>
      <w:r>
        <w:rPr>
          <w:rFonts w:ascii="Times New Roman" w:cs="Times New Roman" w:eastAsia="Times New Roman" w:hAnsi="Times New Roman"/>
          <w:sz w:val="18"/>
          <w:szCs w:val="18"/>
          <w:color w:val="auto"/>
        </w:rPr>
        <w:t>The New Credit Agreement is secured by a security interest in substantially all of our and our subsidiaries’ personal property.</w:t>
      </w:r>
    </w:p>
    <w:p>
      <w:pPr>
        <w:spacing w:after="0" w:line="171"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Borrowings under the New Credit Agreement generally bear interest at floating rates based upon the prime rate (but not be less than 5.00% per year) plus an applicable margin determined by reference to our quick ratio (defined as the aggregate amount of unrestricted cash, unrestricted marketable securities and, with certain adjustments, receivables convertible into cash divided by the total current liabilities, including the obligations under the New Credit Agreement). As of December 31, 2018, the interest rate was 6.0%. Among other fees, we are required to pay an annual facility fee equal to 0.45% of the credit limit under the New Credit Agreement due on October 26, 2018 and on each anniversary thereof. With certain exceptions, if the New Credit Agreement is terminated prior to the first anniversary of the closing date of the New Credit Agreement, we are required to pay a termination fee equal to 0.50% of the credit limit under the New Credit Agreement.</w:t>
      </w:r>
    </w:p>
    <w:p>
      <w:pPr>
        <w:spacing w:after="0" w:line="13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The New Credit Agreement requires us to maintain nine months’ of “RML” as of the end of each month. For purposes of the New Credit Agreement, RML is defined as, as of the applicable determination date, unrestricted cash on deposit with Western Alliance Bank plus availability under the New Credit Agreement divided by an amount equal to, for the applicable trailing three-month period, consolidated net profit before tax, plus depreciation expense, amortization expense and stock-based compensation, minus capital lease principal payments, tested as of the end of each month.</w:t>
      </w:r>
    </w:p>
    <w:p>
      <w:pPr>
        <w:spacing w:after="0" w:line="126"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The New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New Credit Agreement occurs and is continuing, then Western Alliance Bank may cease making advances under the New Credit Agreement and declare any outstanding obligations under the New Credit Agreement to be immediately due and payable. In addition, we become the subject of voluntary or involuntary proceedings under any bankruptcy or similar law, then any outstanding obligations under the New Credit Agreement will automatically become immediately due and payable.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Spending</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for general corporate purposes for our corporate headquarters and technology center, production equipment and tooling and for information technology systems. Our capital expenditures totaled $0.2 million and $0.5 million for the nine-month periods ended December 31, 2018 and 2017, respectively. We plan to incur approximately $0.3 million in capital expenditures in fiscal 2019. We expect to finance these capital expenditures primarily through our existing cash, equipment-secured loans and leases, to the extent needed, long-term debt financing, or by using our available capacity under our New Credit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orders. Backlog totaled $5.1 million and $3.3 million as of December 31, 2018 and March 31, 2018, respectively. We generally expect our backlog to be recognized as revenue within one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2018. For the three months ended December 31, 2018, there were no material changes in our accounting policies.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For a complete discussion of recent accounting pronouncements, refer to Note 2 in the Condensed Consolidated Financial Statements included elsewhere in this report.</w:t>
      </w:r>
    </w:p>
    <w:p>
      <w:pPr>
        <w:spacing w:after="0" w:line="18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Our exposure to market risk was discussed in the “Quantitative and Qualitative Disclosures About Market Risk” section contained in our Annual Report on Form 10-K for the year ended March 31, 2018. There have been no material changes to such exposures since March 31, 2018.</w:t>
      </w:r>
    </w:p>
    <w:p>
      <w:pPr>
        <w:spacing w:after="0" w:line="18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on Internal Control over Financial Reporting</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0" w:lineRule="exact"/>
        <w:rPr>
          <w:sz w:val="20"/>
          <w:szCs w:val="20"/>
          <w:color w:val="auto"/>
        </w:rPr>
      </w:pPr>
    </w:p>
    <w:p>
      <w:pPr>
        <w:ind w:left="800" w:hanging="400"/>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ind w:left="800" w:hanging="400"/>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ind w:left="800" w:hanging="400"/>
        <w:spacing w:after="0" w:line="261"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2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As previously disclosed under "Item 9A. Controls and Procedures" in our Annual Report on Form 10-K for our fiscal year ended March 31, 2018, we identified the following material weaknesses that existed as of March 31, 2018 and continued to exist at December 31, 2018. A material weakness is a control deficiency or a combination of control deficiencies that results in more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than a remote likelihood that a material misstatement of the annual or interim financial statements will not be prevented or detected.</w:t>
      </w:r>
    </w:p>
    <w:p>
      <w:pPr>
        <w:spacing w:after="0" w:line="167" w:lineRule="exact"/>
        <w:rPr>
          <w:sz w:val="20"/>
          <w:szCs w:val="20"/>
          <w:color w:val="auto"/>
        </w:rPr>
      </w:pPr>
    </w:p>
    <w:p>
      <w:pPr>
        <w:jc w:val="both"/>
        <w:ind w:left="800" w:hanging="400"/>
        <w:spacing w:after="0" w:line="255"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&amp; Communication. </w:t>
      </w:r>
      <w:r>
        <w:rPr>
          <w:rFonts w:ascii="Times New Roman" w:cs="Times New Roman" w:eastAsia="Times New Roman" w:hAnsi="Times New Roman"/>
          <w:sz w:val="18"/>
          <w:szCs w:val="18"/>
          <w:color w:val="auto"/>
        </w:rPr>
        <w:t>We determined that our controls pertaining to information and communication did not operate effectively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2018, resulting in a material weakness pertaining to these COSO components. Specifically, we did not have sufficient communication of the status and evolution of a project to ensure timely and accurate recognition of project costs. In addition, we did not have sufficient communication and resolution of matters identified through management’s review impacting the accounting close as noted in the Control Activities discussion below.</w:t>
      </w:r>
    </w:p>
    <w:p>
      <w:pPr>
        <w:spacing w:after="0" w:line="3" w:lineRule="exact"/>
        <w:rPr>
          <w:rFonts w:ascii="Times New Roman" w:cs="Times New Roman" w:eastAsia="Times New Roman" w:hAnsi="Times New Roman"/>
          <w:sz w:val="18"/>
          <w:szCs w:val="18"/>
          <w:color w:val="auto"/>
        </w:rPr>
      </w:pPr>
    </w:p>
    <w:p>
      <w:pPr>
        <w:jc w:val="both"/>
        <w:ind w:left="800" w:hanging="400"/>
        <w:spacing w:after="0" w:line="254"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Control Activities - Accounting Close. </w:t>
      </w:r>
      <w:r>
        <w:rPr>
          <w:rFonts w:ascii="Times New Roman" w:cs="Times New Roman" w:eastAsia="Times New Roman" w:hAnsi="Times New Roman"/>
          <w:sz w:val="18"/>
          <w:szCs w:val="18"/>
          <w:color w:val="auto"/>
        </w:rPr>
        <w:t>The operating effectiveness of our controls as of March 31, 2018 were inadequate related to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controls over the accounting close process and forecasts used to support certain fair value estimates. Specifically, we did not have an accurate forecast that impacted our assessment of triggering events and potential impairment. In addition, matters identified through management review controls were not brought to a timely resolution.</w:t>
      </w:r>
    </w:p>
    <w:p>
      <w:pPr>
        <w:spacing w:after="0" w:line="13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Because of the material weaknesses described above, in consultation with management, our Chief Executive Officer and Chief Financial Officer have concluded that we did not maintain effective internal control over financial reporting and our disclosure controls and procedures were not effective as of March 31, 2018 and December 31, 2018, based on the criteria in Internal Control - Integrated Framework (2013) issued by COSO.</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For the year ended March 31, 2018 and the subsequent interim period, we enhanced our closing procedures to ensure that, in all material respects, our financial statements are presented in conformity with GAAP and free of material misstatement as of and for the periods ended March 31, 2018 and December 31, 2018.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Plans for Remediation of Material Weaknesses</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Our board, audit and finance committee and management have identified additional resources to assist in the remediation effort with respect to our above mentioned material weakness and are developing and implementing new processes, procedures and internal controls to remediate the material weakness that existed in our internal control over financial reporting as it related to project cost accounting, the accounting close and forecasting processes, and our disclosure controls and procedures, as of March 31, 2018 and December 31, 2018.</w:t>
      </w:r>
    </w:p>
    <w:p>
      <w:pPr>
        <w:spacing w:after="0" w:line="12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have developed a remediation plan (the “Remediation Plan”) to address the material weakness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22" w:lineRule="exact"/>
        <w:rPr>
          <w:sz w:val="20"/>
          <w:szCs w:val="20"/>
          <w:color w:val="auto"/>
        </w:rPr>
      </w:pPr>
    </w:p>
    <w:p>
      <w:pPr>
        <w:ind w:left="800" w:hanging="400"/>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thorough understanding of the current state, process owners, and procedural or technological gaps causing the deficiency.</w:t>
      </w:r>
    </w:p>
    <w:p>
      <w:pPr>
        <w:spacing w:after="0" w:line="27" w:lineRule="exact"/>
        <w:rPr>
          <w:rFonts w:ascii="Times New Roman" w:cs="Times New Roman" w:eastAsia="Times New Roman" w:hAnsi="Times New Roman"/>
          <w:sz w:val="18"/>
          <w:szCs w:val="18"/>
          <w:color w:val="auto"/>
        </w:rPr>
      </w:pPr>
    </w:p>
    <w:p>
      <w:pPr>
        <w:ind w:left="800" w:hanging="400"/>
        <w:spacing w:after="0" w:line="25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 remediation action for the forecasting process, to ensure supportable and accurate forecast data are gathered, analyzed and reviewed on a timely basis.</w:t>
      </w:r>
    </w:p>
    <w:p>
      <w:pPr>
        <w:ind w:left="800" w:hanging="400"/>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specific remediation actions: train process owners, allow time for process adoption and adequate transaction volume for next steps.</w:t>
      </w:r>
    </w:p>
    <w:p>
      <w:pPr>
        <w:spacing w:after="0" w:line="9" w:lineRule="exact"/>
        <w:rPr>
          <w:rFonts w:ascii="Times New Roman" w:cs="Times New Roman" w:eastAsia="Times New Roman" w:hAnsi="Times New Roman"/>
          <w:sz w:val="18"/>
          <w:szCs w:val="18"/>
          <w:color w:val="auto"/>
        </w:rPr>
      </w:pPr>
    </w:p>
    <w:p>
      <w:pPr>
        <w:ind w:left="800" w:hanging="400"/>
        <w:spacing w:after="0" w:line="25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and measure the design and effectiveness of the remediation actions: test and provide feedback on the design and operating effectiveness of the controls.</w:t>
      </w:r>
    </w:p>
    <w:p>
      <w:pPr>
        <w:ind w:left="800" w:hanging="400"/>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review and acceptance of completion of the remediation efforts by management and the audit and finance committee.</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taken or are in the process of taking the following steps toward completion of our Remediation Plan:</w:t>
      </w:r>
    </w:p>
    <w:p>
      <w:pPr>
        <w:spacing w:after="0" w:line="171" w:lineRule="exact"/>
        <w:rPr>
          <w:sz w:val="20"/>
          <w:szCs w:val="20"/>
          <w:color w:val="auto"/>
        </w:rPr>
      </w:pPr>
    </w:p>
    <w:p>
      <w:pPr>
        <w:ind w:left="800" w:hanging="4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forecast review process performed by the accounting department to confirm accuracy, completeness and reliability of forecast data.</w:t>
      </w:r>
    </w:p>
    <w:p>
      <w:pPr>
        <w:spacing w:after="0" w:line="27" w:lineRule="exact"/>
        <w:rPr>
          <w:rFonts w:ascii="Times New Roman" w:cs="Times New Roman" w:eastAsia="Times New Roman" w:hAnsi="Times New Roman"/>
          <w:sz w:val="18"/>
          <w:szCs w:val="18"/>
          <w:color w:val="auto"/>
        </w:rPr>
      </w:pPr>
    </w:p>
    <w:p>
      <w:pPr>
        <w:ind w:left="800" w:hanging="400"/>
        <w:spacing w:after="0" w:line="261"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the process to evaluate potential triggering events and impairment, including a more formal review of our forecasts and enhanced documentation of our analysis and conclusions.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0" w:name="page41"/>
    <w:bookmarkEnd w:id="40"/>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procedures and controls for project cost accounting, including enhanced communication and tracking of project costs.</w:t>
      </w:r>
    </w:p>
    <w:p>
      <w:pPr>
        <w:spacing w:after="0" w:line="27" w:lineRule="exact"/>
        <w:rPr>
          <w:rFonts w:ascii="Times New Roman" w:cs="Times New Roman" w:eastAsia="Times New Roman" w:hAnsi="Times New Roman"/>
          <w:sz w:val="18"/>
          <w:szCs w:val="18"/>
          <w:color w:val="auto"/>
        </w:rPr>
      </w:pPr>
    </w:p>
    <w:p>
      <w:pPr>
        <w:ind w:left="800" w:hanging="400"/>
        <w:spacing w:after="0" w:line="250"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controls related to inventory valuation, accounting close, tax, revenue and project cost accounting, although additional testing is required to confirm operating effectiveness.</w:t>
      </w: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management review controls and the timeliness of execution as they pertain to the accounting close.</w:t>
      </w:r>
    </w:p>
    <w:p>
      <w:pPr>
        <w:spacing w:after="0" w:line="9"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policies and procedures for process and control changes and provided additional training to key personnel.</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Remediation Plan is being administered by our Chief Financial Officer and involves key leaders from across our organization.</w:t>
      </w:r>
    </w:p>
    <w:p>
      <w:pPr>
        <w:spacing w:after="0" w:line="171"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Effective April 1, 2018, we adopted Topic 606, “Revenue from Contracts with Customers” ("ASC 606"), using the modified retrospective approach. Although the adoption of this standard did not have a significant impact on our financial results, we have implemented changes to our controls related to revenue recognition. These changes include enhanced reviews around customer contracts, the evaluation of contracts based on the five-step revenue recognition model, and additional ongoing monitoring activities. These enhanced controls are designed to provide reasonable assurance of the fair presentation of our financial statements and related disclosures.</w:t>
      </w:r>
    </w:p>
    <w:p>
      <w:pPr>
        <w:spacing w:after="0" w:line="130"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2018, that have materially affected, or are reasonably likely to materially affect, our internal control over financial reporting, other than with respect to the implementation of our Remediation Plans, as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10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See Note 13, "Commitments and Contingencies - Litigation", to the Condensed Consolidated Financial Statements in Item 1 of this Quarterly Report on Form 10-Q.</w:t>
      </w:r>
    </w:p>
    <w:p>
      <w:pPr>
        <w:spacing w:after="0" w:line="19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2018, which we filed with the SEC on June 13, 2018 and in Part 1 - Item 2 under the heading "Management's Discussion and Analysis of Financial Condition and Results of Operations" in this Form 10-Q.</w:t>
      </w:r>
    </w:p>
    <w:p>
      <w:pPr>
        <w:spacing w:after="0" w:line="22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2" w:name="page43"/>
    <w:bookmarkEnd w:id="42"/>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Amendment No. 1 dated as of January 3, 2019 to Rights Agreement between Orion Energy Systems, Inc. and Equiniti Trust Company (as</w:t>
              </w:r>
            </w:hyperlink>
          </w:p>
        </w:tc>
        <w:tc>
          <w:tcPr>
            <w:tcW w:w="30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successor to Wells Fargo Bank, N.A.) [Incorporated by reference to Exhibit 4.1 to the Registrant’s Current Report on Form 8-K filed with the</w:t>
              </w:r>
            </w:hyperlink>
          </w:p>
        </w:tc>
        <w:tc>
          <w:tcPr>
            <w:tcW w:w="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Securities and Exchange Commission on January 3, 2019 (File No. 001-3887)]</w:t>
              </w:r>
            </w:hyperlink>
          </w:p>
        </w:tc>
      </w:tr>
      <w:tr>
        <w:trPr>
          <w:trHeight w:val="20"/>
        </w:trPr>
        <w:tc>
          <w:tcPr>
            <w:tcW w:w="112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Business Financing Agreement dated as of October 26, 2018 among Orion Energy Systems, Inc., Western Alliance Bank, as lender, and the</w:t>
              </w:r>
            </w:hyperlink>
          </w:p>
        </w:tc>
        <w:tc>
          <w:tcPr>
            <w:tcW w:w="18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subsidiary borrowers party thereto. [Incorporated by reference to Exhibit 10.1 to the Registrant's Current Report on Form 8-K filed with the</w:t>
              </w:r>
            </w:hyperlink>
          </w:p>
        </w:tc>
        <w:tc>
          <w:tcPr>
            <w:tcW w:w="10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Securities and Exchange Commission on October 30, 2018 (File No. 001-3887)]</w:t>
              </w:r>
            </w:hyperlink>
          </w:p>
        </w:tc>
        <w:tc>
          <w:tcPr>
            <w:tcW w:w="4420" w:type="dxa"/>
            <w:vAlign w:val="bottom"/>
            <w:gridSpan w:val="9"/>
          </w:tcPr>
          <w:p>
            <w:pPr>
              <w:spacing w:after="0"/>
              <w:rPr>
                <w:sz w:val="17"/>
                <w:szCs w:val="17"/>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Certification of Chief Executive Officer of Orion Energy Systems, Inc. pursuant to Rule 13a-14(a) or Rule 15d-14(a) promulgated under the</w:t>
              </w:r>
            </w:hyperlink>
          </w:p>
        </w:tc>
        <w:tc>
          <w:tcPr>
            <w:tcW w:w="12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2"/>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Securities Exchange Act of 1934, as amended.</w:t>
              </w:r>
            </w:hyperlink>
          </w:p>
        </w:tc>
      </w:tr>
      <w:tr>
        <w:trPr>
          <w:trHeight w:val="20"/>
        </w:trPr>
        <w:tc>
          <w:tcPr>
            <w:tcW w:w="112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1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Certification of Chief Financial Officer of Orion Energy Systems, Inc. pursuant to Rule 13a-14(a) or Rule 15d-14(a) promulgated under the</w:t>
              </w:r>
            </w:hyperlink>
          </w:p>
        </w:tc>
      </w:tr>
      <w:tr>
        <w:trPr>
          <w:trHeight w:val="196"/>
        </w:trPr>
        <w:tc>
          <w:tcPr>
            <w:tcW w:w="1120" w:type="dxa"/>
            <w:vAlign w:val="bottom"/>
          </w:tcPr>
          <w:p>
            <w:pPr>
              <w:spacing w:after="0"/>
              <w:rPr>
                <w:sz w:val="17"/>
                <w:szCs w:val="17"/>
                <w:color w:val="auto"/>
              </w:rPr>
            </w:pPr>
          </w:p>
        </w:tc>
        <w:tc>
          <w:tcPr>
            <w:tcW w:w="100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Securities Exchange Act of 1934, as amended.</w:t>
              </w:r>
            </w:hyperlink>
          </w:p>
        </w:tc>
        <w:tc>
          <w:tcPr>
            <w:tcW w:w="18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1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Certification of Chief Executive Officer of Orion Energy Systems, Inc. pursuant to Rule 13a-14(b) promulgated under the Securities</w:t>
              </w:r>
            </w:hyperlink>
          </w:p>
        </w:tc>
      </w:tr>
      <w:tr>
        <w:trPr>
          <w:trHeight w:val="20"/>
        </w:trPr>
        <w:tc>
          <w:tcPr>
            <w:tcW w:w="1120" w:type="dxa"/>
            <w:vAlign w:val="bottom"/>
          </w:tcPr>
          <w:p>
            <w:pPr>
              <w:spacing w:after="0" w:line="20" w:lineRule="exact"/>
              <w:rPr>
                <w:sz w:val="1"/>
                <w:szCs w:val="1"/>
                <w:color w:val="auto"/>
              </w:rPr>
            </w:pPr>
          </w:p>
        </w:tc>
        <w:tc>
          <w:tcPr>
            <w:tcW w:w="91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2"/>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Exchange Act of 1934, as amended, and 18 U.S.C. Section 1350, as adopted pursuant to Section 906 of the Sarbanes-Oxley Act of 2002.</w:t>
              </w:r>
            </w:hyperlink>
          </w:p>
        </w:tc>
      </w:tr>
      <w:tr>
        <w:trPr>
          <w:trHeight w:val="20"/>
        </w:trPr>
        <w:tc>
          <w:tcPr>
            <w:tcW w:w="1120" w:type="dxa"/>
            <w:vAlign w:val="bottom"/>
          </w:tcPr>
          <w:p>
            <w:pPr>
              <w:spacing w:after="0" w:line="20" w:lineRule="exact"/>
              <w:rPr>
                <w:sz w:val="1"/>
                <w:szCs w:val="1"/>
                <w:color w:val="auto"/>
              </w:rPr>
            </w:pPr>
          </w:p>
        </w:tc>
        <w:tc>
          <w:tcPr>
            <w:tcW w:w="910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Certification of Chief Financial Officer of Orion Energy Systems, Inc. pursuant to Rule 13a-14(b) promulgated under the Securities Exchange</w:t>
              </w:r>
            </w:hyperlink>
          </w:p>
        </w:tc>
      </w:tr>
      <w:tr>
        <w:trPr>
          <w:trHeight w:val="196"/>
        </w:trPr>
        <w:tc>
          <w:tcPr>
            <w:tcW w:w="1120" w:type="dxa"/>
            <w:vAlign w:val="bottom"/>
          </w:tcPr>
          <w:p>
            <w:pPr>
              <w:spacing w:after="0"/>
              <w:rPr>
                <w:sz w:val="17"/>
                <w:szCs w:val="17"/>
                <w:color w:val="auto"/>
              </w:rPr>
            </w:pPr>
          </w:p>
        </w:tc>
        <w:tc>
          <w:tcPr>
            <w:tcW w:w="9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Act of 1934, as amended, and 18 U.S.C. Section 1350, as adopted pursuant to Section 906 of the Sarbanes-Oxley Act of 2002.</w:t>
              </w:r>
            </w:hyperlink>
          </w:p>
        </w:tc>
        <w:tc>
          <w:tcPr>
            <w:tcW w:w="1120" w:type="dxa"/>
            <w:vAlign w:val="bottom"/>
            <w:gridSpan w:val="8"/>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bl>
    <w:p>
      <w:pPr>
        <w:spacing w:after="0" w:line="198"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20" w:firstLine="50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7, 2019.</w:t>
      </w:r>
    </w:p>
    <w:p>
      <w:pPr>
        <w:spacing w:after="0" w:line="1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Registrant</w:t>
      </w:r>
    </w:p>
    <w:p>
      <w:pPr>
        <w:spacing w:after="0" w:line="193" w:lineRule="exact"/>
        <w:rPr>
          <w:sz w:val="20"/>
          <w:szCs w:val="20"/>
          <w:color w:val="auto"/>
        </w:rPr>
      </w:pPr>
    </w:p>
    <w:tbl>
      <w:tblPr>
        <w:tblLayout w:type="fixed"/>
        <w:tblInd w:w="51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William T. Hull</w:t>
            </w:r>
          </w:p>
        </w:tc>
      </w:tr>
      <w:tr>
        <w:trPr>
          <w:trHeight w:val="191"/>
        </w:trPr>
        <w:tc>
          <w:tcPr>
            <w:tcW w:w="420" w:type="dxa"/>
            <w:vAlign w:val="bottom"/>
          </w:tcPr>
          <w:p>
            <w:pPr>
              <w:spacing w:after="0"/>
              <w:rPr>
                <w:sz w:val="16"/>
                <w:szCs w:val="16"/>
                <w:color w:val="auto"/>
              </w:rPr>
            </w:pPr>
          </w:p>
        </w:tc>
        <w:tc>
          <w:tcPr>
            <w:tcW w:w="58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William T. Hull</w:t>
            </w:r>
          </w:p>
        </w:tc>
      </w:tr>
      <w:tr>
        <w:trPr>
          <w:trHeight w:val="216"/>
        </w:trPr>
        <w:tc>
          <w:tcPr>
            <w:tcW w:w="4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0" w:type="dxa"/>
            <w:vAlign w:val="bottom"/>
          </w:tcPr>
          <w:p>
            <w:pPr>
              <w:spacing w:after="0"/>
              <w:rPr>
                <w:sz w:val="20"/>
                <w:szCs w:val="20"/>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tc>
      </w:tr>
      <w:tr>
        <w:trPr>
          <w:trHeight w:val="635"/>
        </w:trPr>
        <w:tc>
          <w:tcPr>
            <w:tcW w:w="42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r>
    </w:tbl>
    <w:p>
      <w:pPr>
        <w:sectPr>
          <w:pgSz w:w="11900" w:h="16838" w:orient="portrait"/>
          <w:cols w:equalWidth="0" w:num="1">
            <w:col w:w="11420"/>
          </w:cols>
          <w:pgMar w:left="240" w:top="333"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5" w:lineRule="exact"/>
        <w:rPr>
          <w:rFonts w:ascii="Times New Roman" w:cs="Times New Roman" w:eastAsia="Times New Roman" w:hAnsi="Times New Roman"/>
          <w:sz w:val="18"/>
          <w:szCs w:val="18"/>
          <w:color w:val="auto"/>
        </w:rPr>
      </w:pPr>
    </w:p>
    <w:p>
      <w:pPr>
        <w:jc w:val="both"/>
        <w:ind w:left="480" w:right="460" w:hanging="472"/>
        <w:spacing w:after="0" w:line="266"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80" w:right="440" w:hanging="472"/>
        <w:spacing w:after="0" w:line="282"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80" w:right="40" w:hanging="472"/>
        <w:spacing w:after="0" w:line="266"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60" w:right="260" w:hanging="479"/>
        <w:spacing w:after="0" w:line="266"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60" w:right="580" w:hanging="479"/>
        <w:spacing w:after="0" w:line="266"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60" w:right="740" w:hanging="479"/>
        <w:spacing w:after="0" w:line="313" w:lineRule="auto"/>
        <w:tabs>
          <w:tab w:leader="none" w:pos="9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60" w:right="240" w:hanging="479"/>
        <w:spacing w:after="0" w:line="266"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80" w:right="360" w:hanging="472"/>
        <w:spacing w:after="0" w:line="282"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160" w:hanging="479"/>
        <w:spacing w:after="0" w:line="282"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120" w:hanging="479"/>
        <w:spacing w:after="0" w:line="282"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2019</w:t>
      </w:r>
    </w:p>
    <w:p>
      <w:pPr>
        <w:spacing w:after="0" w:line="25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Michael W. Altschaefl</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T. Hull, certify that:</w:t>
      </w:r>
    </w:p>
    <w:p>
      <w:pPr>
        <w:spacing w:after="0" w:line="225"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5" w:lineRule="exact"/>
        <w:rPr>
          <w:rFonts w:ascii="Times New Roman" w:cs="Times New Roman" w:eastAsia="Times New Roman" w:hAnsi="Times New Roman"/>
          <w:sz w:val="18"/>
          <w:szCs w:val="18"/>
          <w:color w:val="auto"/>
        </w:rPr>
      </w:pPr>
    </w:p>
    <w:p>
      <w:pPr>
        <w:jc w:val="both"/>
        <w:ind w:left="480" w:right="460" w:hanging="472"/>
        <w:spacing w:after="0" w:line="266"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80" w:right="440" w:hanging="472"/>
        <w:spacing w:after="0" w:line="282"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80" w:right="40" w:hanging="472"/>
        <w:spacing w:after="0" w:line="266"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60" w:right="260" w:hanging="479"/>
        <w:spacing w:after="0" w:line="266"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60" w:right="580" w:hanging="479"/>
        <w:spacing w:after="0" w:line="266"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60" w:right="740" w:hanging="479"/>
        <w:spacing w:after="0" w:line="313" w:lineRule="auto"/>
        <w:tabs>
          <w:tab w:leader="none" w:pos="9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60" w:right="240" w:hanging="479"/>
        <w:spacing w:after="0" w:line="266"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80" w:right="360" w:hanging="472"/>
        <w:spacing w:after="0" w:line="282"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160" w:hanging="479"/>
        <w:spacing w:after="0" w:line="282"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120" w:hanging="479"/>
        <w:spacing w:after="0" w:line="282"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2019</w:t>
      </w:r>
    </w:p>
    <w:p>
      <w:pPr>
        <w:spacing w:after="0" w:line="25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William T. Hull</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December 31, 2018,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2" w:lineRule="exact"/>
        <w:rPr>
          <w:sz w:val="20"/>
          <w:szCs w:val="20"/>
          <w:color w:val="auto"/>
        </w:rPr>
      </w:pPr>
    </w:p>
    <w:p>
      <w:pPr>
        <w:ind w:left="960" w:hanging="47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Date: February 7, 2019</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Michael W. Altschaefl</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December 31, 2018,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68" w:lineRule="exact"/>
        <w:rPr>
          <w:sz w:val="20"/>
          <w:szCs w:val="20"/>
          <w:color w:val="auto"/>
        </w:rPr>
      </w:pPr>
    </w:p>
    <w:p>
      <w:pPr>
        <w:ind w:left="960" w:hanging="479"/>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Date: February 7, 2019</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William T. Hull</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9" Type="http://schemas.openxmlformats.org/officeDocument/2006/relationships/hyperlink" Target="http://www.sec.gov/Archives/edgar/data/0001409375/000119312519001606/d684103dex41.htm" TargetMode="External"/><Relationship Id="rId70" Type="http://schemas.openxmlformats.org/officeDocument/2006/relationships/hyperlink" Target="http://www.sec.gov/Archives/edgar/data/1409375/000119312518312168/d6455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2019-12-28T16:52:42Z</dcterms:created>
  <dcterms:modified xsi:type="dcterms:W3CDTF">2019-12-28T16:52:42Z</dcterms:modified>
</cp:coreProperties>
</file>