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90170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109855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7" w:lineRule="exact"/>
        <w:rPr>
          <w:sz w:val="24"/>
          <w:szCs w:val="24"/>
          <w:color w:val="auto"/>
        </w:rPr>
      </w:pPr>
    </w:p>
    <w:p>
      <w:pPr>
        <w:ind w:left="540" w:right="20" w:hanging="532"/>
        <w:spacing w:after="0" w:line="256"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hanging="532"/>
        <w:spacing w:after="0" w:line="256" w:lineRule="auto"/>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102870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99060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88"/>
              </w:rPr>
              <w:t>Wisconsin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right"/>
              <w:ind w:right="2244"/>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800" w:type="dxa"/>
            <w:vAlign w:val="bottom"/>
            <w:gridSpan w:val="3"/>
          </w:tcPr>
          <w:p>
            <w:pPr>
              <w:jc w:val="center"/>
              <w:ind w:left="6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94"/>
              </w:rPr>
              <w:t>incorporation or organization)</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0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23"/>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right"/>
              <w:ind w:right="2444"/>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190"/>
        </w:trPr>
        <w:tc>
          <w:tcPr>
            <w:tcW w:w="4800" w:type="dxa"/>
            <w:vAlign w:val="bottom"/>
            <w:gridSpan w:val="3"/>
          </w:tcPr>
          <w:p>
            <w:pPr>
              <w:jc w:val="center"/>
              <w:ind w:left="6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2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50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center"/>
              <w:ind w:right="928"/>
              <w:spacing w:after="0"/>
              <w:rPr>
                <w:sz w:val="20"/>
                <w:szCs w:val="20"/>
                <w:color w:val="auto"/>
              </w:rPr>
            </w:pPr>
            <w:r>
              <w:rPr>
                <w:rFonts w:ascii="Arial" w:cs="Arial" w:eastAsia="Arial" w:hAnsi="Arial"/>
                <w:sz w:val="14"/>
                <w:szCs w:val="14"/>
                <w:b w:val="1"/>
                <w:bCs w:val="1"/>
                <w:color w:val="auto"/>
                <w:w w:val="93"/>
              </w:rPr>
              <w:t>Trading Symbol (s)</w:t>
            </w: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4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rPr>
              <w:t>OESX</w:t>
            </w:r>
          </w:p>
        </w:tc>
        <w:tc>
          <w:tcPr>
            <w:tcW w:w="3600" w:type="dxa"/>
            <w:vAlign w:val="bottom"/>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3"/>
              </w:rPr>
              <w:t>Common stock, no par value</w:t>
            </w:r>
          </w:p>
        </w:tc>
        <w:tc>
          <w:tcPr>
            <w:tcW w:w="2840" w:type="dxa"/>
            <w:vAlign w:val="bottom"/>
            <w:gridSpan w:val="2"/>
            <w:vMerge w:val="continue"/>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tcPr>
          <w:p>
            <w:pPr>
              <w:jc w:val="center"/>
              <w:spacing w:after="0" w:line="155"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2"/>
              </w:rPr>
              <w:t>Common stock purchase rights</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290"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58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31,000,701 shares of the Registrant’s common stock outstanding on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p>
      <w:pPr>
        <w:jc w:val="center"/>
        <w:ind w:left="1280"/>
        <w:spacing w:after="0"/>
        <w:rPr>
          <w:sz w:val="20"/>
          <w:szCs w:val="20"/>
          <w:color w:val="auto"/>
        </w:rPr>
      </w:pPr>
      <w:r>
        <w:rPr>
          <w:rFonts w:ascii="Arial" w:cs="Arial" w:eastAsia="Arial" w:hAnsi="Arial"/>
          <w:sz w:val="18"/>
          <w:szCs w:val="18"/>
          <w:b w:val="1"/>
          <w:bCs w:val="1"/>
          <w:color w:val="auto"/>
        </w:rPr>
        <w:t>ORION ENERGY SYSTEMS, INC.</w:t>
      </w:r>
    </w:p>
    <w:p>
      <w:pPr>
        <w:spacing w:after="0" w:line="104"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FOR THE QUARTER ENDED JUNE 30, 2021</w:t>
      </w:r>
    </w:p>
    <w:p>
      <w:pPr>
        <w:spacing w:after="0" w:line="104"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2021 and March 31, 2021</w:t>
              </w:r>
            </w:hyperlink>
          </w:p>
        </w:tc>
        <w:tc>
          <w:tcPr>
            <w:tcW w:w="3000" w:type="dxa"/>
            <w:vAlign w:val="bottom"/>
            <w:gridSpan w:val="4"/>
          </w:tcPr>
          <w:p>
            <w:pPr>
              <w:spacing w:after="0"/>
              <w:rPr>
                <w:sz w:val="22"/>
                <w:szCs w:val="22"/>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June 30, 2021 and June 30, 2020</w:t>
              </w:r>
            </w:hyperlink>
          </w:p>
        </w:tc>
        <w:tc>
          <w:tcPr>
            <w:tcW w:w="720" w:type="dxa"/>
            <w:vAlign w:val="bottom"/>
            <w:gridSpan w:val="2"/>
          </w:tcPr>
          <w:p>
            <w:pPr>
              <w:spacing w:after="0"/>
              <w:rPr>
                <w:sz w:val="22"/>
                <w:szCs w:val="22"/>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Shareholders’ Equity for the Three Months Ended June 30, 2021 and June 30, 2020</w:t>
              </w:r>
            </w:hyperlink>
          </w:p>
        </w:tc>
      </w:tr>
      <w:tr>
        <w:trPr>
          <w:trHeight w:val="264"/>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80" w:type="dxa"/>
            <w:vAlign w:val="bottom"/>
            <w:gridSpan w:val="15"/>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Three Months Ended June 30, 2021 and June 30, 2020</w:t>
              </w:r>
            </w:hyperlink>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68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2"/>
                <w:szCs w:val="22"/>
                <w:color w:val="auto"/>
              </w:rPr>
            </w:pPr>
          </w:p>
        </w:tc>
        <w:tc>
          <w:tcPr>
            <w:tcW w:w="2420" w:type="dxa"/>
            <w:vAlign w:val="bottom"/>
            <w:gridSpan w:val="3"/>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100" w:type="dxa"/>
            <w:vAlign w:val="bottom"/>
            <w:gridSpan w:val="9"/>
          </w:tcPr>
          <w:p>
            <w:pPr>
              <w:spacing w:after="0"/>
              <w:rPr>
                <w:sz w:val="22"/>
                <w:szCs w:val="22"/>
                <w:color w:val="auto"/>
              </w:rPr>
            </w:pPr>
          </w:p>
        </w:tc>
      </w:tr>
      <w:tr>
        <w:trPr>
          <w:trHeight w:val="264"/>
        </w:trPr>
        <w:tc>
          <w:tcPr>
            <w:tcW w:w="25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7420" w:type="dxa"/>
            <w:vAlign w:val="bottom"/>
            <w:gridSpan w:val="10"/>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2"/>
                <w:szCs w:val="22"/>
                <w:color w:val="auto"/>
              </w:rPr>
            </w:pPr>
          </w:p>
        </w:tc>
        <w:tc>
          <w:tcPr>
            <w:tcW w:w="7540" w:type="dxa"/>
            <w:vAlign w:val="bottom"/>
            <w:gridSpan w:val="11"/>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 of Equity Securities and Use of Proceeds</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280" w:type="dxa"/>
            <w:vAlign w:val="bottom"/>
            <w:tcBorders>
              <w:top w:val="single" w:sz="8" w:color="0000EE"/>
            </w:tcBorders>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4600" w:type="dxa"/>
            <w:vAlign w:val="bottom"/>
            <w:gridSpan w:val="6"/>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560" w:type="dxa"/>
            <w:vAlign w:val="bottom"/>
            <w:gridSpan w:val="12"/>
          </w:tcPr>
          <w:p>
            <w:pPr>
              <w:spacing w:after="0"/>
              <w:rPr>
                <w:sz w:val="22"/>
                <w:szCs w:val="22"/>
                <w:color w:val="auto"/>
              </w:rPr>
            </w:pPr>
          </w:p>
        </w:tc>
      </w:tr>
      <w:tr>
        <w:trPr>
          <w:trHeight w:val="264"/>
        </w:trPr>
        <w:tc>
          <w:tcPr>
            <w:tcW w:w="108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23495</wp:posOffset>
            </wp:positionV>
            <wp:extent cx="462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9960" w:space="700"/>
            <w:col w:w="58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15,863</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19,393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19,785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93,618</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18,528</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17,045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30,372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long-term</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32,774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Preferred stock, $0.01 par value: Shares authorized: 30,000,000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June 30, 2021 and March 31, 2021; no shares issued and outstanding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June 30, 2021 and March 31, 2021</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no par value: Shares authorized: 200,000,000 at June 30, 2021</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March 31, 2021; shares issued: 40,474,565 at June 30, 2021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40,279,050 at March 31, 2021; shares outstanding: 31,000,701 at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2021 and 30,805,300 at March 31, 2021</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157,746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157,485</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common shares: 9,473,864 at June 30, 2021 and 9,473,750 at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2021</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(36,241)</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(36,240)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Retained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(60,661)</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(63,171)</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19,433</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8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5,438</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24,871</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3,245</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w:t>
            </w:r>
          </w:p>
        </w:tc>
        <w:tc>
          <w:tcPr>
            <w:tcW w:w="7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w:t>
            </w:r>
          </w:p>
        </w:tc>
        <w:tc>
          <w:tcPr>
            <w:tcW w:w="18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Basic net income (loss) per share attributable to</w:t>
            </w:r>
          </w:p>
        </w:tc>
        <w:tc>
          <w:tcPr>
            <w:tcW w:w="1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22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20"/>
                <w:szCs w:val="20"/>
                <w:color w:val="auto"/>
              </w:rPr>
            </w:pP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30,860,178</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30,352,217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2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9"/>
                <w:szCs w:val="19"/>
                <w:color w:val="auto"/>
              </w:rPr>
            </w:pP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share</w:t>
            </w:r>
          </w:p>
        </w:tc>
        <w:tc>
          <w:tcPr>
            <w:tcW w:w="1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18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31,289,924</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30,352,217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ind w:left="340" w:right="178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21"/>
              <w:spacing w:after="0"/>
              <w:rPr>
                <w:sz w:val="20"/>
                <w:szCs w:val="20"/>
                <w:color w:val="auto"/>
              </w:rPr>
            </w:pPr>
            <w:r>
              <w:rPr>
                <w:rFonts w:ascii="Arial" w:cs="Arial" w:eastAsia="Arial" w:hAnsi="Arial"/>
                <w:sz w:val="14"/>
                <w:szCs w:val="14"/>
                <w:b w:val="1"/>
                <w:bCs w:val="1"/>
                <w:color w:val="auto"/>
              </w:rPr>
              <w:t>Shareholders’ Equity</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bottom w:val="single" w:sz="8" w:color="auto"/>
            </w:tcBorders>
            <w:gridSpan w:val="8"/>
          </w:tcPr>
          <w:p>
            <w:pPr>
              <w:jc w:val="right"/>
              <w:ind w:right="720"/>
              <w:spacing w:after="0" w:line="15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jc w:val="center"/>
              <w:ind w:right="34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3"/>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2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March 31, 2021</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30,805,300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157,485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(36,240)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(63,171)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24,045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171,470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June 30, 2021</w:t>
            </w:r>
          </w:p>
        </w:tc>
        <w:tc>
          <w:tcPr>
            <w:tcW w:w="10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31,000,701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157,746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(36,241</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(60,661</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Shareholders’ Equity</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gridSpan w:val="8"/>
          </w:tcPr>
          <w:p>
            <w:pPr>
              <w:jc w:val="right"/>
              <w:ind w:right="740"/>
              <w:spacing w:after="0" w:line="15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jc w:val="center"/>
              <w:ind w:right="361"/>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1"/>
                <w:szCs w:val="11"/>
                <w:color w:val="auto"/>
              </w:rPr>
            </w:pPr>
          </w:p>
        </w:tc>
        <w:tc>
          <w:tcPr>
            <w:tcW w:w="1140" w:type="dxa"/>
            <w:vAlign w:val="bottom"/>
            <w:gridSpan w:val="3"/>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6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March 31, 2020</w:t>
            </w:r>
          </w:p>
        </w:tc>
        <w:tc>
          <w:tcPr>
            <w:tcW w:w="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30,265,997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156,503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(36,163)</w:t>
            </w:r>
          </w:p>
        </w:tc>
        <w:tc>
          <w:tcPr>
            <w:tcW w:w="240" w:type="dxa"/>
            <w:vAlign w:val="bottom"/>
            <w:gridSpan w:val="2"/>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(89,305)</w:t>
            </w:r>
          </w:p>
        </w:tc>
        <w:tc>
          <w:tcPr>
            <w:tcW w:w="24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 of stock options for cash</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Plan</w:t>
            </w: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342,780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tcPr>
          <w:p>
            <w:pPr>
              <w:spacing w:after="0"/>
              <w:rPr>
                <w:sz w:val="20"/>
                <w:szCs w:val="20"/>
                <w:color w:val="auto"/>
              </w:rPr>
            </w:pPr>
            <w:r>
              <w:rPr>
                <w:rFonts w:ascii="Arial" w:cs="Arial" w:eastAsia="Arial" w:hAnsi="Arial"/>
                <w:sz w:val="18"/>
                <w:szCs w:val="18"/>
                <w:color w:val="auto"/>
              </w:rPr>
              <w:t>Employee tax withholdings on stock-based</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(4,346)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01"/>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1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June 30, 2020</w:t>
            </w:r>
          </w:p>
        </w:tc>
        <w:tc>
          <w:tcPr>
            <w:tcW w:w="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30,624,889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(36,179</w:t>
            </w:r>
          </w:p>
        </w:tc>
        <w:tc>
          <w:tcPr>
            <w:tcW w:w="240" w:type="dxa"/>
            <w:vAlign w:val="bottom"/>
            <w:gridSpan w:val="2"/>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(91,524</w:t>
            </w:r>
          </w:p>
        </w:tc>
        <w:tc>
          <w:tcPr>
            <w:tcW w:w="240" w:type="dxa"/>
            <w:vAlign w:val="bottom"/>
            <w:gridSpan w:val="2"/>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2,510</w:t>
            </w:r>
          </w:p>
        </w:tc>
        <w:tc>
          <w:tcPr>
            <w:tcW w:w="280" w:type="dxa"/>
            <w:vAlign w:val="bottom"/>
          </w:tcPr>
          <w:p>
            <w:pPr>
              <w:spacing w:after="0"/>
              <w:rPr>
                <w:sz w:val="19"/>
                <w:szCs w:val="19"/>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used in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issue costs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income tax</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inventory reserves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(5,934)</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 earned but not billed</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(1,232)</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1,447</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(3,550)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revenue, current and long-term</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(2,966)</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investment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patents and licenses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of long-term debt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credit facility</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Payments of revolving credit facility</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(10,013)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financing costs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equity exercises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(3,530)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19,393</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shd w:val="clear" w:color="auto" w:fill="CFF0FC"/>
          </w:tcPr>
          <w:p>
            <w:pPr>
              <w:jc w:val="right"/>
              <w:ind w:right="7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15,863</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980" w:type="dxa"/>
            <w:vAlign w:val="bottom"/>
            <w:shd w:val="clear" w:color="auto" w:fill="CFF0FC"/>
          </w:tcPr>
          <w:p>
            <w:pPr>
              <w:jc w:val="right"/>
              <w:ind w:right="797"/>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jc w:val="both"/>
        <w:ind w:firstLine="489"/>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IMPACT OF COVID-19</w:t>
      </w:r>
    </w:p>
    <w:p>
      <w:pPr>
        <w:spacing w:after="0" w:line="175" w:lineRule="exact"/>
        <w:rPr>
          <w:sz w:val="20"/>
          <w:szCs w:val="20"/>
          <w:color w:val="auto"/>
        </w:rPr>
      </w:pPr>
    </w:p>
    <w:p>
      <w:pPr>
        <w:jc w:val="both"/>
        <w:ind w:firstLine="493"/>
        <w:spacing w:after="0" w:line="255" w:lineRule="auto"/>
        <w:rPr>
          <w:sz w:val="20"/>
          <w:szCs w:val="20"/>
          <w:color w:val="auto"/>
        </w:rPr>
      </w:pPr>
      <w:r>
        <w:rPr>
          <w:rFonts w:ascii="Arial" w:cs="Arial" w:eastAsia="Arial" w:hAnsi="Arial"/>
          <w:sz w:val="18"/>
          <w:szCs w:val="18"/>
          <w:color w:val="auto"/>
        </w:rPr>
        <w:t>The COVID-19 pandemic has disrupted business, trade, commerce, financial and credit markets, in the U.S. and globally. Orion’s business was adversely impacted by measures taken by government entities and others to control the spread of the virus beginning in March 2020, the last month of Orion’s fiscal 2020 year, and continuing most significantly into the second quarter of fiscal 2021. During the second half of fiscal 2021, Orion experienced a rebound in business. Project installations resumed for Orion’s largest customer and installations for a new large specialty retail customer began, with no further significant COVID-19 impacts. However, some customers continue to refrain from awarding new projects and potential future risks remain due to the COVID-19 pandemic.</w:t>
      </w:r>
    </w:p>
    <w:p>
      <w:pPr>
        <w:spacing w:after="0" w:line="138"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As an essential business, Orion provides products and services to ensure energy and lighting infrastructure and Orion therefore continued to operate throughout the pandemic. If there is a resurgence of the COVID-19 pandemic, Orion’s markets and operations could be impacted and there could be a further material adverse financial impact, including supply chain disruption for certain components.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2022 or other interim periods.</w:t>
      </w:r>
    </w:p>
    <w:p>
      <w:pPr>
        <w:spacing w:after="0" w:line="107"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Condensed Consolidated Balance Sheet at March 31, 2021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2021 filed with the SEC on June 1,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accounts, accruals for warranty and loss contingencies, income taxes, impairment analyses, and certain equity transactions. Accordingly, actual results could differ from those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Orion's cash is deposited with three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30"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purchases components necessary for its lighting products, including lamps and LED components, from multiple suppliers. For the three months ended June 30, 2021, one supplier accounted for 12.8% of total cost of revenue. For the three months ended June 30, 2020, three suppliers accounted for 16.1% and 12.5% and 10.0%, of total cost of revenue, respectively.</w:t>
      </w:r>
    </w:p>
    <w:p>
      <w:pPr>
        <w:spacing w:after="0" w:line="130"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For the three months ended June 30, 2021, two customers accounted for 50.9% and 14.2% of total revenue, respectively. For the three months ended June 30, 2020, one customer accounted for 32.9 % of total revenue.</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June 30, 2021, two customers accounted for 56.9% and 17.4% of accounts receivable, respectively. As of March 31, 2021, three customers accounted for 33.9%, 16.4% and 10.1% of accounts receivable,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89"/>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 REVENUE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detail of Orion’s total revenues for the three months ended June 30, 2021 and June 30, 2020 (dollars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Three Months Ended June 30, 2021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6"/>
              </w:rPr>
              <w:t>Services</w:t>
            </w:r>
          </w:p>
        </w:tc>
        <w:tc>
          <w:tcPr>
            <w:tcW w:w="34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1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33,549</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34,312</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Solar energy related revenues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27,473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6,855</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Three Months Ended June 30, 2020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6"/>
              </w:rPr>
              <w:t>Services</w:t>
            </w:r>
          </w:p>
        </w:tc>
        <w:tc>
          <w:tcPr>
            <w:tcW w:w="34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1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Solar energy related revenues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From time to time, Orion sells the receivables from one customer to a financing institution. The total amount received from the sales of these receivables during the three months ended June 30, 2021, was $2.4 million. Orion’s losses on these sales were $2 thousand, for the three months ended June 30, 2021 and are included in Interest expense in the Condensed Consolidated Statements of Operations. The total amount received from the sales of these receivables during the three months ended three months ended June 30, 2020 was $0.2 million. Orion’s gains on these sales were $9 thousand for the three months ended June 30, 2020 and are included in Interest expense in the Condensed Consolidated Statement of Operations.</w:t>
      </w:r>
    </w:p>
    <w:p>
      <w:pPr>
        <w:spacing w:after="0" w:line="107"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following chart shows the balance of Orion’s receivables arising from contracts with customers, contract assets and contract liabilities as of June 30, 2021 and March 31, 2021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Contract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1,041</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As of June 30, 2021, and March 31, 2020, Orion's Accounts receivable and Allowance for doubtful accounts balances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040" w:type="dxa"/>
            <w:vAlign w:val="bottom"/>
          </w:tcPr>
          <w:p>
            <w:pPr>
              <w:spacing w:after="0"/>
              <w:rPr>
                <w:sz w:val="14"/>
                <w:szCs w:val="14"/>
                <w:color w:val="auto"/>
              </w:rPr>
            </w:pPr>
          </w:p>
        </w:tc>
        <w:tc>
          <w:tcPr>
            <w:tcW w:w="372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6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19,514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6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19,506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and March 31, 2020, Orion's Inventory balances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Excess and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June 30, 2021</w:t>
            </w:r>
          </w:p>
        </w:tc>
        <w:tc>
          <w:tcPr>
            <w:tcW w:w="208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13,717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(1,063)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22,667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 of March 31, 2021</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12,410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21,463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Prepaid expenses and other current assets consist primarily of prepaid insurance premiums, debt issue costs, and sales tax receivable.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and March 31, 2021, Property and equipment, net,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4220" w:type="dxa"/>
            <w:vAlign w:val="bottom"/>
            <w:tcBorders>
              <w:bottom w:val="single" w:sz="8" w:color="CFF0FC"/>
            </w:tcBorders>
          </w:tcPr>
          <w:p>
            <w:pPr>
              <w:spacing w:after="0"/>
              <w:rPr>
                <w:sz w:val="14"/>
                <w:szCs w:val="14"/>
                <w:color w:val="auto"/>
              </w:rPr>
            </w:pPr>
          </w:p>
        </w:tc>
        <w:tc>
          <w:tcPr>
            <w:tcW w:w="35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3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3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3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Plant equipment</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35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Gross property and equipment</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(24,053)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(23,836)</w:t>
            </w: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Total property and equipment, net</w:t>
            </w:r>
          </w:p>
        </w:tc>
        <w:tc>
          <w:tcPr>
            <w:tcW w:w="3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500" w:type="dxa"/>
            <w:vAlign w:val="bottom"/>
            <w:vMerge w:val="restart"/>
          </w:tcPr>
          <w:p>
            <w:pPr>
              <w:jc w:val="right"/>
              <w:ind w:right="191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color w:val="auto"/>
        </w:rPr>
        <w:t>Orion recorded depreciation expense of $0.3 million for both the three months ended June 30, 2021 and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89"/>
        <w:spacing w:after="0" w:line="311" w:lineRule="auto"/>
        <w:rPr>
          <w:sz w:val="20"/>
          <w:szCs w:val="20"/>
          <w:color w:val="auto"/>
        </w:rPr>
      </w:pPr>
      <w:r>
        <w:rPr>
          <w:rFonts w:ascii="Arial" w:cs="Arial" w:eastAsia="Arial" w:hAnsi="Arial"/>
          <w:sz w:val="16"/>
          <w:szCs w:val="16"/>
          <w:color w:val="auto"/>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Balance sheet classification</w:t>
            </w:r>
          </w:p>
        </w:tc>
        <w:tc>
          <w:tcPr>
            <w:tcW w:w="300" w:type="dxa"/>
            <w:vAlign w:val="bottom"/>
          </w:tcPr>
          <w:p>
            <w:pPr>
              <w:spacing w:after="0"/>
              <w:rPr>
                <w:sz w:val="14"/>
                <w:szCs w:val="14"/>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35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2,451</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9"/>
                <w:szCs w:val="19"/>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Current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FF0FC"/>
          </w:tcPr>
          <w:p>
            <w:pPr>
              <w:spacing w:after="0"/>
              <w:rPr>
                <w:sz w:val="19"/>
                <w:szCs w:val="19"/>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500"/>
              <w:spacing w:after="0"/>
              <w:rPr>
                <w:sz w:val="20"/>
                <w:szCs w:val="20"/>
                <w:color w:val="auto"/>
              </w:rPr>
            </w:pPr>
            <w:r>
              <w:rPr>
                <w:rFonts w:ascii="Arial" w:cs="Arial" w:eastAsia="Arial" w:hAnsi="Arial"/>
                <w:sz w:val="18"/>
                <w:szCs w:val="18"/>
                <w:color w:val="auto"/>
              </w:rPr>
              <w:t>Total lease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Orion had operating lease costs of $0.2 million for the three months ended June 30, 2021. Orion had operating lease costs of $0.2 million for the three months ended June 30,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ind w:left="500"/>
              <w:spacing w:after="0"/>
              <w:rPr>
                <w:sz w:val="20"/>
                <w:szCs w:val="20"/>
                <w:color w:val="auto"/>
              </w:rPr>
            </w:pPr>
            <w:r>
              <w:rPr>
                <w:rFonts w:ascii="Arial" w:cs="Arial" w:eastAsia="Arial" w:hAnsi="Arial"/>
                <w:sz w:val="18"/>
                <w:szCs w:val="18"/>
                <w:color w:val="auto"/>
                <w:w w:val="99"/>
              </w:rPr>
              <w:t>The estimated maturity of lease liabilities for each of the next five years is shown below (dollars in thousands):</w:t>
            </w: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924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1400" w:type="dxa"/>
            <w:vAlign w:val="bottom"/>
          </w:tcPr>
          <w:p>
            <w:pPr>
              <w:spacing w:after="0"/>
              <w:rPr>
                <w:sz w:val="20"/>
                <w:szCs w:val="20"/>
                <w:color w:val="auto"/>
              </w:rPr>
            </w:pPr>
            <w:r>
              <w:rPr>
                <w:rFonts w:ascii="Arial" w:cs="Arial" w:eastAsia="Arial" w:hAnsi="Arial"/>
                <w:sz w:val="18"/>
                <w:szCs w:val="18"/>
                <w:b w:val="1"/>
                <w:bCs w:val="1"/>
                <w:color w:val="auto"/>
                <w:w w:val="91"/>
              </w:rPr>
              <w:t>Operating Leases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2022 (period remaining)</w:t>
            </w: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Fiscal 2023</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Fiscal 2025</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Fiscal 2026</w:t>
            </w: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payments</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3,535</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Interest</w:t>
            </w: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3,130</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489"/>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under ASC 842.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16"/>
          <w:szCs w:val="16"/>
          <w:color w:val="auto"/>
        </w:rPr>
        <w:t>The following chart shows the amount of revenue and cost of sales arising from sales-type leases during the three months ended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Three Months Ended June 30,</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10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7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3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3660" w:type="dxa"/>
            <w:vAlign w:val="bottom"/>
            <w:gridSpan w:val="2"/>
            <w:shd w:val="clear" w:color="auto" w:fill="CFF0FC"/>
          </w:tcPr>
          <w:p>
            <w:pPr>
              <w:jc w:val="right"/>
              <w:ind w:right="114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16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FF0FC"/>
          </w:tcPr>
          <w:p>
            <w:pPr>
              <w:spacing w:after="0"/>
              <w:rPr>
                <w:sz w:val="20"/>
                <w:szCs w:val="20"/>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66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480</w:t>
            </w: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where Orion is the Lessor</w:t>
      </w:r>
    </w:p>
    <w:p>
      <w:pPr>
        <w:spacing w:after="0" w:line="171"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three months ended June 30, 2021 or June 30, 2020. Orion accounts for these transactions as operating leases.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INTANGIBLE ASSETS, NET</w:t>
      </w:r>
    </w:p>
    <w:p>
      <w:pPr>
        <w:spacing w:after="0" w:line="175"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June 30, 2021, and March 31, 2021, the components of, and changes in, the carrying amount of Other intangible assets, net, were as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Trade name and trademarks (indefinite lived)</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(3,591)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(889)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on intangible assets was $0.1 million for the three months ended June 30, 2021.</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on intangible assets was $0.1 million for the three months ended June 30, 2020.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the weighted average remaining useful life of intangible assets was 8.6 years.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amortization expense for the remainder of fiscal 2021, the next five fiscal years and beyond is shown below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Fiscal 2022 (period remaining)</w:t>
            </w:r>
          </w:p>
        </w:tc>
        <w:tc>
          <w:tcPr>
            <w:tcW w:w="622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Fiscal 2023</w:t>
            </w:r>
          </w:p>
        </w:tc>
        <w:tc>
          <w:tcPr>
            <w:tcW w:w="5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5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Fiscal 2025</w:t>
            </w:r>
          </w:p>
        </w:tc>
        <w:tc>
          <w:tcPr>
            <w:tcW w:w="5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Fiscal 2026</w:t>
            </w:r>
          </w:p>
        </w:tc>
        <w:tc>
          <w:tcPr>
            <w:tcW w:w="5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Fiscal 2027</w:t>
            </w:r>
          </w:p>
        </w:tc>
        <w:tc>
          <w:tcPr>
            <w:tcW w:w="5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53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380" w:type="dxa"/>
            <w:vAlign w:val="bottom"/>
            <w:vMerge w:val="restart"/>
          </w:tcPr>
          <w:p>
            <w:pPr>
              <w:jc w:val="right"/>
              <w:ind w:right="3450"/>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8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11 — ACCRUED EXPENSES AND OTHER</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and March 31, 2021, Accrued expenses and other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2,514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2,502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accruals</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1,859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Sales tax</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Credits due to customers</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Warranty</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Sales returns reserve</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Legal and professional fees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9,855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Accruals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Warranty claims (net of vendor reimbursements)</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End of period</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NET INCOME (LOSS) PER COMMON SHARE</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16"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Diluted net income (loss) per common share reflects the dilution that would occur if stock options were exercised and restricted shares vested. In the computation of diluted net income (loss) per common share, Orion uses the treasury stock method for outstanding options and restricted shares. Due to the net loss incurred during the three months ended June 30, 2020, the assumed exercise of all equity incentive instruments was anti-dilutive and, therefore, was not included in the diluted loss per common share calculation for those periods. Net income (loss) per common share is calculated based upon the following shares:</w:t>
      </w:r>
    </w:p>
    <w:p>
      <w:pPr>
        <w:spacing w:after="0" w:line="193"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For the Three Months Ended</w:t>
      </w:r>
    </w:p>
    <w:p>
      <w:pPr>
        <w:jc w:val="center"/>
        <w:ind w:left="75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4700" w:type="dxa"/>
            <w:vAlign w:val="bottom"/>
            <w:tcBorders>
              <w:bottom w:val="single" w:sz="8" w:color="CFF0FC"/>
            </w:tcBorders>
          </w:tcPr>
          <w:p>
            <w:pPr>
              <w:spacing w:after="0"/>
              <w:rPr>
                <w:sz w:val="13"/>
                <w:szCs w:val="13"/>
                <w:color w:val="auto"/>
              </w:rPr>
            </w:pPr>
          </w:p>
        </w:tc>
        <w:tc>
          <w:tcPr>
            <w:tcW w:w="30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income (loss) (in thousands)</w:t>
            </w:r>
          </w:p>
        </w:tc>
        <w:tc>
          <w:tcPr>
            <w:tcW w:w="3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2,510</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30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30,860,178</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30,352,217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common share</w:t>
            </w:r>
          </w:p>
        </w:tc>
        <w:tc>
          <w:tcPr>
            <w:tcW w:w="3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30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31,289,924</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30,352,217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Diluted</w:t>
            </w:r>
          </w:p>
        </w:tc>
        <w:tc>
          <w:tcPr>
            <w:tcW w:w="3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431"/>
        </w:trPr>
        <w:tc>
          <w:tcPr>
            <w:tcW w:w="4700" w:type="dxa"/>
            <w:vAlign w:val="bottom"/>
          </w:tcPr>
          <w:p>
            <w:pPr>
              <w:spacing w:after="0"/>
              <w:rPr>
                <w:sz w:val="24"/>
                <w:szCs w:val="24"/>
                <w:color w:val="auto"/>
              </w:rPr>
            </w:pPr>
          </w:p>
        </w:tc>
        <w:tc>
          <w:tcPr>
            <w:tcW w:w="3020" w:type="dxa"/>
            <w:vAlign w:val="bottom"/>
          </w:tcPr>
          <w:p>
            <w:pPr>
              <w:jc w:val="right"/>
              <w:ind w:right="191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3" w:name="page14"/>
    <w:bookmarkEnd w:id="13"/>
    <w:p>
      <w:pPr>
        <w:ind w:right="320"/>
        <w:spacing w:after="0" w:line="258"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income (loss) per common share because their inclusion would have been anti-dilutive. The number of shares is as of the end of each period:</w:t>
      </w:r>
    </w:p>
    <w:p>
      <w:pPr>
        <w:jc w:val="center"/>
        <w:ind w:left="7560"/>
        <w:spacing w:after="0" w:line="233" w:lineRule="auto"/>
        <w:rPr>
          <w:sz w:val="20"/>
          <w:szCs w:val="20"/>
          <w:color w:val="auto"/>
        </w:rPr>
      </w:pPr>
      <w:r>
        <w:rPr>
          <w:rFonts w:ascii="Arial" w:cs="Arial" w:eastAsia="Arial" w:hAnsi="Arial"/>
          <w:sz w:val="14"/>
          <w:szCs w:val="14"/>
          <w:b w:val="1"/>
          <w:bCs w:val="1"/>
          <w:color w:val="auto"/>
        </w:rPr>
        <w:t>For the Three Months Ended</w:t>
      </w:r>
    </w:p>
    <w:p>
      <w:pPr>
        <w:jc w:val="center"/>
        <w:ind w:left="7560"/>
        <w:spacing w:after="0" w:line="231"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6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center"/>
              <w:ind w:left="407"/>
              <w:spacing w:after="0" w:line="155" w:lineRule="exact"/>
              <w:rPr>
                <w:sz w:val="20"/>
                <w:szCs w:val="20"/>
                <w:color w:val="auto"/>
              </w:rPr>
            </w:pPr>
            <w:r>
              <w:rPr>
                <w:rFonts w:ascii="Arial" w:cs="Arial" w:eastAsia="Arial" w:hAnsi="Arial"/>
                <w:sz w:val="14"/>
                <w:szCs w:val="14"/>
                <w:b w:val="1"/>
                <w:bCs w:val="1"/>
                <w:color w:val="auto"/>
                <w:w w:val="89"/>
              </w:rPr>
              <w:t>2021</w:t>
            </w:r>
          </w:p>
        </w:tc>
        <w:tc>
          <w:tcPr>
            <w:tcW w:w="5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shares</w:t>
            </w:r>
          </w:p>
        </w:tc>
        <w:tc>
          <w:tcPr>
            <w:tcW w:w="12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26,205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26,205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724,158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NOTE 13 — LONG-TERM DEBT</w:t>
            </w:r>
          </w:p>
        </w:tc>
        <w:tc>
          <w:tcPr>
            <w:tcW w:w="1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64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60" w:type="dxa"/>
            <w:vAlign w:val="bottom"/>
          </w:tcPr>
          <w:p>
            <w:pPr>
              <w:ind w:left="500"/>
              <w:spacing w:after="0"/>
              <w:rPr>
                <w:sz w:val="20"/>
                <w:szCs w:val="20"/>
                <w:color w:val="auto"/>
              </w:rPr>
            </w:pPr>
            <w:r>
              <w:rPr>
                <w:rFonts w:ascii="Arial" w:cs="Arial" w:eastAsia="Arial" w:hAnsi="Arial"/>
                <w:sz w:val="18"/>
                <w:szCs w:val="18"/>
                <w:color w:val="auto"/>
              </w:rPr>
              <w:t>Long-term debt consisted of the following (dollars in thousands):</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jc w:val="center"/>
              <w:ind w:left="427"/>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300" w:type="dxa"/>
            <w:vAlign w:val="bottom"/>
            <w:gridSpan w:val="2"/>
          </w:tcPr>
          <w:p>
            <w:pPr>
              <w:jc w:val="center"/>
              <w:ind w:left="1668"/>
              <w:spacing w:after="0"/>
              <w:rPr>
                <w:sz w:val="20"/>
                <w:szCs w:val="20"/>
                <w:color w:val="auto"/>
              </w:rPr>
            </w:pPr>
            <w:r>
              <w:rPr>
                <w:rFonts w:ascii="Arial" w:cs="Arial" w:eastAsia="Arial" w:hAnsi="Arial"/>
                <w:sz w:val="14"/>
                <w:szCs w:val="14"/>
                <w:b w:val="1"/>
                <w:bCs w:val="1"/>
                <w:color w:val="auto"/>
                <w:w w:val="89"/>
              </w:rPr>
              <w:t>2021</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debt obligations</w:t>
            </w:r>
          </w:p>
        </w:tc>
        <w:tc>
          <w:tcPr>
            <w:tcW w:w="12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89"/>
        <w:spacing w:after="0" w:line="342" w:lineRule="auto"/>
        <w:rPr>
          <w:sz w:val="20"/>
          <w:szCs w:val="20"/>
          <w:color w:val="auto"/>
        </w:rPr>
      </w:pPr>
      <w:r>
        <w:rPr>
          <w:rFonts w:ascii="Arial" w:cs="Arial" w:eastAsia="Arial" w:hAnsi="Arial"/>
          <w:sz w:val="16"/>
          <w:szCs w:val="16"/>
          <w:color w:val="auto"/>
        </w:rPr>
        <w:t>On December 29, 2020, Orion entered into a new $25 million Loan and Security Agreement with Bank of America, N.A., as lender (the “Credit Agreement”). The Credit Agreement replaced Orion’s prior $20.15 million secured revolving credit and security agreement (the “Prior Credit Agreement”).</w:t>
      </w:r>
    </w:p>
    <w:p>
      <w:pPr>
        <w:spacing w:after="0" w:line="7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Orion with increased financing capacity and liquidity to fund its operations and implement its strategic plans.</w:t>
      </w:r>
    </w:p>
    <w:p>
      <w:pPr>
        <w:spacing w:after="0" w:line="116" w:lineRule="exact"/>
        <w:rPr>
          <w:sz w:val="20"/>
          <w:szCs w:val="20"/>
          <w:color w:val="auto"/>
        </w:rPr>
      </w:pPr>
    </w:p>
    <w:p>
      <w:pPr>
        <w:jc w:val="both"/>
        <w:ind w:firstLine="489"/>
        <w:spacing w:after="0" w:line="286" w:lineRule="auto"/>
        <w:rPr>
          <w:sz w:val="20"/>
          <w:szCs w:val="20"/>
          <w:color w:val="auto"/>
        </w:rPr>
      </w:pPr>
      <w:r>
        <w:rPr>
          <w:rFonts w:ascii="Arial" w:cs="Arial" w:eastAsia="Arial" w:hAnsi="Arial"/>
          <w:sz w:val="17"/>
          <w:szCs w:val="17"/>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June 30, 2021, the borrowing base supports the full availability of the Credit Facility. As of June 30, 2021, no amounts were borrowed under the Credit Facility.</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Orion is in compliance with all debt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per annum, respectively, and both debts mature in January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75"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 period ended June 30, 2021 and 2020, Orion recorded income tax expense of $0.9 million and $0.1 million, respectively, using this methodology.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jc w:val="both"/>
        <w:ind w:firstLine="489"/>
        <w:spacing w:after="0" w:line="257" w:lineRule="auto"/>
        <w:rPr>
          <w:sz w:val="20"/>
          <w:szCs w:val="20"/>
          <w:color w:val="auto"/>
        </w:rPr>
      </w:pPr>
      <w:r>
        <w:rPr>
          <w:rFonts w:ascii="Arial" w:cs="Arial" w:eastAsia="Arial" w:hAnsi="Arial"/>
          <w:sz w:val="18"/>
          <w:szCs w:val="18"/>
          <w:color w:val="auto"/>
        </w:rPr>
        <w:t>As of June 30, 2021 and March 31, 2021, Orion recorded a valuation allowance of $1.3 million against its net deferred tax asset balance. 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June 30, 2021, Orion’s balance of gross unrecognized tax benefits was approximately $0.4 million, all of which would reduce Orion’s effective tax rate if recognized.</w:t>
      </w:r>
    </w:p>
    <w:p>
      <w:pPr>
        <w:spacing w:after="0" w:line="116"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 w:firstLine="493"/>
        <w:spacing w:after="0" w:line="308"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During fiscal 2018, Orion was notified of a pending sales and use tax audit by the Wisconsin Department of Revenue for the period covering April 1, 2013 through March 31, 2017. Although the final resolution of Orion's sales and use tax audit is uncertain, the ultimate disposition of this matter is not expected to have a material adverse effect on Orion's future results of operations or financial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71" w:lineRule="exact"/>
        <w:rPr>
          <w:sz w:val="20"/>
          <w:szCs w:val="20"/>
          <w:color w:val="auto"/>
        </w:rPr>
      </w:pPr>
    </w:p>
    <w:p>
      <w:pPr>
        <w:jc w:val="both"/>
        <w:ind w:firstLine="489"/>
        <w:spacing w:after="0" w:line="311" w:lineRule="auto"/>
        <w:rPr>
          <w:sz w:val="20"/>
          <w:szCs w:val="20"/>
          <w:color w:val="auto"/>
        </w:rPr>
      </w:pPr>
      <w:r>
        <w:rPr>
          <w:rFonts w:ascii="Arial" w:cs="Arial" w:eastAsia="Arial" w:hAnsi="Arial"/>
          <w:sz w:val="16"/>
          <w:szCs w:val="16"/>
          <w:color w:val="auto"/>
        </w:rPr>
        <w:t>On January 3, 2019, Orion entered into Amendment No. 1 to the Rights Agreement, which amended the Rights Agreement dated as of January 7, 2009 and extended its terms by three years to January 7, 2022. Under the amendment, each common share purchase right (a “Right”), if exercisable, will initially represent the right to purchase from Orion, one share of Orion’s common stock, no par value per share, for a purchase price of $7.00 per share.</w:t>
      </w:r>
    </w:p>
    <w:p>
      <w:pPr>
        <w:spacing w:after="0" w:line="95"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4"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If a person becomes an Acquiring Person, holders of Rights (except as otherwise provided in the Rights Agreement) will have the right to receive upon exercise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Rights Agreement) will thereafter have the right to receive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upon exercise that number of shares of the acquiring company’s common stock which at the time of such transaction will have a market value of two times the then-current purchase price.</w:t>
      </w:r>
    </w:p>
    <w:p>
      <w:pPr>
        <w:spacing w:after="0" w:line="116"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June 30, 2021, Orion issued 496 shares under the ESPP plan at a closing market price of $5.73.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117" w:lineRule="exact"/>
        <w:rPr>
          <w:sz w:val="20"/>
          <w:szCs w:val="20"/>
          <w:color w:val="auto"/>
        </w:rPr>
      </w:pPr>
    </w:p>
    <w:p>
      <w:pPr>
        <w:jc w:val="both"/>
        <w:ind w:firstLine="583"/>
        <w:spacing w:after="0" w:line="279" w:lineRule="auto"/>
        <w:rPr>
          <w:sz w:val="20"/>
          <w:szCs w:val="20"/>
          <w:color w:val="auto"/>
        </w:rPr>
      </w:pPr>
      <w:r>
        <w:rPr>
          <w:rFonts w:ascii="Arial" w:cs="Arial" w:eastAsia="Arial" w:hAnsi="Arial"/>
          <w:sz w:val="17"/>
          <w:szCs w:val="17"/>
          <w:color w:val="auto"/>
        </w:rPr>
        <w:t>In March 2020, Orion filed a universal shelf registration statement with the Securities and Exchange Commission. Under the shelf registration statement, Orion currently has the flexibility to publicly offer and sell from time to time up to $100.0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63"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were effected pursuant to the ATM program through June 30,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 OPTIONS AND RESTRICTED SHARES</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4"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30"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22" w:lineRule="exact"/>
        <w:rPr>
          <w:sz w:val="20"/>
          <w:szCs w:val="20"/>
          <w:color w:val="auto"/>
        </w:rPr>
      </w:pPr>
    </w:p>
    <w:p>
      <w:pPr>
        <w:jc w:val="both"/>
        <w:ind w:right="20" w:firstLine="489"/>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first three months of fiscal 2022, Orion had the following activity related to its stock-based compensation: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Restricted Shares</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2021</w:t>
            </w:r>
          </w:p>
        </w:tc>
        <w:tc>
          <w:tcPr>
            <w:tcW w:w="2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469,639</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Awards granted</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185,833</w:t>
            </w:r>
          </w:p>
        </w:tc>
        <w:tc>
          <w:tcPr>
            <w:tcW w:w="30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Awards vested or exercised</w:t>
            </w:r>
          </w:p>
        </w:tc>
        <w:tc>
          <w:tcPr>
            <w:tcW w:w="2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(171,470)</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(24,045)</w:t>
            </w: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Awards forfeited</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(22,045)</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June 30, 2021</w:t>
            </w:r>
          </w:p>
        </w:tc>
        <w:tc>
          <w:tcPr>
            <w:tcW w:w="2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484,002</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2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June 30, 2021, the amount of deferred stock-based compensation expense to be recognized, over a remaining period of 2.8 years, was approximately $2.1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engineering, design, lighting products and in many cases turnkey solutions for large national accounts, governments, municipalities, schools and other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USM segment sells commercial lighting systems and energy management systems to contractors and ESCOs.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ind w:firstLine="489"/>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240"/>
          </w:cols>
          <w:pgMar w:left="320" w:top="598" w:right="339" w:bottom="1440" w:gutter="0" w:footer="0" w:header="0"/>
        </w:sectPr>
      </w:pPr>
    </w:p>
    <w:p>
      <w:pPr>
        <w:spacing w:after="0" w:line="243"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6350</wp:posOffset>
            </wp:positionV>
            <wp:extent cx="15944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6350</wp:posOffset>
            </wp:positionV>
            <wp:extent cx="16116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wp:posOffset>
            </wp:positionV>
            <wp:extent cx="16116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0"/>
        <w:spacing w:after="0"/>
        <w:tabs>
          <w:tab w:leader="none" w:pos="14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8240" w:space="720"/>
            <w:col w:w="2280"/>
          </w:cols>
          <w:pgMar w:left="320" w:top="59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20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Orion Engineered Systems</w:t>
            </w:r>
          </w:p>
        </w:tc>
        <w:tc>
          <w:tcPr>
            <w:tcW w:w="2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21,988</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2,256</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Orion U.S. Markets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80" w:type="dxa"/>
            <w:vAlign w:val="bottom"/>
            <w:vMerge w:val="restart"/>
          </w:tcPr>
          <w:p>
            <w:pPr>
              <w:jc w:val="right"/>
              <w:ind w:right="30"/>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37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8" w:name="page19"/>
    <w:bookmarkEnd w:id="18"/>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489"/>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2021.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9"/>
        <w:spacing w:after="0" w:line="254" w:lineRule="auto"/>
        <w:rPr>
          <w:sz w:val="20"/>
          <w:szCs w:val="20"/>
          <w:color w:val="auto"/>
        </w:rPr>
      </w:pPr>
      <w:r>
        <w:rPr>
          <w:rFonts w:ascii="Arial" w:cs="Arial" w:eastAsia="Arial" w:hAnsi="Arial"/>
          <w:sz w:val="18"/>
          <w:szCs w:val="18"/>
          <w:color w:val="auto"/>
        </w:rPr>
        <w:t>We provide state-of-the-art light emitting diode (“LED”) lighting systems, wireless Internet of Things (“IoT”) enabled control solutions, project engineering, design energy project management and maintenance services. We help our customers achieve energy savings with healthy, safe and sustainable solutions that enable them to reduce their carbon footprint and digitize their business.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41"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most of our products are manufactured at our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34"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30" w:lineRule="exact"/>
        <w:rPr>
          <w:sz w:val="20"/>
          <w:szCs w:val="20"/>
          <w:color w:val="auto"/>
        </w:rPr>
      </w:pPr>
    </w:p>
    <w:p>
      <w:pPr>
        <w:jc w:val="both"/>
        <w:ind w:firstLine="489"/>
        <w:spacing w:after="0" w:line="272" w:lineRule="auto"/>
        <w:rPr>
          <w:sz w:val="20"/>
          <w:szCs w:val="20"/>
          <w:color w:val="auto"/>
        </w:rPr>
      </w:pPr>
      <w:r>
        <w:rPr>
          <w:rFonts w:ascii="Arial" w:cs="Arial" w:eastAsia="Arial" w:hAnsi="Arial"/>
          <w:sz w:val="17"/>
          <w:szCs w:val="17"/>
          <w:color w:val="auto"/>
        </w:rPr>
        <w:t>In fiscal 2021, we successfully capitalized on our capability of being a full service, turnkey provider of LED lighting and controls systems with design, build, installation and project management services, as we continued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which would more quickly add these types of expanded and different capabilities to our product and services offerings. It is possible that one or more of such potential acquisitions, if successfully completed, could significantly change, and potentially transform, the nature and extent of our business.</w:t>
      </w:r>
    </w:p>
    <w:p>
      <w:pPr>
        <w:spacing w:after="0" w:line="138" w:lineRule="exact"/>
        <w:rPr>
          <w:sz w:val="20"/>
          <w:szCs w:val="20"/>
          <w:color w:val="auto"/>
        </w:rPr>
      </w:pPr>
    </w:p>
    <w:p>
      <w:pPr>
        <w:jc w:val="both"/>
        <w:ind w:firstLine="489"/>
        <w:spacing w:after="0" w:line="271" w:lineRule="auto"/>
        <w:rPr>
          <w:sz w:val="20"/>
          <w:szCs w:val="20"/>
          <w:color w:val="auto"/>
        </w:rPr>
      </w:pPr>
      <w:r>
        <w:rPr>
          <w:rFonts w:ascii="Arial" w:cs="Arial" w:eastAsia="Arial" w:hAnsi="Arial"/>
          <w:sz w:val="17"/>
          <w:szCs w:val="17"/>
          <w:color w:val="auto"/>
        </w:rPr>
        <w:t>We generally do not have long-term contracts with our customers that provide us with recurring revenue from period to period and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24"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30" w:lineRule="exact"/>
        <w:rPr>
          <w:sz w:val="20"/>
          <w:szCs w:val="20"/>
          <w:color w:val="auto"/>
        </w:rPr>
      </w:pPr>
    </w:p>
    <w:p>
      <w:pPr>
        <w:ind w:right="220" w:firstLine="489"/>
        <w:spacing w:after="0" w:line="263" w:lineRule="auto"/>
        <w:rPr>
          <w:sz w:val="20"/>
          <w:szCs w:val="20"/>
          <w:color w:val="auto"/>
        </w:rPr>
      </w:pPr>
      <w:r>
        <w:rPr>
          <w:rFonts w:ascii="Arial" w:cs="Arial" w:eastAsia="Arial" w:hAnsi="Arial"/>
          <w:sz w:val="18"/>
          <w:szCs w:val="18"/>
          <w:color w:val="auto"/>
        </w:rPr>
        <w:t>The gross profits of our products and services can vary significantly depending upon the types of products and services we sell, with margins typically ranging from 10% to 50%. As a result, a change in the total mix of our sales among higher or lower margin products and services can cause our profitability to fluctuate from period to period.</w:t>
      </w:r>
    </w:p>
    <w:p>
      <w:pPr>
        <w:spacing w:after="0" w:line="130" w:lineRule="exact"/>
        <w:rPr>
          <w:sz w:val="20"/>
          <w:szCs w:val="20"/>
          <w:color w:val="auto"/>
        </w:rPr>
      </w:pPr>
    </w:p>
    <w:p>
      <w:pPr>
        <w:ind w:right="100" w:firstLine="489"/>
        <w:spacing w:after="0" w:line="259" w:lineRule="auto"/>
        <w:rPr>
          <w:sz w:val="20"/>
          <w:szCs w:val="20"/>
          <w:color w:val="auto"/>
        </w:rPr>
      </w:pPr>
      <w:r>
        <w:rPr>
          <w:rFonts w:ascii="Arial" w:cs="Arial" w:eastAsia="Arial" w:hAnsi="Arial"/>
          <w:sz w:val="18"/>
          <w:szCs w:val="18"/>
          <w:color w:val="auto"/>
        </w:rPr>
        <w:t>Our fiscal year ends on March 31. Our current fiscal year ends on March 31, 2022 and is referred to as “fiscal 2022”. We refer to our just completed fiscal year, which ended on March 31, 2021, as "fiscal 2021", and our prior fiscal year which ended on March 31, 2020 as "fiscal 2020". Our fiscal first quarter of each fiscal year ends on June 30, our fiscal second quarter ends on September 30, our fiscal third quarter ends on December 31 and our fiscal fourth quarter ends on March 31.</w:t>
      </w:r>
    </w:p>
    <w:p>
      <w:pPr>
        <w:spacing w:after="0" w:line="133" w:lineRule="exact"/>
        <w:rPr>
          <w:sz w:val="20"/>
          <w:szCs w:val="20"/>
          <w:color w:val="auto"/>
        </w:rPr>
      </w:pPr>
    </w:p>
    <w:p>
      <w:pPr>
        <w:ind w:right="300" w:firstLine="489"/>
        <w:spacing w:after="0" w:line="311"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Engineered Systems Division ("OES"), and Orion Distribution Services Division ("ODS"), and Orion U.S. Markets Division (“USM”).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5" w:lineRule="exact"/>
        <w:rPr>
          <w:sz w:val="20"/>
          <w:szCs w:val="20"/>
          <w:color w:val="auto"/>
        </w:rPr>
      </w:pPr>
    </w:p>
    <w:p>
      <w:pPr>
        <w:jc w:val="both"/>
        <w:ind w:firstLine="599"/>
        <w:spacing w:after="0" w:line="273" w:lineRule="auto"/>
        <w:rPr>
          <w:sz w:val="20"/>
          <w:szCs w:val="20"/>
          <w:color w:val="auto"/>
        </w:rPr>
      </w:pPr>
      <w:r>
        <w:rPr>
          <w:rFonts w:ascii="Arial" w:cs="Arial" w:eastAsia="Arial" w:hAnsi="Arial"/>
          <w:sz w:val="17"/>
          <w:szCs w:val="17"/>
          <w:color w:val="auto"/>
        </w:rPr>
        <w:t>The COVID-19 pandemic has disrupted business, trade, commerce, financial and credit markets, in the U.S. and globally. Our business was adversely impacted by measures taken by government entities and others to control the spread of the virus beginning in March 2020, the last few weeks of our 2020 fiscal year, and continuing most significantly into the second quarter of fiscal 2021. During the second half of fiscal 2021, we experienced a rebound in business. Project installations for our largest customer recommenced, as well installations for a new large specialty retail customer began, with no further significant COVID-19 impacts. However, some customers continue to refrain from awarding new projects and potential future risks remain due to the COVID-19 pandemic, including supply chain disruption for certain components.</w:t>
      </w:r>
    </w:p>
    <w:p>
      <w:pPr>
        <w:spacing w:after="0" w:line="124"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7"/>
          <w:szCs w:val="17"/>
          <w:color w:val="auto"/>
        </w:rPr>
        <w:t>As a deemed essential business, we provide products and services to ensure energy and lighting infrastructure and we therefore have continued to operate throughout the pandemic. We have implemented a number of safety protocols, including limiting travel and restricting access to our facilities along with monitoring processes, physical distancing, physical barriers, enhanced cleaning procedures and requiring face coverings.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jc w:val="both"/>
        <w:ind w:firstLine="599"/>
        <w:spacing w:after="0" w:line="288" w:lineRule="auto"/>
        <w:rPr>
          <w:sz w:val="20"/>
          <w:szCs w:val="20"/>
          <w:color w:val="auto"/>
        </w:rPr>
      </w:pPr>
      <w:r>
        <w:rPr>
          <w:rFonts w:ascii="Arial" w:cs="Arial" w:eastAsia="Arial" w:hAnsi="Arial"/>
          <w:sz w:val="16"/>
          <w:szCs w:val="16"/>
          <w:color w:val="auto"/>
        </w:rPr>
        <w:t>As part of our response to the impacts of the COVID-19 pandemic, during the fourth quarter of fiscal 2020 we implemented a number of cost reduction and cash conservation measures, including reducing headcount. While certain restrictions have lessened in certain jurisdictions during fiscal 2021, some restrictions continue. Some customers and projects are in areas where travel restrictions have been imposed, certain customers have either closed or reduced on-site activities, and timelines for the completion of several projects have been delayed, extended or terminated. These modifications to our business practices, including any future actions we take, may cause us to experience reductions in productivity and disruptions to our business routines. In addition, we are required to make substantial working capital expenditures and advance inventory purchases that we may not be able to recoup if our customer agreements or a substantial volume of purchase orders under our customer agreements are delayed or terminated as a result of COVID-19. At this time,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there is a resurgence of the COVID-19 pandemic, our markets and operations could be impacted and there could be a further material adverse financial impact.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2021 versus Three Months Ended June 30, 2020</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2"/>
              </w:rPr>
              <w:t>Three Months Ended June 30,</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96"/>
              </w:rPr>
              <w:t>2021</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Revenue</w:t>
            </w:r>
          </w:p>
        </w:tc>
        <w:tc>
          <w:tcPr>
            <w:tcW w:w="3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517.6%</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224.7%</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7,229</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168.8%</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55.4%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474.2%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8,176</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204.2%</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70.9%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288.2%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2,411</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22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22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1097.3%</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22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-98425</wp:posOffset>
            </wp:positionV>
            <wp:extent cx="38322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32225" cy="8890"/>
                    </a:xfrm>
                    <a:prstGeom prst="rect">
                      <a:avLst/>
                    </a:prstGeom>
                    <a:noFill/>
                  </pic:spPr>
                </pic:pic>
              </a:graphicData>
            </a:graphic>
          </wp:anchor>
        </w:drawing>
      </w:r>
    </w:p>
    <w:p>
      <w:pPr>
        <w:spacing w:after="0" w:line="134"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191.2%, or $18.5 million, for the first quarter of fiscal 2022 versus the first quarter of fiscal 2021.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increased 517.6%, or $5.7 million, for the first quarter of fiscal 2022 versus the first quarter of fiscal 2021. The increase in product and service revenue was primarily due to multiple projects put on hold in the prior year period as a result of COVID-19 concerns, including the projects for one large national account customer which represented 50.9% of revenue in the first quarter of fiscal 2022, but less than 10% of revenue in the first quarter of fiscal 2021.</w:t>
      </w:r>
    </w:p>
    <w:p>
      <w:pPr>
        <w:spacing w:after="0" w:line="134"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i w:val="1"/>
          <w:iCs w:val="1"/>
          <w:color w:val="auto"/>
        </w:rPr>
        <w:t xml:space="preserve">Cost of Revenue and Gross Profit. </w:t>
      </w:r>
      <w:r>
        <w:rPr>
          <w:rFonts w:ascii="Arial" w:cs="Arial" w:eastAsia="Arial" w:hAnsi="Arial"/>
          <w:sz w:val="18"/>
          <w:szCs w:val="18"/>
          <w:color w:val="auto"/>
        </w:rPr>
        <w:t>Gross profit percentage increased to 29.1% of revenue in the first quarter of fiscal 2022 from 24.4%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2021, due primarily to an improvement in product margin on the coverage of fixed costs with significantly higher sales volume. Cost of product revenue increased 168.8%, or $12.2 million, in the first quarter of fiscal 2022 versus the first quarter of fiscal 2021 due to the increase in our sales. Cost of service revenue increased 474.2%, or $4.5 million, in the first quarter of fiscal 2022 versus the first quarter of fiscal 2021 due to the increase in sales.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29.0%, or $0.7 million, in the first quarter of fiscal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fiscal 2021. This comparative increase was primarily due to lower employment costs in fiscal 2021 as a result of COVID-19 related actions.</w:t>
      </w:r>
    </w:p>
    <w:p>
      <w:pPr>
        <w:spacing w:after="0" w:line="13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75.0%, or $1.4 million, in the first quarter of fiscal 2022 compared to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2021. This comparative increase was primarily due to an increase in commission expense on higher sales.</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9.9%, or $41 thousand, in the first quarter of fiscal 2022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fiscal 2021. This comparative increase was primarily due to the timing of testing costs.</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quarter of fiscal 2022 decreased by 61.2%, or $30 thousand, from the first quarter of fiscal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interest expense was primarily due to comparatively lower sales of receivables than in the prior 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OES segment develops and sells lighting products and provides construction and engineering services for our commercial lighting and energy management systems. OES provides engineering, design, lighting products and in many cases turnkey solutions for large national accounts, governments, municipalities, schools and other customers.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Three Months Ended June 30,</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36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21,988</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1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1,864</w:t>
            </w:r>
          </w:p>
        </w:tc>
        <w:tc>
          <w:tcPr>
            <w:tcW w:w="112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(1,850)</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Operating margin</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8"/>
                <w:szCs w:val="18"/>
                <w:color w:val="auto"/>
              </w:rPr>
              <w:t>8.5%</w:t>
            </w:r>
          </w:p>
        </w:tc>
        <w:tc>
          <w:tcPr>
            <w:tcW w:w="8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(82.0)%</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82" w:lineRule="exact"/>
        <w:rPr>
          <w:sz w:val="20"/>
          <w:szCs w:val="20"/>
          <w:color w:val="auto"/>
        </w:rPr>
      </w:pPr>
    </w:p>
    <w:p>
      <w:pPr>
        <w:jc w:val="both"/>
        <w:ind w:firstLine="493"/>
        <w:spacing w:after="0" w:line="279" w:lineRule="auto"/>
        <w:rPr>
          <w:sz w:val="20"/>
          <w:szCs w:val="20"/>
          <w:color w:val="auto"/>
        </w:rPr>
      </w:pPr>
      <w:r>
        <w:rPr>
          <w:rFonts w:ascii="Arial" w:cs="Arial" w:eastAsia="Arial" w:hAnsi="Arial"/>
          <w:sz w:val="17"/>
          <w:szCs w:val="17"/>
          <w:color w:val="auto"/>
        </w:rPr>
        <w:t>OES segment revenue in the first quarter of fiscal 2022 increased $19.7 million from the first quarter of fiscal 2021 due to multiple projects put on hold in the prior year period as a result of COVID-19, including the projects with one large national account customer that represented 50.9% in the first quarter of fiscal 2022 and less than 10% of total revenue in the first quarter fiscal 2021. The project installations for this customer resumed during the second quarter of fiscal 2021. This sales increase led to a corresponding increase in operating income in this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Three Months Ended June 30,</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9,286</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6,629</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2,122</w:t>
            </w:r>
          </w:p>
        </w:tc>
        <w:tc>
          <w:tcPr>
            <w:tcW w:w="11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752</w:t>
            </w:r>
          </w:p>
        </w:tc>
        <w:tc>
          <w:tcPr>
            <w:tcW w:w="3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22.9%</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ODS segment revenue in the first quarter of fiscal 2022 increased $2.7 million, compared to the first quarter of fiscal 2021, primarily due to the impact on sales volume of COVID-19 in the fiscal 2021 period, and resulted in a corresponding increase in operating income in this segment based on operating leverage.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Three Months Ended June 30,</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32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3,827</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1,926</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651</w:t>
            </w:r>
          </w:p>
        </w:tc>
        <w:tc>
          <w:tcPr>
            <w:tcW w:w="11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17.0%</w:t>
            </w: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93"/>
        <w:spacing w:after="0" w:line="342" w:lineRule="auto"/>
        <w:rPr>
          <w:sz w:val="20"/>
          <w:szCs w:val="20"/>
          <w:color w:val="auto"/>
        </w:rPr>
      </w:pPr>
      <w:r>
        <w:rPr>
          <w:rFonts w:ascii="Arial" w:cs="Arial" w:eastAsia="Arial" w:hAnsi="Arial"/>
          <w:sz w:val="16"/>
          <w:szCs w:val="16"/>
          <w:color w:val="auto"/>
        </w:rPr>
        <w:t>USM segment revenue in the first quarter of fiscal 2022 increased $1.9 million, compared to the first quarter of fiscal 2021, primarily due to the impact of COVID-19 in the fiscal 2021 period, and resulted in a corresponding increase in operating income in this segment based on operating leverage.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We had approximately $15.9 million in cash and cash equivalents as of June 30, 2021, compared to $19.4 million at March 31, 2021. Our cash position decreased as a result of an increase in accounts receivable of $5.9 million, a decrease in accrued expenses of $3.6 million, and a non-controlling equity investment of $0.5 million, partially offset by net income of $2.5 million, a decrease in revenue earned not billed of $1.9 million, and an increase in accounts payable of $1.4 million.</w:t>
      </w:r>
    </w:p>
    <w:p>
      <w:pPr>
        <w:spacing w:after="0" w:line="13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profits, cash management practices, cost reduction initiatives, working capital management, capital expenditures, pending or future litigation results and cost containment measures. In addition, we tend to experience higher working capital costs when we increase sales from existing levels.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three months ended June 30, 2021 and 2020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(2,966)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(656)</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(10,014)</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(3,530)</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(17,967)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consists of net income (loss) adjusted for certain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items, including depreciation, amortization of intangible assets, stock-based compensation, amortization of debt issue costs, provisions for reserves, and the effect of changes in working capital and other activities.</w:t>
      </w:r>
    </w:p>
    <w:p>
      <w:pPr>
        <w:spacing w:after="0" w:line="130" w:lineRule="exact"/>
        <w:rPr>
          <w:sz w:val="20"/>
          <w:szCs w:val="20"/>
          <w:color w:val="auto"/>
        </w:rPr>
      </w:pPr>
    </w:p>
    <w:p>
      <w:pPr>
        <w:jc w:val="both"/>
        <w:ind w:firstLine="489"/>
        <w:spacing w:after="0" w:line="296" w:lineRule="auto"/>
        <w:rPr>
          <w:sz w:val="20"/>
          <w:szCs w:val="20"/>
          <w:color w:val="auto"/>
        </w:rPr>
      </w:pPr>
      <w:r>
        <w:rPr>
          <w:rFonts w:ascii="Arial" w:cs="Arial" w:eastAsia="Arial" w:hAnsi="Arial"/>
          <w:sz w:val="16"/>
          <w:szCs w:val="16"/>
          <w:color w:val="auto"/>
        </w:rPr>
        <w:t>Cash used in operating activities for the first three months of fiscal 2022 was $3.0 million and consisted of our net income adjusted for non-cash expense items of $1.6 million and net cash used in changes in operating assets and liabilities of $7.0 million. Cash used by operating assets and liabilities consisted primarily of an increase in accounts receivable of $5.9 million due to higher sales and the timing of collections, and a decrease in accrued expenses and other of $3.6 million due to timing of invoices received. Cash provided by changes in operating assets and liabilities consisted primarily of a decrease of $1.9 million in revenue earned but not billed and an increase in accounts payable of $1.4 million due to the timing of payments.</w:t>
      </w:r>
    </w:p>
    <w:p>
      <w:pPr>
        <w:spacing w:after="0" w:line="107"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Cash used in operating activities for the first three months of fiscal 2021 was $7.7 million and consisted of our net loss adjusted for non-cash expense items of $0.7 million and net cash used in changes in operating assets and liabilities of $6.2 million. Cash used by operating assets and liabilities consisted primarily of a decrease of $7.4 million in Accounts payable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Accrued expenses and other based on timing of invoice receipt and payment, and an increase in inventory of $2.6 million based on timing of purchases committed prior to the impact of COVID-19. Cash provided by changes in operating assets and liabilities consisted primarily of a net decrease of $3.7 million in Accounts receivable and Revenue earned but not billed due to the timing on collections compared to decreased sales.</w:t>
      </w:r>
    </w:p>
    <w:p>
      <w:pPr>
        <w:spacing w:after="0" w:line="11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$0.7 million in the first three months of fiscal 2022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cash paid for a non-controlling equity stake in ndustrial of $0.5 million and purchases of property and equipment.</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used in investing activities of $0.2 million in the first three months of fiscal 2021 consisted primarily of purchases of property and equipment.</w:t>
      </w:r>
    </w:p>
    <w:p>
      <w:pPr>
        <w:spacing w:after="0" w:line="194" w:lineRule="exact"/>
        <w:rPr>
          <w:sz w:val="20"/>
          <w:szCs w:val="20"/>
          <w:color w:val="auto"/>
        </w:rPr>
      </w:pPr>
    </w:p>
    <w:p>
      <w:pPr>
        <w:jc w:val="both"/>
        <w:ind w:right="20" w:firstLine="489"/>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provided by financing activities of $0.1 million in the first three months of fiscal 2022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proceeds from employee equity exercises.</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Cash used in financing activities of $10.0 million in the first three months of fiscal 2021 consisted primarily of repayments of $10.0 million on our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489"/>
        <w:spacing w:after="0" w:line="301" w:lineRule="auto"/>
        <w:rPr>
          <w:sz w:val="20"/>
          <w:szCs w:val="20"/>
          <w:color w:val="auto"/>
        </w:rPr>
      </w:pPr>
      <w:r>
        <w:rPr>
          <w:rFonts w:ascii="Arial" w:cs="Arial" w:eastAsia="Arial" w:hAnsi="Arial"/>
          <w:sz w:val="16"/>
          <w:szCs w:val="16"/>
          <w:color w:val="auto"/>
        </w:rPr>
        <w:t>Our net working capital as of June 30, 2021 was $29.4 million, consisting of $58.0 million in current assets and $28.6 million in current liabilities. Our net working capital as of March 31, 2021 was $26.2 million, consisting of $56.5 million in current assets and $30.4 million in current liabilities. Our current accounts receivable, net balance increased by $5.9 million from the fiscal 2021 year-end primarily due to the timing of invoicing and customer collections. Our accrued expenses decreased from our fiscal 2021 year-end by $3.4 million due primarily to a decrease in accrued project costs.</w:t>
      </w:r>
    </w:p>
    <w:p>
      <w:pPr>
        <w:spacing w:after="0" w:line="103" w:lineRule="exact"/>
        <w:rPr>
          <w:sz w:val="20"/>
          <w:szCs w:val="20"/>
          <w:color w:val="auto"/>
        </w:rPr>
      </w:pPr>
    </w:p>
    <w:p>
      <w:pPr>
        <w:jc w:val="both"/>
        <w:ind w:firstLine="489"/>
        <w:spacing w:after="0" w:line="255"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 In addition, in order to provide quality and timely service under our multi-location master retrofit agreements we are required to make substantial working capital expenditures and advance inventory purchases, including purchases to support the provision of products and services to our largest customer.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On December 29, 2020, we entered into a new $25 million Loan and Security Agreement (the “Credit Agreement”) with Bank of America, N.A., as lender (the “Lender”). The Credit Agreement replaced our prior $20.15 million secured revolving credit and security agreement (the “Prior Credit Agreement”).</w:t>
      </w:r>
    </w:p>
    <w:p>
      <w:pPr>
        <w:spacing w:after="0" w:line="13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us with increased financing capacity and liquidity to fund our operations and implement our strategic plans.</w:t>
      </w:r>
    </w:p>
    <w:p>
      <w:pPr>
        <w:spacing w:after="0" w:line="116" w:lineRule="exact"/>
        <w:rPr>
          <w:sz w:val="20"/>
          <w:szCs w:val="20"/>
          <w:color w:val="auto"/>
        </w:rPr>
      </w:pPr>
    </w:p>
    <w:p>
      <w:pPr>
        <w:jc w:val="both"/>
        <w:ind w:firstLine="489"/>
        <w:spacing w:after="0" w:line="286" w:lineRule="auto"/>
        <w:rPr>
          <w:sz w:val="20"/>
          <w:szCs w:val="20"/>
          <w:color w:val="auto"/>
        </w:rPr>
      </w:pPr>
      <w:r>
        <w:rPr>
          <w:rFonts w:ascii="Arial" w:cs="Arial" w:eastAsia="Arial" w:hAnsi="Arial"/>
          <w:sz w:val="17"/>
          <w:szCs w:val="17"/>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June 30, 2021, the borrowing base supports the full availability of the Credit Facility. As of June 30, 2021, no amounts were borrowed under the Credit Facility.</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first lien security interest in substantially all of our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$12.2 million and $19.2 million as of June 30, 2021 and March 31, 2021, respectively. We generally expect our backlog to be recognized as revenue within one year, although the COVID-19 pandemic may extend this time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Our results from operations have not been materially affected by inflation. We are monitoring input costs and cannot currently predict the future impact to our operations by inflation.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93"/>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2021. For the three months ended June 30, 2021, there were no material changes in our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3 in the Condensed Consolidated Financial Statements included elsewhere 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5" w:name="page26"/>
    <w:bookmarkEnd w:id="25"/>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2021. There have been no material changes to such exposures since March 31, 2021.</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30"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As of June 30, 2021,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93"/>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13a-15(e) and Rule 15d-15(e) of the Exchange Act) for the three months ended June 30, 2021, that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15 – Commitments and Contingencies, to the Condensed Consolidated Financial Statements in Item 1 of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2021, which we filed with the SEC on June 1, 2021 and in Part 1 - Item 2 under the heading "Management's Discussion and Analysis of Financial Condition and Results of Operations" in this Form 10-Q.</w:t>
      </w:r>
    </w:p>
    <w:p>
      <w:pPr>
        <w:spacing w:after="0" w:line="21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Chief Executive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Securities Exchange Act of 1934, as amended.+</w:t>
              </w:r>
            </w:hyperlink>
          </w:p>
        </w:tc>
        <w:tc>
          <w:tcPr>
            <w:tcW w:w="6640" w:type="dxa"/>
            <w:vAlign w:val="bottom"/>
            <w:gridSpan w:val="5"/>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10100" w:type="dxa"/>
            <w:vAlign w:val="bottom"/>
            <w:gridSpan w:val="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Chief Financial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Securities Exchange Act of 1934, as amended.+</w:t>
              </w:r>
            </w:hyperlink>
          </w:p>
        </w:tc>
        <w:tc>
          <w:tcPr>
            <w:tcW w:w="658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95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Chief Executive Officer of Orion Energy Systems, Inc. pursuant to Rule 13a-14(b) promulgated under the Securities</w:t>
              </w:r>
            </w:hyperlink>
          </w:p>
        </w:tc>
        <w:tc>
          <w:tcPr>
            <w:tcW w:w="56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Exchange Act of 1934, as amended, and 18 U.S.C. Section 1350, as adopted pursuant to Section 906 of the Sarbanes-Oxley Act of 2002.+</w:t>
              </w:r>
            </w:hyperlink>
          </w:p>
        </w:tc>
        <w:tc>
          <w:tcPr>
            <w:tcW w:w="140" w:type="dxa"/>
            <w:vAlign w:val="bottom"/>
            <w:gridSpan w:val="2"/>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32.2</w:t>
            </w:r>
          </w:p>
        </w:tc>
        <w:tc>
          <w:tcPr>
            <w:tcW w:w="10100" w:type="dxa"/>
            <w:vAlign w:val="bottom"/>
            <w:gridSpan w:val="6"/>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Certification of Chief Financial Officer of Orion Energy Systems, Inc. pursuant to Rule 13a-14(b) promulgated under the Securities</w:t>
              </w:r>
            </w:hyperlink>
          </w:p>
        </w:tc>
      </w:tr>
      <w:tr>
        <w:trPr>
          <w:trHeight w:val="20"/>
        </w:trPr>
        <w:tc>
          <w:tcPr>
            <w:tcW w:w="1080" w:type="dxa"/>
            <w:vAlign w:val="bottom"/>
          </w:tcPr>
          <w:p>
            <w:pPr>
              <w:spacing w:after="0" w:line="20" w:lineRule="exact"/>
              <w:rPr>
                <w:sz w:val="1"/>
                <w:szCs w:val="1"/>
                <w:color w:val="auto"/>
              </w:rPr>
            </w:pPr>
          </w:p>
        </w:tc>
        <w:tc>
          <w:tcPr>
            <w:tcW w:w="948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Exchange Act of 1934, as amended, and 18 U.S.C. Section 1350, as adopted pursuant to Section 906 of the Sarbanes-Oxley Act of 2002.+</w:t>
              </w:r>
            </w:hyperlink>
          </w:p>
        </w:tc>
        <w:tc>
          <w:tcPr>
            <w:tcW w:w="140" w:type="dxa"/>
            <w:vAlign w:val="bottom"/>
            <w:gridSpan w:val="2"/>
          </w:tcPr>
          <w:p>
            <w:pPr>
              <w:spacing w:after="0"/>
              <w:rPr>
                <w:sz w:val="17"/>
                <w:szCs w:val="17"/>
                <w:color w:val="auto"/>
              </w:rPr>
            </w:pPr>
          </w:p>
        </w:tc>
      </w:tr>
      <w:tr>
        <w:trPr>
          <w:trHeight w:val="35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080" w:right="400" w:hanging="107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2021, has been formatted in Inline XBRL.</w:t>
      </w:r>
    </w:p>
    <w:p>
      <w:pPr>
        <w:spacing w:after="0" w:line="17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4,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Per Brodin</w:t>
            </w:r>
          </w:p>
        </w:tc>
      </w:tr>
      <w:tr>
        <w:trPr>
          <w:trHeight w:val="195"/>
        </w:trPr>
        <w:tc>
          <w:tcPr>
            <w:tcW w:w="5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 Per Brodin</w:t>
            </w: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 and Authorized Signatory)</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53"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 Per Brodin, certify that:</w:t>
      </w:r>
    </w:p>
    <w:p>
      <w:pPr>
        <w:spacing w:after="0" w:line="225"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J. Per Brodin</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2021,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41" w:lineRule="exact"/>
        <w:rPr>
          <w:sz w:val="20"/>
          <w:szCs w:val="20"/>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August 4, 2021</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Orion Energy Systems, Inc., a Wisconsin corporation (the “Company”), on Form 10-Q for the period ended June 30, 2021,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57" w:lineRule="exact"/>
        <w:rPr>
          <w:sz w:val="20"/>
          <w:szCs w:val="20"/>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August 4, 2021</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 Per Brodin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04"/>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2021-08-04T15:52:09Z</dcterms:created>
  <dcterms:modified xsi:type="dcterms:W3CDTF">2021-08-04T15:52:09Z</dcterms:modified>
</cp:coreProperties>
</file>