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-215265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2650490</wp:posOffset>
            </wp:positionH>
            <wp:positionV relativeFrom="paragraph">
              <wp:posOffset>90170</wp:posOffset>
            </wp:positionV>
            <wp:extent cx="18408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40865" cy="8255"/>
                    </a:xfrm>
                    <a:prstGeom prst="rect">
                      <a:avLst/>
                    </a:prstGeom>
                    <a:noFill/>
                  </pic:spPr>
                </pic:pic>
              </a:graphicData>
            </a:graphic>
          </wp:anchor>
        </w:drawing>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2650490</wp:posOffset>
            </wp:positionH>
            <wp:positionV relativeFrom="paragraph">
              <wp:posOffset>109220</wp:posOffset>
            </wp:positionV>
            <wp:extent cx="18408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40865" cy="8255"/>
                    </a:xfrm>
                    <a:prstGeom prst="rect">
                      <a:avLst/>
                    </a:prstGeom>
                    <a:noFill/>
                  </pic:spPr>
                </pic:pic>
              </a:graphicData>
            </a:graphic>
          </wp:anchor>
        </w:drawing>
      </w:r>
    </w:p>
    <w:p>
      <w:pPr>
        <w:spacing w:after="0" w:line="260" w:lineRule="exact"/>
        <w:rPr>
          <w:sz w:val="24"/>
          <w:szCs w:val="24"/>
          <w:color w:val="auto"/>
        </w:rPr>
      </w:pPr>
    </w:p>
    <w:p>
      <w:pPr>
        <w:ind w:left="520" w:right="20" w:hanging="512"/>
        <w:spacing w:after="0" w:line="256" w:lineRule="auto"/>
        <w:tabs>
          <w:tab w:leader="none" w:pos="456"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December 31, 2022</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21" w:lineRule="exact"/>
        <w:rPr>
          <w:sz w:val="24"/>
          <w:szCs w:val="24"/>
          <w:color w:val="auto"/>
        </w:rPr>
      </w:pPr>
    </w:p>
    <w:p>
      <w:pPr>
        <w:ind w:left="520" w:right="20" w:hanging="512"/>
        <w:spacing w:after="0" w:line="256" w:lineRule="auto"/>
        <w:tabs>
          <w:tab w:leader="none" w:pos="442"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001-33887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2650490</wp:posOffset>
            </wp:positionH>
            <wp:positionV relativeFrom="paragraph">
              <wp:posOffset>102870</wp:posOffset>
            </wp:positionV>
            <wp:extent cx="18408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40865" cy="8255"/>
                    </a:xfrm>
                    <a:prstGeom prst="rect">
                      <a:avLst/>
                    </a:prstGeom>
                    <a:noFill/>
                  </pic:spPr>
                </pic:pic>
              </a:graphicData>
            </a:graphic>
          </wp:anchor>
        </w:drawing>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Orion Energy Systems,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2650490</wp:posOffset>
            </wp:positionH>
            <wp:positionV relativeFrom="paragraph">
              <wp:posOffset>98425</wp:posOffset>
            </wp:positionV>
            <wp:extent cx="18408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40865" cy="8255"/>
                    </a:xfrm>
                    <a:prstGeom prst="rect">
                      <a:avLst/>
                    </a:prstGeom>
                    <a:noFill/>
                  </pic:spPr>
                </pic:pic>
              </a:graphicData>
            </a:graphic>
          </wp:anchor>
        </w:drawing>
      </w:r>
    </w:p>
    <w:p>
      <w:pPr>
        <w:spacing w:after="0" w:line="26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80" w:type="dxa"/>
            <w:vAlign w:val="bottom"/>
            <w:gridSpan w:val="3"/>
          </w:tcPr>
          <w:p>
            <w:pPr>
              <w:jc w:val="center"/>
              <w:ind w:left="680"/>
              <w:spacing w:after="0"/>
              <w:rPr>
                <w:sz w:val="20"/>
                <w:szCs w:val="20"/>
                <w:color w:val="auto"/>
              </w:rPr>
            </w:pPr>
            <w:r>
              <w:rPr>
                <w:rFonts w:ascii="Arial" w:cs="Arial" w:eastAsia="Arial" w:hAnsi="Arial"/>
                <w:sz w:val="18"/>
                <w:szCs w:val="18"/>
                <w:b w:val="1"/>
                <w:bCs w:val="1"/>
                <w:color w:val="auto"/>
                <w:w w:val="86"/>
              </w:rPr>
              <w:t>Wisconsin</w:t>
            </w:r>
          </w:p>
        </w:tc>
        <w:tc>
          <w:tcPr>
            <w:tcW w:w="2760" w:type="dxa"/>
            <w:vAlign w:val="bottom"/>
          </w:tcPr>
          <w:p>
            <w:pPr>
              <w:spacing w:after="0"/>
              <w:rPr>
                <w:sz w:val="20"/>
                <w:szCs w:val="20"/>
                <w:color w:val="auto"/>
              </w:rPr>
            </w:pPr>
          </w:p>
        </w:tc>
        <w:tc>
          <w:tcPr>
            <w:tcW w:w="3700" w:type="dxa"/>
            <w:vAlign w:val="bottom"/>
            <w:gridSpan w:val="2"/>
          </w:tcPr>
          <w:p>
            <w:pPr>
              <w:jc w:val="right"/>
              <w:ind w:right="2248"/>
              <w:spacing w:after="0"/>
              <w:rPr>
                <w:sz w:val="20"/>
                <w:szCs w:val="20"/>
                <w:color w:val="auto"/>
              </w:rPr>
            </w:pPr>
            <w:r>
              <w:rPr>
                <w:rFonts w:ascii="Arial" w:cs="Arial" w:eastAsia="Arial" w:hAnsi="Arial"/>
                <w:sz w:val="18"/>
                <w:szCs w:val="18"/>
                <w:b w:val="1"/>
                <w:bCs w:val="1"/>
                <w:color w:val="auto"/>
              </w:rPr>
              <w:t>39-1847269</w:t>
            </w:r>
          </w:p>
        </w:tc>
        <w:tc>
          <w:tcPr>
            <w:tcW w:w="0" w:type="dxa"/>
            <w:vAlign w:val="bottom"/>
          </w:tcPr>
          <w:p>
            <w:pPr>
              <w:spacing w:after="0"/>
              <w:rPr>
                <w:sz w:val="1"/>
                <w:szCs w:val="1"/>
                <w:color w:val="auto"/>
              </w:rPr>
            </w:pPr>
          </w:p>
        </w:tc>
      </w:tr>
      <w:tr>
        <w:trPr>
          <w:trHeight w:val="153"/>
        </w:trPr>
        <w:tc>
          <w:tcPr>
            <w:tcW w:w="4780" w:type="dxa"/>
            <w:vAlign w:val="bottom"/>
            <w:gridSpan w:val="3"/>
          </w:tcPr>
          <w:p>
            <w:pPr>
              <w:jc w:val="center"/>
              <w:ind w:left="660"/>
              <w:spacing w:after="0" w:line="153" w:lineRule="exact"/>
              <w:rPr>
                <w:sz w:val="20"/>
                <w:szCs w:val="20"/>
                <w:color w:val="auto"/>
              </w:rPr>
            </w:pPr>
            <w:r>
              <w:rPr>
                <w:rFonts w:ascii="Arial" w:cs="Arial" w:eastAsia="Arial" w:hAnsi="Arial"/>
                <w:sz w:val="14"/>
                <w:szCs w:val="14"/>
                <w:b w:val="1"/>
                <w:bCs w:val="1"/>
                <w:color w:val="auto"/>
                <w:w w:val="93"/>
              </w:rPr>
              <w:t>(State or other jurisdiction of</w:t>
            </w:r>
          </w:p>
        </w:tc>
        <w:tc>
          <w:tcPr>
            <w:tcW w:w="2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580" w:type="dxa"/>
            <w:vAlign w:val="bottom"/>
          </w:tcPr>
          <w:p>
            <w:pPr>
              <w:jc w:val="center"/>
              <w:ind w:right="1848"/>
              <w:spacing w:after="0" w:line="153" w:lineRule="exact"/>
              <w:rPr>
                <w:sz w:val="20"/>
                <w:szCs w:val="20"/>
                <w:color w:val="auto"/>
              </w:rPr>
            </w:pPr>
            <w:r>
              <w:rPr>
                <w:rFonts w:ascii="Arial" w:cs="Arial" w:eastAsia="Arial" w:hAnsi="Arial"/>
                <w:sz w:val="14"/>
                <w:szCs w:val="14"/>
                <w:b w:val="1"/>
                <w:bCs w:val="1"/>
                <w:color w:val="auto"/>
                <w:w w:val="94"/>
              </w:rPr>
              <w:t>(I.R.S. Employer</w:t>
            </w:r>
          </w:p>
        </w:tc>
        <w:tc>
          <w:tcPr>
            <w:tcW w:w="0" w:type="dxa"/>
            <w:vAlign w:val="bottom"/>
          </w:tcPr>
          <w:p>
            <w:pPr>
              <w:spacing w:after="0"/>
              <w:rPr>
                <w:sz w:val="1"/>
                <w:szCs w:val="1"/>
                <w:color w:val="auto"/>
              </w:rPr>
            </w:pPr>
          </w:p>
        </w:tc>
      </w:tr>
      <w:tr>
        <w:trPr>
          <w:trHeight w:val="186"/>
        </w:trPr>
        <w:tc>
          <w:tcPr>
            <w:tcW w:w="4780" w:type="dxa"/>
            <w:vAlign w:val="bottom"/>
            <w:gridSpan w:val="3"/>
          </w:tcPr>
          <w:p>
            <w:pPr>
              <w:jc w:val="center"/>
              <w:ind w:left="660"/>
              <w:spacing w:after="0"/>
              <w:rPr>
                <w:sz w:val="20"/>
                <w:szCs w:val="20"/>
                <w:color w:val="auto"/>
              </w:rPr>
            </w:pPr>
            <w:r>
              <w:rPr>
                <w:rFonts w:ascii="Arial" w:cs="Arial" w:eastAsia="Arial" w:hAnsi="Arial"/>
                <w:sz w:val="14"/>
                <w:szCs w:val="14"/>
                <w:b w:val="1"/>
                <w:bCs w:val="1"/>
                <w:color w:val="auto"/>
                <w:w w:val="94"/>
              </w:rPr>
              <w:t>incorporation or organization)</w:t>
            </w:r>
          </w:p>
        </w:tc>
        <w:tc>
          <w:tcPr>
            <w:tcW w:w="2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80" w:type="dxa"/>
            <w:vAlign w:val="bottom"/>
          </w:tcPr>
          <w:p>
            <w:pPr>
              <w:jc w:val="center"/>
              <w:ind w:right="1868"/>
              <w:spacing w:after="0"/>
              <w:rPr>
                <w:sz w:val="20"/>
                <w:szCs w:val="20"/>
                <w:color w:val="auto"/>
              </w:rPr>
            </w:pPr>
            <w:r>
              <w:rPr>
                <w:rFonts w:ascii="Arial" w:cs="Arial" w:eastAsia="Arial" w:hAnsi="Arial"/>
                <w:sz w:val="14"/>
                <w:szCs w:val="14"/>
                <w:b w:val="1"/>
                <w:bCs w:val="1"/>
                <w:color w:val="auto"/>
                <w:w w:val="95"/>
              </w:rPr>
              <w:t>Identification number)</w:t>
            </w:r>
          </w:p>
        </w:tc>
        <w:tc>
          <w:tcPr>
            <w:tcW w:w="0" w:type="dxa"/>
            <w:vAlign w:val="bottom"/>
          </w:tcPr>
          <w:p>
            <w:pPr>
              <w:spacing w:after="0"/>
              <w:rPr>
                <w:sz w:val="1"/>
                <w:szCs w:val="1"/>
                <w:color w:val="auto"/>
              </w:rPr>
            </w:pPr>
          </w:p>
        </w:tc>
      </w:tr>
      <w:tr>
        <w:trPr>
          <w:trHeight w:val="349"/>
        </w:trPr>
        <w:tc>
          <w:tcPr>
            <w:tcW w:w="4780" w:type="dxa"/>
            <w:vAlign w:val="bottom"/>
            <w:gridSpan w:val="3"/>
          </w:tcPr>
          <w:p>
            <w:pPr>
              <w:jc w:val="center"/>
              <w:ind w:left="680"/>
              <w:spacing w:after="0"/>
              <w:rPr>
                <w:sz w:val="20"/>
                <w:szCs w:val="20"/>
                <w:color w:val="auto"/>
              </w:rPr>
            </w:pPr>
            <w:r>
              <w:rPr>
                <w:rFonts w:ascii="Arial" w:cs="Arial" w:eastAsia="Arial" w:hAnsi="Arial"/>
                <w:sz w:val="18"/>
                <w:szCs w:val="18"/>
                <w:b w:val="1"/>
                <w:bCs w:val="1"/>
                <w:color w:val="auto"/>
                <w:w w:val="90"/>
              </w:rPr>
              <w:t>2210 Woodland Drive, Manitowoc, Wisconsin</w:t>
            </w:r>
          </w:p>
        </w:tc>
        <w:tc>
          <w:tcPr>
            <w:tcW w:w="2760" w:type="dxa"/>
            <w:vAlign w:val="bottom"/>
          </w:tcPr>
          <w:p>
            <w:pPr>
              <w:spacing w:after="0"/>
              <w:rPr>
                <w:sz w:val="24"/>
                <w:szCs w:val="24"/>
                <w:color w:val="auto"/>
              </w:rPr>
            </w:pPr>
          </w:p>
        </w:tc>
        <w:tc>
          <w:tcPr>
            <w:tcW w:w="3700" w:type="dxa"/>
            <w:vAlign w:val="bottom"/>
            <w:gridSpan w:val="2"/>
          </w:tcPr>
          <w:p>
            <w:pPr>
              <w:jc w:val="right"/>
              <w:ind w:right="2448"/>
              <w:spacing w:after="0"/>
              <w:rPr>
                <w:sz w:val="20"/>
                <w:szCs w:val="20"/>
                <w:color w:val="auto"/>
              </w:rPr>
            </w:pPr>
            <w:r>
              <w:rPr>
                <w:rFonts w:ascii="Arial" w:cs="Arial" w:eastAsia="Arial" w:hAnsi="Arial"/>
                <w:sz w:val="18"/>
                <w:szCs w:val="18"/>
                <w:b w:val="1"/>
                <w:bCs w:val="1"/>
                <w:color w:val="auto"/>
              </w:rPr>
              <w:t>54220</w:t>
            </w:r>
          </w:p>
        </w:tc>
        <w:tc>
          <w:tcPr>
            <w:tcW w:w="0" w:type="dxa"/>
            <w:vAlign w:val="bottom"/>
          </w:tcPr>
          <w:p>
            <w:pPr>
              <w:spacing w:after="0"/>
              <w:rPr>
                <w:sz w:val="1"/>
                <w:szCs w:val="1"/>
                <w:color w:val="auto"/>
              </w:rPr>
            </w:pPr>
          </w:p>
        </w:tc>
      </w:tr>
      <w:tr>
        <w:trPr>
          <w:trHeight w:val="217"/>
        </w:trPr>
        <w:tc>
          <w:tcPr>
            <w:tcW w:w="4780" w:type="dxa"/>
            <w:vAlign w:val="bottom"/>
            <w:gridSpan w:val="3"/>
          </w:tcPr>
          <w:p>
            <w:pPr>
              <w:jc w:val="center"/>
              <w:ind w:left="68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80" w:type="dxa"/>
            <w:vAlign w:val="bottom"/>
          </w:tcPr>
          <w:p>
            <w:pPr>
              <w:jc w:val="center"/>
              <w:ind w:right="1848"/>
              <w:spacing w:after="0"/>
              <w:rPr>
                <w:sz w:val="20"/>
                <w:szCs w:val="20"/>
                <w:color w:val="auto"/>
              </w:rPr>
            </w:pPr>
            <w:r>
              <w:rPr>
                <w:rFonts w:ascii="Arial" w:cs="Arial" w:eastAsia="Arial" w:hAnsi="Arial"/>
                <w:sz w:val="14"/>
                <w:szCs w:val="14"/>
                <w:b w:val="1"/>
                <w:bCs w:val="1"/>
                <w:color w:val="auto"/>
                <w:w w:val="92"/>
              </w:rPr>
              <w:t>(Zip code)</w:t>
            </w:r>
          </w:p>
        </w:tc>
        <w:tc>
          <w:tcPr>
            <w:tcW w:w="0" w:type="dxa"/>
            <w:vAlign w:val="bottom"/>
          </w:tcPr>
          <w:p>
            <w:pPr>
              <w:spacing w:after="0"/>
              <w:rPr>
                <w:sz w:val="1"/>
                <w:szCs w:val="1"/>
                <w:color w:val="auto"/>
              </w:rPr>
            </w:pPr>
          </w:p>
        </w:tc>
      </w:tr>
      <w:tr>
        <w:trPr>
          <w:trHeight w:val="363"/>
        </w:trPr>
        <w:tc>
          <w:tcPr>
            <w:tcW w:w="11240" w:type="dxa"/>
            <w:vAlign w:val="bottom"/>
            <w:gridSpan w:val="6"/>
          </w:tcPr>
          <w:p>
            <w:pPr>
              <w:jc w:val="center"/>
              <w:spacing w:after="0"/>
              <w:rPr>
                <w:sz w:val="20"/>
                <w:szCs w:val="20"/>
                <w:color w:val="auto"/>
              </w:rPr>
            </w:pPr>
            <w:r>
              <w:rPr>
                <w:rFonts w:ascii="Arial" w:cs="Arial" w:eastAsia="Arial" w:hAnsi="Arial"/>
                <w:sz w:val="18"/>
                <w:szCs w:val="18"/>
                <w:b w:val="1"/>
                <w:bCs w:val="1"/>
                <w:color w:val="auto"/>
                <w:w w:val="89"/>
              </w:rPr>
              <w:t>Registrant’s telephone number, including area code: (920) 892-9340</w:t>
            </w:r>
          </w:p>
        </w:tc>
        <w:tc>
          <w:tcPr>
            <w:tcW w:w="0" w:type="dxa"/>
            <w:vAlign w:val="bottom"/>
          </w:tcPr>
          <w:p>
            <w:pPr>
              <w:spacing w:after="0"/>
              <w:rPr>
                <w:sz w:val="1"/>
                <w:szCs w:val="1"/>
                <w:color w:val="auto"/>
              </w:rPr>
            </w:pPr>
          </w:p>
        </w:tc>
      </w:tr>
      <w:tr>
        <w:trPr>
          <w:trHeight w:val="499"/>
        </w:trPr>
        <w:tc>
          <w:tcPr>
            <w:tcW w:w="11240" w:type="dxa"/>
            <w:vAlign w:val="bottom"/>
            <w:gridSpan w:val="6"/>
          </w:tcPr>
          <w:p>
            <w:pPr>
              <w:jc w:val="center"/>
              <w:spacing w:after="0"/>
              <w:rPr>
                <w:sz w:val="20"/>
                <w:szCs w:val="20"/>
                <w:color w:val="auto"/>
              </w:rPr>
            </w:pPr>
            <w:r>
              <w:rPr>
                <w:rFonts w:ascii="Arial" w:cs="Arial" w:eastAsia="Arial" w:hAnsi="Arial"/>
                <w:sz w:val="18"/>
                <w:szCs w:val="18"/>
                <w:b w:val="1"/>
                <w:bCs w:val="1"/>
                <w:color w:val="auto"/>
                <w:w w:val="88"/>
              </w:rPr>
              <w:t>Securities registered pursuant to Section 12(b) of the act:</w:t>
            </w:r>
          </w:p>
        </w:tc>
        <w:tc>
          <w:tcPr>
            <w:tcW w:w="0" w:type="dxa"/>
            <w:vAlign w:val="bottom"/>
          </w:tcPr>
          <w:p>
            <w:pPr>
              <w:spacing w:after="0"/>
              <w:rPr>
                <w:sz w:val="1"/>
                <w:szCs w:val="1"/>
                <w:color w:val="auto"/>
              </w:rPr>
            </w:pPr>
          </w:p>
        </w:tc>
      </w:tr>
      <w:tr>
        <w:trPr>
          <w:trHeight w:val="256"/>
        </w:trPr>
        <w:tc>
          <w:tcPr>
            <w:tcW w:w="4780" w:type="dxa"/>
            <w:vAlign w:val="bottom"/>
            <w:gridSpan w:val="3"/>
          </w:tcPr>
          <w:p>
            <w:pPr>
              <w:jc w:val="center"/>
              <w:ind w:right="1160"/>
              <w:spacing w:after="0"/>
              <w:rPr>
                <w:sz w:val="20"/>
                <w:szCs w:val="20"/>
                <w:color w:val="auto"/>
              </w:rPr>
            </w:pPr>
            <w:r>
              <w:rPr>
                <w:rFonts w:ascii="Arial" w:cs="Arial" w:eastAsia="Arial" w:hAnsi="Arial"/>
                <w:sz w:val="14"/>
                <w:szCs w:val="14"/>
                <w:b w:val="1"/>
                <w:bCs w:val="1"/>
                <w:color w:val="auto"/>
                <w:w w:val="91"/>
              </w:rPr>
              <w:t>Title of Each Class</w:t>
            </w:r>
          </w:p>
        </w:tc>
        <w:tc>
          <w:tcPr>
            <w:tcW w:w="2760" w:type="dxa"/>
            <w:vAlign w:val="bottom"/>
          </w:tcPr>
          <w:p>
            <w:pPr>
              <w:jc w:val="center"/>
              <w:ind w:right="948"/>
              <w:spacing w:after="0"/>
              <w:rPr>
                <w:sz w:val="20"/>
                <w:szCs w:val="20"/>
                <w:color w:val="auto"/>
              </w:rPr>
            </w:pPr>
            <w:r>
              <w:rPr>
                <w:rFonts w:ascii="Arial" w:cs="Arial" w:eastAsia="Arial" w:hAnsi="Arial"/>
                <w:sz w:val="14"/>
                <w:szCs w:val="14"/>
                <w:b w:val="1"/>
                <w:bCs w:val="1"/>
                <w:color w:val="auto"/>
                <w:w w:val="93"/>
              </w:rPr>
              <w:t>Trading Symbol (s)</w:t>
            </w:r>
          </w:p>
        </w:tc>
        <w:tc>
          <w:tcPr>
            <w:tcW w:w="120" w:type="dxa"/>
            <w:vAlign w:val="bottom"/>
          </w:tcPr>
          <w:p>
            <w:pPr>
              <w:spacing w:after="0"/>
              <w:rPr>
                <w:sz w:val="22"/>
                <w:szCs w:val="22"/>
                <w:color w:val="auto"/>
              </w:rPr>
            </w:pPr>
          </w:p>
        </w:tc>
        <w:tc>
          <w:tcPr>
            <w:tcW w:w="3580" w:type="dxa"/>
            <w:vAlign w:val="bottom"/>
          </w:tcPr>
          <w:p>
            <w:pPr>
              <w:jc w:val="center"/>
              <w:spacing w:after="0"/>
              <w:rPr>
                <w:sz w:val="20"/>
                <w:szCs w:val="20"/>
                <w:color w:val="auto"/>
              </w:rPr>
            </w:pPr>
            <w:r>
              <w:rPr>
                <w:rFonts w:ascii="Arial" w:cs="Arial" w:eastAsia="Arial" w:hAnsi="Arial"/>
                <w:sz w:val="14"/>
                <w:szCs w:val="14"/>
                <w:b w:val="1"/>
                <w:bCs w:val="1"/>
                <w:color w:val="auto"/>
                <w:w w:val="92"/>
              </w:rPr>
              <w:t>Name of Each Exchange on Which Registered</w:t>
            </w:r>
          </w:p>
        </w:tc>
        <w:tc>
          <w:tcPr>
            <w:tcW w:w="0" w:type="dxa"/>
            <w:vAlign w:val="bottom"/>
          </w:tcPr>
          <w:p>
            <w:pPr>
              <w:spacing w:after="0"/>
              <w:rPr>
                <w:sz w:val="1"/>
                <w:szCs w:val="1"/>
                <w:color w:val="auto"/>
              </w:rPr>
            </w:pPr>
          </w:p>
        </w:tc>
      </w:tr>
      <w:tr>
        <w:trPr>
          <w:trHeight w:val="137"/>
        </w:trPr>
        <w:tc>
          <w:tcPr>
            <w:tcW w:w="36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2760" w:type="dxa"/>
            <w:vAlign w:val="bottom"/>
            <w:tcBorders>
              <w:top w:val="single" w:sz="8" w:color="auto"/>
            </w:tcBorders>
            <w:vMerge w:val="restart"/>
          </w:tcPr>
          <w:p>
            <w:pPr>
              <w:jc w:val="center"/>
              <w:ind w:right="928"/>
              <w:spacing w:after="0"/>
              <w:rPr>
                <w:sz w:val="20"/>
                <w:szCs w:val="20"/>
                <w:color w:val="auto"/>
              </w:rPr>
            </w:pPr>
            <w:r>
              <w:rPr>
                <w:rFonts w:ascii="Arial" w:cs="Arial" w:eastAsia="Arial" w:hAnsi="Arial"/>
                <w:sz w:val="14"/>
                <w:szCs w:val="14"/>
                <w:b w:val="1"/>
                <w:bCs w:val="1"/>
                <w:color w:val="auto"/>
              </w:rPr>
              <w:t>OESX</w:t>
            </w:r>
          </w:p>
        </w:tc>
        <w:tc>
          <w:tcPr>
            <w:tcW w:w="120" w:type="dxa"/>
            <w:vAlign w:val="bottom"/>
          </w:tcPr>
          <w:p>
            <w:pPr>
              <w:spacing w:after="0"/>
              <w:rPr>
                <w:sz w:val="11"/>
                <w:szCs w:val="11"/>
                <w:color w:val="auto"/>
              </w:rPr>
            </w:pPr>
          </w:p>
        </w:tc>
        <w:tc>
          <w:tcPr>
            <w:tcW w:w="3580" w:type="dxa"/>
            <w:vAlign w:val="bottom"/>
            <w:tcBorders>
              <w:top w:val="single" w:sz="8" w:color="auto"/>
            </w:tcBorders>
          </w:tcPr>
          <w:p>
            <w:pPr>
              <w:jc w:val="center"/>
              <w:spacing w:after="0" w:line="137" w:lineRule="exact"/>
              <w:rPr>
                <w:sz w:val="20"/>
                <w:szCs w:val="20"/>
                <w:color w:val="auto"/>
              </w:rPr>
            </w:pPr>
            <w:r>
              <w:rPr>
                <w:rFonts w:ascii="Arial" w:cs="Arial" w:eastAsia="Arial" w:hAnsi="Arial"/>
                <w:sz w:val="14"/>
                <w:szCs w:val="14"/>
                <w:color w:val="auto"/>
                <w:w w:val="95"/>
              </w:rPr>
              <w:t>The Nasdaq Stock Market LLC</w:t>
            </w:r>
          </w:p>
        </w:tc>
        <w:tc>
          <w:tcPr>
            <w:tcW w:w="0" w:type="dxa"/>
            <w:vAlign w:val="bottom"/>
          </w:tcPr>
          <w:p>
            <w:pPr>
              <w:spacing w:after="0"/>
              <w:rPr>
                <w:sz w:val="1"/>
                <w:szCs w:val="1"/>
                <w:color w:val="auto"/>
              </w:rPr>
            </w:pPr>
          </w:p>
        </w:tc>
      </w:tr>
      <w:tr>
        <w:trPr>
          <w:trHeight w:val="182"/>
        </w:trPr>
        <w:tc>
          <w:tcPr>
            <w:tcW w:w="4780" w:type="dxa"/>
            <w:vAlign w:val="bottom"/>
            <w:gridSpan w:val="3"/>
          </w:tcPr>
          <w:p>
            <w:pPr>
              <w:jc w:val="center"/>
              <w:ind w:right="1160"/>
              <w:spacing w:after="0"/>
              <w:rPr>
                <w:sz w:val="20"/>
                <w:szCs w:val="20"/>
                <w:color w:val="auto"/>
              </w:rPr>
            </w:pPr>
            <w:r>
              <w:rPr>
                <w:rFonts w:ascii="Arial" w:cs="Arial" w:eastAsia="Arial" w:hAnsi="Arial"/>
                <w:sz w:val="14"/>
                <w:szCs w:val="14"/>
                <w:color w:val="auto"/>
                <w:w w:val="93"/>
              </w:rPr>
              <w:t>Common stock, no par value</w:t>
            </w:r>
          </w:p>
        </w:tc>
        <w:tc>
          <w:tcPr>
            <w:tcW w:w="27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3580" w:type="dxa"/>
            <w:vAlign w:val="bottom"/>
          </w:tcPr>
          <w:p>
            <w:pPr>
              <w:jc w:val="center"/>
              <w:spacing w:after="0"/>
              <w:rPr>
                <w:sz w:val="20"/>
                <w:szCs w:val="20"/>
                <w:color w:val="auto"/>
              </w:rPr>
            </w:pPr>
            <w:r>
              <w:rPr>
                <w:rFonts w:ascii="Arial" w:cs="Arial" w:eastAsia="Arial" w:hAnsi="Arial"/>
                <w:sz w:val="14"/>
                <w:szCs w:val="14"/>
                <w:color w:val="auto"/>
                <w:w w:val="98"/>
              </w:rPr>
              <w:t>(NASDAQ Capital Market)</w:t>
            </w:r>
          </w:p>
        </w:tc>
        <w:tc>
          <w:tcPr>
            <w:tcW w:w="0" w:type="dxa"/>
            <w:vAlign w:val="bottom"/>
          </w:tcPr>
          <w:p>
            <w:pPr>
              <w:spacing w:after="0"/>
              <w:rPr>
                <w:sz w:val="1"/>
                <w:szCs w:val="1"/>
                <w:color w:val="auto"/>
              </w:rPr>
            </w:pPr>
          </w:p>
        </w:tc>
      </w:tr>
    </w:tbl>
    <w:p>
      <w:pPr>
        <w:spacing w:after="0" w:line="303" w:lineRule="exact"/>
        <w:rPr>
          <w:sz w:val="24"/>
          <w:szCs w:val="24"/>
          <w:color w:val="auto"/>
        </w:rPr>
      </w:pPr>
    </w:p>
    <w:p>
      <w:pPr>
        <w:jc w:val="both"/>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2" w:lineRule="exact"/>
        <w:rPr>
          <w:sz w:val="24"/>
          <w:szCs w:val="24"/>
          <w:color w:val="auto"/>
        </w:rPr>
      </w:pPr>
    </w:p>
    <w:p>
      <w:pPr>
        <w:jc w:val="both"/>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during the preceding 12 months (or for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2" w:lineRule="exact"/>
        <w:rPr>
          <w:sz w:val="24"/>
          <w:szCs w:val="24"/>
          <w:color w:val="auto"/>
        </w:rPr>
      </w:pPr>
    </w:p>
    <w:p>
      <w:pPr>
        <w:jc w:val="both"/>
        <w:spacing w:after="0" w:line="252"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07" w:lineRule="exact"/>
        <w:rPr>
          <w:sz w:val="24"/>
          <w:szCs w:val="24"/>
          <w:color w:val="auto"/>
        </w:rPr>
      </w:pPr>
    </w:p>
    <w:tbl>
      <w:tblPr>
        <w:tblLayout w:type="fixed"/>
        <w:tblInd w:w="20" w:type="dxa"/>
        <w:tblCellMar>
          <w:top w:w="0" w:type="dxa"/>
          <w:left w:w="0" w:type="dxa"/>
          <w:bottom w:w="0" w:type="dxa"/>
          <w:right w:w="0" w:type="dxa"/>
        </w:tblCellMar>
      </w:tblPr>
      <w:tr>
        <w:trPr>
          <w:trHeight w:val="225"/>
        </w:trPr>
        <w:tc>
          <w:tcPr>
            <w:tcW w:w="17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860" w:type="dxa"/>
            <w:vAlign w:val="bottom"/>
          </w:tcPr>
          <w:p>
            <w:pPr>
              <w:ind w:left="440"/>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ind w:left="2320"/>
              <w:spacing w:after="0"/>
              <w:rPr>
                <w:sz w:val="20"/>
                <w:szCs w:val="20"/>
                <w:color w:val="auto"/>
              </w:rPr>
            </w:pPr>
            <w:r>
              <w:rPr>
                <w:rFonts w:ascii="Arial" w:cs="Arial" w:eastAsia="Arial" w:hAnsi="Arial"/>
                <w:sz w:val="14"/>
                <w:szCs w:val="14"/>
                <w:color w:val="auto"/>
              </w:rPr>
              <w:t>Accelerated filer</w:t>
            </w:r>
          </w:p>
        </w:tc>
        <w:tc>
          <w:tcPr>
            <w:tcW w:w="1360" w:type="dxa"/>
            <w:vAlign w:val="bottom"/>
          </w:tcPr>
          <w:p>
            <w:pPr>
              <w:ind w:left="12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51"/>
        </w:trPr>
        <w:tc>
          <w:tcPr>
            <w:tcW w:w="1720" w:type="dxa"/>
            <w:vAlign w:val="bottom"/>
          </w:tcPr>
          <w:p>
            <w:pPr>
              <w:spacing w:after="0"/>
              <w:rPr>
                <w:sz w:val="20"/>
                <w:szCs w:val="20"/>
                <w:color w:val="auto"/>
              </w:rPr>
            </w:pPr>
            <w:r>
              <w:rPr>
                <w:rFonts w:ascii="Arial" w:cs="Arial" w:eastAsia="Arial" w:hAnsi="Arial"/>
                <w:sz w:val="14"/>
                <w:szCs w:val="14"/>
                <w:color w:val="auto"/>
              </w:rPr>
              <w:t>Non-accelerated filer</w:t>
            </w:r>
          </w:p>
        </w:tc>
        <w:tc>
          <w:tcPr>
            <w:tcW w:w="2860" w:type="dxa"/>
            <w:vAlign w:val="bottom"/>
          </w:tcPr>
          <w:p>
            <w:pPr>
              <w:ind w:left="440"/>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ind w:left="2320"/>
              <w:spacing w:after="0"/>
              <w:rPr>
                <w:sz w:val="20"/>
                <w:szCs w:val="20"/>
                <w:color w:val="auto"/>
              </w:rPr>
            </w:pPr>
            <w:r>
              <w:rPr>
                <w:rFonts w:ascii="Arial" w:cs="Arial" w:eastAsia="Arial" w:hAnsi="Arial"/>
                <w:sz w:val="14"/>
                <w:szCs w:val="14"/>
                <w:color w:val="auto"/>
              </w:rPr>
              <w:t>Smaller reporting company</w:t>
            </w:r>
          </w:p>
        </w:tc>
        <w:tc>
          <w:tcPr>
            <w:tcW w:w="1360" w:type="dxa"/>
            <w:vAlign w:val="bottom"/>
          </w:tcPr>
          <w:p>
            <w:pPr>
              <w:ind w:left="12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51"/>
        </w:trPr>
        <w:tc>
          <w:tcPr>
            <w:tcW w:w="17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5100" w:type="dxa"/>
            <w:vAlign w:val="bottom"/>
          </w:tcPr>
          <w:p>
            <w:pPr>
              <w:ind w:left="2320"/>
              <w:spacing w:after="0"/>
              <w:rPr>
                <w:sz w:val="20"/>
                <w:szCs w:val="20"/>
                <w:color w:val="auto"/>
              </w:rPr>
            </w:pPr>
            <w:r>
              <w:rPr>
                <w:rFonts w:ascii="Arial" w:cs="Arial" w:eastAsia="Arial" w:hAnsi="Arial"/>
                <w:sz w:val="14"/>
                <w:szCs w:val="14"/>
                <w:color w:val="auto"/>
              </w:rPr>
              <w:t>Emerging growth company</w:t>
            </w:r>
          </w:p>
        </w:tc>
        <w:tc>
          <w:tcPr>
            <w:tcW w:w="1360" w:type="dxa"/>
            <w:vAlign w:val="bottom"/>
          </w:tcPr>
          <w:p>
            <w:pPr>
              <w:ind w:left="124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26" w:lineRule="exact"/>
        <w:rPr>
          <w:sz w:val="24"/>
          <w:szCs w:val="24"/>
          <w:color w:val="auto"/>
        </w:rPr>
      </w:pPr>
    </w:p>
    <w:p>
      <w:pPr>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8" w:lineRule="exact"/>
        <w:rPr>
          <w:sz w:val="24"/>
          <w:szCs w:val="24"/>
          <w:color w:val="auto"/>
        </w:rPr>
      </w:pPr>
    </w:p>
    <w:p>
      <w:pPr>
        <w:ind w:right="3580"/>
        <w:spacing w:after="0" w:line="240"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There were 32,292,974shares of the Registrant’s common stock outstanding on January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380365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1" w:name="page2"/>
    <w:bookmarkEnd w:id="1"/>
    <w:p>
      <w:pPr>
        <w:jc w:val="center"/>
        <w:ind w:left="820"/>
        <w:spacing w:after="0"/>
        <w:rPr>
          <w:sz w:val="20"/>
          <w:szCs w:val="20"/>
          <w:color w:val="auto"/>
        </w:rPr>
      </w:pPr>
      <w:r>
        <w:rPr>
          <w:rFonts w:ascii="Arial" w:cs="Arial" w:eastAsia="Arial" w:hAnsi="Arial"/>
          <w:sz w:val="18"/>
          <w:szCs w:val="18"/>
          <w:b w:val="1"/>
          <w:bCs w:val="1"/>
          <w:color w:val="auto"/>
        </w:rPr>
        <w:t>ORION ENERGY SYSTEMS, INC.</w:t>
      </w:r>
    </w:p>
    <w:p>
      <w:pPr>
        <w:spacing w:after="0" w:line="103" w:lineRule="exact"/>
        <w:rPr>
          <w:sz w:val="20"/>
          <w:szCs w:val="20"/>
          <w:color w:val="auto"/>
        </w:rPr>
      </w:pPr>
    </w:p>
    <w:p>
      <w:pPr>
        <w:jc w:val="center"/>
        <w:ind w:left="820"/>
        <w:spacing w:after="0"/>
        <w:rPr>
          <w:sz w:val="20"/>
          <w:szCs w:val="20"/>
          <w:color w:val="auto"/>
        </w:rPr>
      </w:pPr>
      <w:r>
        <w:rPr>
          <w:rFonts w:ascii="Arial" w:cs="Arial" w:eastAsia="Arial" w:hAnsi="Arial"/>
          <w:sz w:val="18"/>
          <w:szCs w:val="18"/>
          <w:b w:val="1"/>
          <w:bCs w:val="1"/>
          <w:color w:val="auto"/>
        </w:rPr>
        <w:t>QUARTERLY REPORT ON FORM 10-Q</w:t>
      </w:r>
    </w:p>
    <w:p>
      <w:pPr>
        <w:spacing w:after="0" w:line="90" w:lineRule="exact"/>
        <w:rPr>
          <w:sz w:val="20"/>
          <w:szCs w:val="20"/>
          <w:color w:val="auto"/>
        </w:rPr>
      </w:pPr>
    </w:p>
    <w:p>
      <w:pPr>
        <w:jc w:val="center"/>
        <w:ind w:left="820"/>
        <w:spacing w:after="0"/>
        <w:rPr>
          <w:sz w:val="20"/>
          <w:szCs w:val="20"/>
          <w:color w:val="auto"/>
        </w:rPr>
      </w:pPr>
      <w:r>
        <w:rPr>
          <w:rFonts w:ascii="Arial" w:cs="Arial" w:eastAsia="Arial" w:hAnsi="Arial"/>
          <w:sz w:val="18"/>
          <w:szCs w:val="18"/>
          <w:b w:val="1"/>
          <w:bCs w:val="1"/>
          <w:color w:val="auto"/>
        </w:rPr>
        <w:t>FOR THE QUARTER ENDED DECEMBER 31, 2022</w:t>
      </w:r>
    </w:p>
    <w:p>
      <w:pPr>
        <w:spacing w:after="0" w:line="103" w:lineRule="exact"/>
        <w:rPr>
          <w:sz w:val="20"/>
          <w:szCs w:val="20"/>
          <w:color w:val="auto"/>
        </w:rPr>
      </w:pPr>
    </w:p>
    <w:p>
      <w:pPr>
        <w:jc w:val="center"/>
        <w:ind w:left="82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PART I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-10160</wp:posOffset>
            </wp:positionV>
            <wp:extent cx="17989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98955" cy="8255"/>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00" w:type="dxa"/>
            <w:vAlign w:val="bottom"/>
            <w:gridSpan w:val="3"/>
          </w:tcPr>
          <w:p>
            <w:pPr>
              <w:spacing w:after="0"/>
              <w:rPr>
                <w:sz w:val="20"/>
                <w:szCs w:val="20"/>
                <w:color w:val="auto"/>
              </w:rPr>
            </w:pPr>
            <w:r>
              <w:rPr>
                <w:rFonts w:ascii="Arial" w:cs="Arial" w:eastAsia="Arial" w:hAnsi="Arial"/>
                <w:sz w:val="18"/>
                <w:szCs w:val="18"/>
                <w:color w:val="auto"/>
              </w:rPr>
              <w:t>ITEM 1.</w:t>
            </w:r>
          </w:p>
        </w:tc>
        <w:tc>
          <w:tcPr>
            <w:tcW w:w="9280" w:type="dxa"/>
            <w:vAlign w:val="bottom"/>
            <w:gridSpan w:val="14"/>
          </w:tcPr>
          <w:p>
            <w:pPr>
              <w:spacing w:after="0"/>
              <w:rPr>
                <w:sz w:val="20"/>
                <w:szCs w:val="20"/>
                <w:color w:val="auto"/>
              </w:rPr>
            </w:pPr>
            <w:r>
              <w:rPr>
                <w:rFonts w:ascii="Arial" w:cs="Arial" w:eastAsia="Arial" w:hAnsi="Arial"/>
                <w:sz w:val="18"/>
                <w:szCs w:val="18"/>
                <w:color w:val="0000FF"/>
              </w:rPr>
              <w:t>Financial Statements (unaudited)</w:t>
            </w:r>
          </w:p>
        </w:tc>
      </w:tr>
      <w:tr>
        <w:trPr>
          <w:trHeight w:val="20"/>
        </w:trPr>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40" w:type="dxa"/>
            <w:vAlign w:val="bottom"/>
            <w:tcBorders>
              <w:right w:val="single" w:sz="8" w:color="0000EE"/>
            </w:tcBorders>
            <w:shd w:val="clear" w:color="auto" w:fill="0000FF"/>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90"/>
        </w:trPr>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80" w:type="dxa"/>
            <w:vAlign w:val="bottom"/>
            <w:gridSpan w:val="14"/>
          </w:tcPr>
          <w:p>
            <w:pPr>
              <w:spacing w:after="0"/>
              <w:rPr>
                <w:sz w:val="20"/>
                <w:szCs w:val="20"/>
                <w:color w:val="auto"/>
              </w:rPr>
            </w:pPr>
            <w:r>
              <w:rPr>
                <w:rFonts w:ascii="Arial" w:cs="Arial" w:eastAsia="Arial" w:hAnsi="Arial"/>
                <w:sz w:val="18"/>
                <w:szCs w:val="18"/>
                <w:color w:val="0000FF"/>
              </w:rPr>
              <w:t>Condensed Consolidated Balance Sheets as of December 31, 2022 and March 31, 2022</w:t>
            </w:r>
          </w:p>
        </w:tc>
      </w:tr>
      <w:tr>
        <w:trPr>
          <w:trHeight w:val="20"/>
        </w:trPr>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52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940" w:type="dxa"/>
            <w:vAlign w:val="bottom"/>
            <w:tcBorders>
              <w:right w:val="single" w:sz="8" w:color="0000EE"/>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90"/>
        </w:trPr>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80" w:type="dxa"/>
            <w:vAlign w:val="bottom"/>
            <w:gridSpan w:val="14"/>
          </w:tcPr>
          <w:p>
            <w:pPr>
              <w:spacing w:after="0"/>
              <w:rPr>
                <w:sz w:val="20"/>
                <w:szCs w:val="20"/>
                <w:color w:val="auto"/>
              </w:rPr>
            </w:pPr>
            <w:r>
              <w:rPr>
                <w:rFonts w:ascii="Arial" w:cs="Arial" w:eastAsia="Arial" w:hAnsi="Arial"/>
                <w:sz w:val="18"/>
                <w:szCs w:val="18"/>
                <w:color w:val="0000FF"/>
                <w:w w:val="89"/>
              </w:rPr>
              <w:t>Condensed Consolidated Statements of Operations for the Three and Nine Months Ended December 31, 2022 and December 31,</w:t>
            </w:r>
          </w:p>
        </w:tc>
      </w:tr>
      <w:tr>
        <w:trPr>
          <w:trHeight w:val="20"/>
        </w:trPr>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8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9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line="195" w:lineRule="exact"/>
              <w:rPr>
                <w:sz w:val="20"/>
                <w:szCs w:val="20"/>
                <w:color w:val="auto"/>
              </w:rPr>
            </w:pPr>
            <w:r>
              <w:rPr>
                <w:rFonts w:ascii="Arial" w:cs="Arial" w:eastAsia="Arial" w:hAnsi="Arial"/>
                <w:sz w:val="18"/>
                <w:szCs w:val="18"/>
                <w:color w:val="0000FF"/>
                <w:w w:val="79"/>
              </w:rPr>
              <w:t>2021</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90"/>
        </w:trPr>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80" w:type="dxa"/>
            <w:vAlign w:val="bottom"/>
            <w:gridSpan w:val="14"/>
          </w:tcPr>
          <w:p>
            <w:pPr>
              <w:spacing w:after="0"/>
              <w:rPr>
                <w:sz w:val="20"/>
                <w:szCs w:val="20"/>
                <w:color w:val="auto"/>
              </w:rPr>
            </w:pPr>
            <w:r>
              <w:rPr>
                <w:rFonts w:ascii="Arial" w:cs="Arial" w:eastAsia="Arial" w:hAnsi="Arial"/>
                <w:sz w:val="18"/>
                <w:szCs w:val="18"/>
                <w:color w:val="0000FF"/>
                <w:w w:val="93"/>
              </w:rPr>
              <w:t>Condensed Consolidated Statements of Shareholders’ Equity for the Three and Nine Months Ended December 31, 2022 and</w:t>
            </w:r>
          </w:p>
        </w:tc>
      </w:tr>
      <w:tr>
        <w:trPr>
          <w:trHeight w:val="20"/>
        </w:trPr>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52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80" w:type="dxa"/>
            <w:vAlign w:val="bottom"/>
            <w:gridSpan w:val="14"/>
          </w:tcPr>
          <w:p>
            <w:pPr>
              <w:spacing w:after="0" w:line="195" w:lineRule="exact"/>
              <w:rPr>
                <w:sz w:val="20"/>
                <w:szCs w:val="20"/>
                <w:color w:val="auto"/>
              </w:rPr>
            </w:pPr>
            <w:r>
              <w:rPr>
                <w:rFonts w:ascii="Arial" w:cs="Arial" w:eastAsia="Arial" w:hAnsi="Arial"/>
                <w:sz w:val="18"/>
                <w:szCs w:val="18"/>
                <w:color w:val="0000FF"/>
              </w:rPr>
              <w:t>December 31, 2021</w:t>
            </w:r>
          </w:p>
        </w:tc>
      </w:tr>
      <w:tr>
        <w:trPr>
          <w:trHeight w:val="20"/>
        </w:trPr>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90"/>
        </w:trPr>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80" w:type="dxa"/>
            <w:vAlign w:val="bottom"/>
            <w:gridSpan w:val="14"/>
          </w:tcPr>
          <w:p>
            <w:pPr>
              <w:spacing w:after="0"/>
              <w:rPr>
                <w:sz w:val="20"/>
                <w:szCs w:val="20"/>
                <w:color w:val="auto"/>
              </w:rPr>
            </w:pPr>
            <w:r>
              <w:rPr>
                <w:rFonts w:ascii="Arial" w:cs="Arial" w:eastAsia="Arial" w:hAnsi="Arial"/>
                <w:sz w:val="18"/>
                <w:szCs w:val="18"/>
                <w:color w:val="0000FF"/>
                <w:w w:val="92"/>
              </w:rPr>
              <w:t>Condensed Consolidated Statements of Cash Flows for the Nine Months Ended December 31, 2022 and December 31, 2021</w:t>
            </w:r>
          </w:p>
        </w:tc>
      </w:tr>
      <w:tr>
        <w:trPr>
          <w:trHeight w:val="20"/>
        </w:trPr>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52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90"/>
        </w:trPr>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80" w:type="dxa"/>
            <w:vAlign w:val="bottom"/>
            <w:gridSpan w:val="14"/>
          </w:tcPr>
          <w:p>
            <w:pPr>
              <w:spacing w:after="0"/>
              <w:rPr>
                <w:sz w:val="20"/>
                <w:szCs w:val="20"/>
                <w:color w:val="auto"/>
              </w:rPr>
            </w:pPr>
            <w:r>
              <w:rPr>
                <w:rFonts w:ascii="Arial" w:cs="Arial" w:eastAsia="Arial" w:hAnsi="Arial"/>
                <w:sz w:val="18"/>
                <w:szCs w:val="18"/>
                <w:color w:val="0000FF"/>
              </w:rPr>
              <w:t>Notes to the Condensed Consolidated Financial Statements</w:t>
            </w:r>
          </w:p>
        </w:tc>
      </w:tr>
      <w:tr>
        <w:trPr>
          <w:trHeight w:val="20"/>
        </w:trPr>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520" w:type="dxa"/>
            <w:vAlign w:val="bottom"/>
            <w:tcBorders>
              <w:right w:val="single" w:sz="8" w:color="0000EE"/>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r>
      <w:tr>
        <w:trPr>
          <w:trHeight w:val="290"/>
        </w:trPr>
        <w:tc>
          <w:tcPr>
            <w:tcW w:w="1100" w:type="dxa"/>
            <w:vAlign w:val="bottom"/>
            <w:gridSpan w:val="3"/>
          </w:tcPr>
          <w:p>
            <w:pPr>
              <w:spacing w:after="0"/>
              <w:rPr>
                <w:sz w:val="20"/>
                <w:szCs w:val="20"/>
                <w:color w:val="auto"/>
              </w:rPr>
            </w:pPr>
            <w:r>
              <w:rPr>
                <w:rFonts w:ascii="Arial" w:cs="Arial" w:eastAsia="Arial" w:hAnsi="Arial"/>
                <w:sz w:val="18"/>
                <w:szCs w:val="18"/>
                <w:color w:val="auto"/>
              </w:rPr>
              <w:t>ITEM 2.</w:t>
            </w:r>
          </w:p>
        </w:tc>
        <w:tc>
          <w:tcPr>
            <w:tcW w:w="9280" w:type="dxa"/>
            <w:vAlign w:val="bottom"/>
            <w:gridSpan w:val="14"/>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r>
      <w:tr>
        <w:trPr>
          <w:trHeight w:val="20"/>
        </w:trPr>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54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r>
      <w:tr>
        <w:trPr>
          <w:trHeight w:val="290"/>
        </w:trPr>
        <w:tc>
          <w:tcPr>
            <w:tcW w:w="1100" w:type="dxa"/>
            <w:vAlign w:val="bottom"/>
            <w:gridSpan w:val="3"/>
          </w:tcPr>
          <w:p>
            <w:pPr>
              <w:spacing w:after="0"/>
              <w:rPr>
                <w:sz w:val="20"/>
                <w:szCs w:val="20"/>
                <w:color w:val="auto"/>
              </w:rPr>
            </w:pPr>
            <w:r>
              <w:rPr>
                <w:rFonts w:ascii="Arial" w:cs="Arial" w:eastAsia="Arial" w:hAnsi="Arial"/>
                <w:sz w:val="18"/>
                <w:szCs w:val="18"/>
                <w:color w:val="auto"/>
              </w:rPr>
              <w:t>ITEM 3.</w:t>
            </w:r>
          </w:p>
        </w:tc>
        <w:tc>
          <w:tcPr>
            <w:tcW w:w="9280" w:type="dxa"/>
            <w:vAlign w:val="bottom"/>
            <w:gridSpan w:val="14"/>
          </w:tcPr>
          <w:p>
            <w:pPr>
              <w:spacing w:after="0"/>
              <w:rPr>
                <w:sz w:val="20"/>
                <w:szCs w:val="20"/>
                <w:color w:val="auto"/>
              </w:rPr>
            </w:pPr>
            <w:r>
              <w:rPr>
                <w:rFonts w:ascii="Arial" w:cs="Arial" w:eastAsia="Arial" w:hAnsi="Arial"/>
                <w:sz w:val="18"/>
                <w:szCs w:val="18"/>
                <w:color w:val="0000FF"/>
              </w:rPr>
              <w:t>Quantitative and Qualitative Disclosures about Market Risk</w:t>
            </w:r>
          </w:p>
        </w:tc>
      </w:tr>
      <w:tr>
        <w:trPr>
          <w:trHeight w:val="20"/>
        </w:trPr>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54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r>
      <w:tr>
        <w:trPr>
          <w:trHeight w:val="290"/>
        </w:trPr>
        <w:tc>
          <w:tcPr>
            <w:tcW w:w="1100" w:type="dxa"/>
            <w:vAlign w:val="bottom"/>
            <w:gridSpan w:val="3"/>
          </w:tcPr>
          <w:p>
            <w:pPr>
              <w:spacing w:after="0"/>
              <w:rPr>
                <w:sz w:val="20"/>
                <w:szCs w:val="20"/>
                <w:color w:val="auto"/>
              </w:rPr>
            </w:pPr>
            <w:r>
              <w:rPr>
                <w:rFonts w:ascii="Arial" w:cs="Arial" w:eastAsia="Arial" w:hAnsi="Arial"/>
                <w:sz w:val="18"/>
                <w:szCs w:val="18"/>
                <w:color w:val="auto"/>
              </w:rPr>
              <w:t>ITEM 4.</w:t>
            </w:r>
          </w:p>
        </w:tc>
        <w:tc>
          <w:tcPr>
            <w:tcW w:w="9280" w:type="dxa"/>
            <w:vAlign w:val="bottom"/>
            <w:gridSpan w:val="14"/>
          </w:tcPr>
          <w:p>
            <w:pPr>
              <w:spacing w:after="0"/>
              <w:rPr>
                <w:sz w:val="20"/>
                <w:szCs w:val="20"/>
                <w:color w:val="auto"/>
              </w:rPr>
            </w:pPr>
            <w:r>
              <w:rPr>
                <w:rFonts w:ascii="Arial" w:cs="Arial" w:eastAsia="Arial" w:hAnsi="Arial"/>
                <w:sz w:val="18"/>
                <w:szCs w:val="18"/>
                <w:color w:val="0000FF"/>
              </w:rPr>
              <w:t>Controls and Procedures</w:t>
            </w:r>
          </w:p>
        </w:tc>
      </w:tr>
      <w:tr>
        <w:trPr>
          <w:trHeight w:val="20"/>
        </w:trPr>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580" w:type="dxa"/>
            <w:vAlign w:val="bottom"/>
            <w:gridSpan w:val="4"/>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r>
      <w:tr>
        <w:trPr>
          <w:trHeight w:val="290"/>
        </w:trPr>
        <w:tc>
          <w:tcPr>
            <w:tcW w:w="10380" w:type="dxa"/>
            <w:vAlign w:val="bottom"/>
            <w:gridSpan w:val="17"/>
          </w:tcPr>
          <w:p>
            <w:pPr>
              <w:spacing w:after="0"/>
              <w:rPr>
                <w:sz w:val="20"/>
                <w:szCs w:val="20"/>
                <w:color w:val="auto"/>
              </w:rPr>
            </w:pPr>
            <w:r>
              <w:rPr>
                <w:rFonts w:ascii="Arial" w:cs="Arial" w:eastAsia="Arial" w:hAnsi="Arial"/>
                <w:sz w:val="18"/>
                <w:szCs w:val="18"/>
                <w:color w:val="0000FF"/>
              </w:rPr>
              <w:t>PART II OTHER INFORMATION</w:t>
            </w:r>
          </w:p>
        </w:tc>
      </w:tr>
      <w:tr>
        <w:trPr>
          <w:trHeight w:val="290"/>
        </w:trPr>
        <w:tc>
          <w:tcPr>
            <w:tcW w:w="1100" w:type="dxa"/>
            <w:vAlign w:val="bottom"/>
            <w:tcBorders>
              <w:top w:val="single" w:sz="8" w:color="0000FF"/>
            </w:tcBorders>
            <w:gridSpan w:val="3"/>
          </w:tcPr>
          <w:p>
            <w:pPr>
              <w:spacing w:after="0"/>
              <w:rPr>
                <w:sz w:val="20"/>
                <w:szCs w:val="20"/>
                <w:color w:val="auto"/>
              </w:rPr>
            </w:pPr>
            <w:r>
              <w:rPr>
                <w:rFonts w:ascii="Arial" w:cs="Arial" w:eastAsia="Arial" w:hAnsi="Arial"/>
                <w:sz w:val="18"/>
                <w:szCs w:val="18"/>
                <w:color w:val="auto"/>
              </w:rPr>
              <w:t>ITEM 1.</w:t>
            </w:r>
          </w:p>
        </w:tc>
        <w:tc>
          <w:tcPr>
            <w:tcW w:w="1420" w:type="dxa"/>
            <w:vAlign w:val="bottom"/>
            <w:tcBorders>
              <w:top w:val="single" w:sz="8" w:color="0000FF"/>
            </w:tcBorders>
            <w:gridSpan w:val="5"/>
          </w:tcPr>
          <w:p>
            <w:pPr>
              <w:spacing w:after="0"/>
              <w:rPr>
                <w:sz w:val="20"/>
                <w:szCs w:val="20"/>
                <w:color w:val="auto"/>
              </w:rPr>
            </w:pPr>
            <w:r>
              <w:rPr>
                <w:rFonts w:ascii="Arial" w:cs="Arial" w:eastAsia="Arial" w:hAnsi="Arial"/>
                <w:sz w:val="18"/>
                <w:szCs w:val="18"/>
                <w:color w:val="0000FF"/>
                <w:w w:val="92"/>
              </w:rPr>
              <w:t>Legal Proceedings</w:t>
            </w:r>
          </w:p>
        </w:tc>
        <w:tc>
          <w:tcPr>
            <w:tcW w:w="7860" w:type="dxa"/>
            <w:vAlign w:val="bottom"/>
            <w:gridSpan w:val="9"/>
          </w:tcPr>
          <w:p>
            <w:pPr>
              <w:spacing w:after="0"/>
              <w:rPr>
                <w:sz w:val="24"/>
                <w:szCs w:val="24"/>
                <w:color w:val="auto"/>
              </w:rPr>
            </w:pPr>
          </w:p>
        </w:tc>
      </w:tr>
      <w:tr>
        <w:trPr>
          <w:trHeight w:val="20"/>
        </w:trPr>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20" w:type="dxa"/>
            <w:vAlign w:val="bottom"/>
            <w:tcBorders>
              <w:left w:val="single" w:sz="8" w:color="0000FF"/>
            </w:tcBorders>
            <w:gridSpan w:val="6"/>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r>
      <w:tr>
        <w:trPr>
          <w:trHeight w:val="290"/>
        </w:trPr>
        <w:tc>
          <w:tcPr>
            <w:tcW w:w="1100" w:type="dxa"/>
            <w:vAlign w:val="bottom"/>
            <w:gridSpan w:val="3"/>
          </w:tcPr>
          <w:p>
            <w:pPr>
              <w:spacing w:after="0"/>
              <w:rPr>
                <w:sz w:val="20"/>
                <w:szCs w:val="20"/>
                <w:color w:val="auto"/>
              </w:rPr>
            </w:pPr>
            <w:r>
              <w:rPr>
                <w:rFonts w:ascii="Arial" w:cs="Arial" w:eastAsia="Arial" w:hAnsi="Arial"/>
                <w:sz w:val="18"/>
                <w:szCs w:val="18"/>
                <w:color w:val="auto"/>
              </w:rPr>
              <w:t>ITEM 1A.</w:t>
            </w:r>
          </w:p>
        </w:tc>
        <w:tc>
          <w:tcPr>
            <w:tcW w:w="9280" w:type="dxa"/>
            <w:vAlign w:val="bottom"/>
            <w:gridSpan w:val="14"/>
          </w:tcPr>
          <w:p>
            <w:pPr>
              <w:spacing w:after="0"/>
              <w:rPr>
                <w:sz w:val="20"/>
                <w:szCs w:val="20"/>
                <w:color w:val="auto"/>
              </w:rPr>
            </w:pPr>
            <w:r>
              <w:rPr>
                <w:rFonts w:ascii="Arial" w:cs="Arial" w:eastAsia="Arial" w:hAnsi="Arial"/>
                <w:sz w:val="18"/>
                <w:szCs w:val="18"/>
                <w:color w:val="0000FF"/>
              </w:rPr>
              <w:t>Risk Factors</w:t>
            </w:r>
          </w:p>
        </w:tc>
      </w:tr>
      <w:tr>
        <w:trPr>
          <w:trHeight w:val="20"/>
        </w:trPr>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20" w:type="dxa"/>
            <w:vAlign w:val="bottom"/>
            <w:gridSpan w:val="6"/>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r>
      <w:tr>
        <w:trPr>
          <w:trHeight w:val="290"/>
        </w:trPr>
        <w:tc>
          <w:tcPr>
            <w:tcW w:w="1100" w:type="dxa"/>
            <w:vAlign w:val="bottom"/>
            <w:gridSpan w:val="3"/>
          </w:tcPr>
          <w:p>
            <w:pPr>
              <w:spacing w:after="0"/>
              <w:rPr>
                <w:sz w:val="20"/>
                <w:szCs w:val="20"/>
                <w:color w:val="auto"/>
              </w:rPr>
            </w:pPr>
            <w:r>
              <w:rPr>
                <w:rFonts w:ascii="Arial" w:cs="Arial" w:eastAsia="Arial" w:hAnsi="Arial"/>
                <w:sz w:val="18"/>
                <w:szCs w:val="18"/>
                <w:color w:val="auto"/>
              </w:rPr>
              <w:t>ITEM 2.</w:t>
            </w:r>
          </w:p>
        </w:tc>
        <w:tc>
          <w:tcPr>
            <w:tcW w:w="9280" w:type="dxa"/>
            <w:vAlign w:val="bottom"/>
            <w:gridSpan w:val="14"/>
          </w:tcPr>
          <w:p>
            <w:pPr>
              <w:spacing w:after="0"/>
              <w:rPr>
                <w:sz w:val="20"/>
                <w:szCs w:val="20"/>
                <w:color w:val="auto"/>
              </w:rPr>
            </w:pPr>
            <w:r>
              <w:rPr>
                <w:rFonts w:ascii="Arial" w:cs="Arial" w:eastAsia="Arial" w:hAnsi="Arial"/>
                <w:sz w:val="18"/>
                <w:szCs w:val="18"/>
                <w:color w:val="0000FF"/>
              </w:rPr>
              <w:t>Unregistered Sales of Equity Securities and Use of Proceeds</w:t>
            </w:r>
          </w:p>
        </w:tc>
      </w:tr>
      <w:tr>
        <w:trPr>
          <w:trHeight w:val="20"/>
        </w:trPr>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3020" w:type="dxa"/>
            <w:vAlign w:val="bottom"/>
            <w:tcBorders>
              <w:left w:val="single" w:sz="8" w:color="0000FF"/>
            </w:tcBorders>
            <w:gridSpan w:val="6"/>
            <w:shd w:val="clear" w:color="auto" w:fill="0000FF"/>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r>
      <w:tr>
        <w:trPr>
          <w:trHeight w:val="290"/>
        </w:trPr>
        <w:tc>
          <w:tcPr>
            <w:tcW w:w="1100" w:type="dxa"/>
            <w:vAlign w:val="bottom"/>
            <w:gridSpan w:val="3"/>
          </w:tcPr>
          <w:p>
            <w:pPr>
              <w:spacing w:after="0"/>
              <w:rPr>
                <w:sz w:val="20"/>
                <w:szCs w:val="20"/>
                <w:color w:val="auto"/>
              </w:rPr>
            </w:pPr>
            <w:r>
              <w:rPr>
                <w:rFonts w:ascii="Arial" w:cs="Arial" w:eastAsia="Arial" w:hAnsi="Arial"/>
                <w:sz w:val="18"/>
                <w:szCs w:val="18"/>
                <w:color w:val="auto"/>
              </w:rPr>
              <w:t>ITEM 5.</w:t>
            </w:r>
          </w:p>
        </w:tc>
        <w:tc>
          <w:tcPr>
            <w:tcW w:w="9280" w:type="dxa"/>
            <w:vAlign w:val="bottom"/>
            <w:gridSpan w:val="14"/>
          </w:tcPr>
          <w:p>
            <w:pPr>
              <w:spacing w:after="0"/>
              <w:rPr>
                <w:sz w:val="20"/>
                <w:szCs w:val="20"/>
                <w:color w:val="auto"/>
              </w:rPr>
            </w:pPr>
            <w:r>
              <w:rPr>
                <w:rFonts w:ascii="Arial" w:cs="Arial" w:eastAsia="Arial" w:hAnsi="Arial"/>
                <w:sz w:val="18"/>
                <w:szCs w:val="18"/>
                <w:color w:val="0000FF"/>
              </w:rPr>
              <w:t>Other Information</w:t>
            </w:r>
          </w:p>
        </w:tc>
      </w:tr>
      <w:tr>
        <w:trPr>
          <w:trHeight w:val="20"/>
        </w:trPr>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7980" w:type="dxa"/>
            <w:vAlign w:val="bottom"/>
            <w:gridSpan w:val="10"/>
          </w:tcPr>
          <w:p>
            <w:pPr>
              <w:spacing w:after="0" w:line="20" w:lineRule="exact"/>
              <w:rPr>
                <w:sz w:val="1"/>
                <w:szCs w:val="1"/>
                <w:color w:val="auto"/>
              </w:rPr>
            </w:pPr>
          </w:p>
        </w:tc>
      </w:tr>
      <w:tr>
        <w:trPr>
          <w:trHeight w:val="290"/>
        </w:trPr>
        <w:tc>
          <w:tcPr>
            <w:tcW w:w="1100" w:type="dxa"/>
            <w:vAlign w:val="bottom"/>
            <w:gridSpan w:val="3"/>
          </w:tcPr>
          <w:p>
            <w:pPr>
              <w:spacing w:after="0"/>
              <w:rPr>
                <w:sz w:val="20"/>
                <w:szCs w:val="20"/>
                <w:color w:val="auto"/>
              </w:rPr>
            </w:pPr>
            <w:r>
              <w:rPr>
                <w:rFonts w:ascii="Arial" w:cs="Arial" w:eastAsia="Arial" w:hAnsi="Arial"/>
                <w:sz w:val="18"/>
                <w:szCs w:val="18"/>
                <w:color w:val="auto"/>
              </w:rPr>
              <w:t>ITEM 6.</w:t>
            </w:r>
          </w:p>
        </w:tc>
        <w:tc>
          <w:tcPr>
            <w:tcW w:w="9280" w:type="dxa"/>
            <w:vAlign w:val="bottom"/>
            <w:gridSpan w:val="14"/>
          </w:tcPr>
          <w:p>
            <w:pPr>
              <w:spacing w:after="0"/>
              <w:rPr>
                <w:sz w:val="20"/>
                <w:szCs w:val="20"/>
                <w:color w:val="auto"/>
              </w:rPr>
            </w:pPr>
            <w:r>
              <w:rPr>
                <w:rFonts w:ascii="Arial" w:cs="Arial" w:eastAsia="Arial" w:hAnsi="Arial"/>
                <w:sz w:val="18"/>
                <w:szCs w:val="18"/>
                <w:color w:val="0000FF"/>
              </w:rPr>
              <w:t>Exhibits</w:t>
            </w:r>
          </w:p>
        </w:tc>
      </w:tr>
      <w:tr>
        <w:trPr>
          <w:trHeight w:val="290"/>
        </w:trPr>
        <w:tc>
          <w:tcPr>
            <w:tcW w:w="100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3"/>
              </w:rPr>
              <w:t>SIGNATURE</w:t>
            </w:r>
          </w:p>
        </w:tc>
        <w:tc>
          <w:tcPr>
            <w:tcW w:w="20" w:type="dxa"/>
            <w:vAlign w:val="bottom"/>
            <w:tcBorders>
              <w:bottom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577850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-93345</wp:posOffset>
            </wp:positionH>
            <wp:positionV relativeFrom="paragraph">
              <wp:posOffset>40640</wp:posOffset>
            </wp:positionV>
            <wp:extent cx="4622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62280" cy="8255"/>
                    </a:xfrm>
                    <a:prstGeom prst="rect">
                      <a:avLst/>
                    </a:prstGeom>
                    <a:noFill/>
                  </pic:spPr>
                </pic:pic>
              </a:graphicData>
            </a:graphic>
          </wp:anchor>
        </w:drawing>
      </w:r>
    </w:p>
    <w:p>
      <w:pPr>
        <w:spacing w:after="0" w:line="12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7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34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3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34</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34</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35</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35</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35</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35</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35</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36</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37</w:t>
      </w:r>
    </w:p>
    <w:p>
      <w:pPr>
        <w:sectPr>
          <w:pgSz w:w="11900" w:h="16838" w:orient="portrait"/>
          <w:cols w:equalWidth="0" w:num="2">
            <w:col w:w="10380" w:space="260"/>
            <w:col w:w="560"/>
          </w:cols>
          <w:pgMar w:left="340" w:top="337" w:right="3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ORION ENERGY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3"/>
              </w:rPr>
              <w:t>December 31, 2022</w:t>
            </w:r>
          </w:p>
        </w:tc>
        <w:tc>
          <w:tcPr>
            <w:tcW w:w="140" w:type="dxa"/>
            <w:vAlign w:val="bottom"/>
          </w:tcPr>
          <w:p>
            <w:pPr>
              <w:spacing w:after="0"/>
              <w:rPr>
                <w:sz w:val="16"/>
                <w:szCs w:val="16"/>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6"/>
              </w:rPr>
              <w:t>March 31, 2022</w:t>
            </w:r>
          </w:p>
        </w:tc>
      </w:tr>
      <w:tr>
        <w:trPr>
          <w:trHeight w:val="236"/>
        </w:trPr>
        <w:tc>
          <w:tcPr>
            <w:tcW w:w="80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auto"/>
            </w:tcBorders>
            <w:shd w:val="clear" w:color="auto" w:fill="CFF0FC"/>
          </w:tcPr>
          <w:p>
            <w:pPr>
              <w:spacing w:after="0"/>
              <w:rPr>
                <w:sz w:val="20"/>
                <w:szCs w:val="20"/>
                <w:color w:val="auto"/>
              </w:rPr>
            </w:pPr>
          </w:p>
        </w:tc>
        <w:tc>
          <w:tcPr>
            <w:tcW w:w="138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1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6"/>
        </w:trPr>
        <w:tc>
          <w:tcPr>
            <w:tcW w:w="808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8,142</w:t>
            </w: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14,466</w:t>
            </w:r>
          </w:p>
        </w:tc>
        <w:tc>
          <w:tcPr>
            <w:tcW w:w="100" w:type="dxa"/>
            <w:vAlign w:val="bottom"/>
          </w:tcPr>
          <w:p>
            <w:pPr>
              <w:spacing w:after="0"/>
              <w:rPr>
                <w:sz w:val="20"/>
                <w:szCs w:val="20"/>
                <w:color w:val="auto"/>
              </w:rPr>
            </w:pPr>
          </w:p>
        </w:tc>
      </w:tr>
      <w:tr>
        <w:trPr>
          <w:trHeight w:val="249"/>
        </w:trPr>
        <w:tc>
          <w:tcPr>
            <w:tcW w:w="8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Accounts receivable, net</w:t>
            </w:r>
          </w:p>
        </w:tc>
        <w:tc>
          <w:tcPr>
            <w:tcW w:w="1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13,688</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11,899</w:t>
            </w:r>
          </w:p>
        </w:tc>
        <w:tc>
          <w:tcPr>
            <w:tcW w:w="100" w:type="dxa"/>
            <w:vAlign w:val="bottom"/>
            <w:shd w:val="clear" w:color="auto" w:fill="CFF0FC"/>
          </w:tcPr>
          <w:p>
            <w:pPr>
              <w:spacing w:after="0"/>
              <w:rPr>
                <w:sz w:val="21"/>
                <w:szCs w:val="21"/>
                <w:color w:val="auto"/>
              </w:rPr>
            </w:pPr>
          </w:p>
        </w:tc>
      </w:tr>
      <w:tr>
        <w:trPr>
          <w:trHeight w:val="236"/>
        </w:trPr>
        <w:tc>
          <w:tcPr>
            <w:tcW w:w="8080" w:type="dxa"/>
            <w:vAlign w:val="bottom"/>
          </w:tcPr>
          <w:p>
            <w:pPr>
              <w:ind w:left="20"/>
              <w:spacing w:after="0"/>
              <w:rPr>
                <w:sz w:val="20"/>
                <w:szCs w:val="20"/>
                <w:color w:val="auto"/>
              </w:rPr>
            </w:pPr>
            <w:r>
              <w:rPr>
                <w:rFonts w:ascii="Arial" w:cs="Arial" w:eastAsia="Arial" w:hAnsi="Arial"/>
                <w:sz w:val="18"/>
                <w:szCs w:val="18"/>
                <w:color w:val="auto"/>
              </w:rPr>
              <w:t>Revenue earned but not billed</w:t>
            </w: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3,107</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2,421</w:t>
            </w:r>
          </w:p>
        </w:tc>
        <w:tc>
          <w:tcPr>
            <w:tcW w:w="100" w:type="dxa"/>
            <w:vAlign w:val="bottom"/>
          </w:tcPr>
          <w:p>
            <w:pPr>
              <w:spacing w:after="0"/>
              <w:rPr>
                <w:sz w:val="20"/>
                <w:szCs w:val="20"/>
                <w:color w:val="auto"/>
              </w:rPr>
            </w:pPr>
          </w:p>
        </w:tc>
      </w:tr>
      <w:tr>
        <w:trPr>
          <w:trHeight w:val="249"/>
        </w:trPr>
        <w:tc>
          <w:tcPr>
            <w:tcW w:w="8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Inventories, net</w:t>
            </w:r>
          </w:p>
        </w:tc>
        <w:tc>
          <w:tcPr>
            <w:tcW w:w="1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19,305</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19,832</w:t>
            </w:r>
          </w:p>
        </w:tc>
        <w:tc>
          <w:tcPr>
            <w:tcW w:w="100" w:type="dxa"/>
            <w:vAlign w:val="bottom"/>
            <w:shd w:val="clear" w:color="auto" w:fill="CFF0FC"/>
          </w:tcPr>
          <w:p>
            <w:pPr>
              <w:spacing w:after="0"/>
              <w:rPr>
                <w:sz w:val="21"/>
                <w:szCs w:val="21"/>
                <w:color w:val="auto"/>
              </w:rPr>
            </w:pPr>
          </w:p>
        </w:tc>
      </w:tr>
      <w:tr>
        <w:trPr>
          <w:trHeight w:val="236"/>
        </w:trPr>
        <w:tc>
          <w:tcPr>
            <w:tcW w:w="8080" w:type="dxa"/>
            <w:vAlign w:val="bottom"/>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2,347</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2,631</w:t>
            </w:r>
          </w:p>
        </w:tc>
        <w:tc>
          <w:tcPr>
            <w:tcW w:w="100" w:type="dxa"/>
            <w:vAlign w:val="bottom"/>
          </w:tcPr>
          <w:p>
            <w:pPr>
              <w:spacing w:after="0"/>
              <w:rPr>
                <w:sz w:val="20"/>
                <w:szCs w:val="20"/>
                <w:color w:val="auto"/>
              </w:rPr>
            </w:pPr>
          </w:p>
        </w:tc>
      </w:tr>
      <w:tr>
        <w:trPr>
          <w:trHeight w:val="242"/>
        </w:trPr>
        <w:tc>
          <w:tcPr>
            <w:tcW w:w="80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46,589</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51,249</w:t>
            </w:r>
          </w:p>
        </w:tc>
        <w:tc>
          <w:tcPr>
            <w:tcW w:w="100" w:type="dxa"/>
            <w:vAlign w:val="bottom"/>
            <w:shd w:val="clear" w:color="auto" w:fill="CFF0FC"/>
          </w:tcPr>
          <w:p>
            <w:pPr>
              <w:spacing w:after="0"/>
              <w:rPr>
                <w:sz w:val="21"/>
                <w:szCs w:val="21"/>
                <w:color w:val="auto"/>
              </w:rPr>
            </w:pPr>
          </w:p>
        </w:tc>
      </w:tr>
      <w:tr>
        <w:trPr>
          <w:trHeight w:val="236"/>
        </w:trPr>
        <w:tc>
          <w:tcPr>
            <w:tcW w:w="808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10,679</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11,466</w:t>
            </w:r>
          </w:p>
        </w:tc>
        <w:tc>
          <w:tcPr>
            <w:tcW w:w="100" w:type="dxa"/>
            <w:vAlign w:val="bottom"/>
          </w:tcPr>
          <w:p>
            <w:pPr>
              <w:spacing w:after="0"/>
              <w:rPr>
                <w:sz w:val="20"/>
                <w:szCs w:val="20"/>
                <w:color w:val="auto"/>
              </w:rPr>
            </w:pPr>
          </w:p>
        </w:tc>
      </w:tr>
      <w:tr>
        <w:trPr>
          <w:trHeight w:val="249"/>
        </w:trPr>
        <w:tc>
          <w:tcPr>
            <w:tcW w:w="8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Goodwill</w:t>
            </w:r>
          </w:p>
        </w:tc>
        <w:tc>
          <w:tcPr>
            <w:tcW w:w="1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1,425</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w:t>
            </w:r>
          </w:p>
        </w:tc>
        <w:tc>
          <w:tcPr>
            <w:tcW w:w="100" w:type="dxa"/>
            <w:vAlign w:val="bottom"/>
            <w:shd w:val="clear" w:color="auto" w:fill="CFF0FC"/>
          </w:tcPr>
          <w:p>
            <w:pPr>
              <w:spacing w:after="0"/>
              <w:rPr>
                <w:sz w:val="21"/>
                <w:szCs w:val="21"/>
                <w:color w:val="auto"/>
              </w:rPr>
            </w:pPr>
          </w:p>
        </w:tc>
      </w:tr>
      <w:tr>
        <w:trPr>
          <w:trHeight w:val="236"/>
        </w:trPr>
        <w:tc>
          <w:tcPr>
            <w:tcW w:w="8080" w:type="dxa"/>
            <w:vAlign w:val="bottom"/>
          </w:tcPr>
          <w:p>
            <w:pPr>
              <w:ind w:left="20"/>
              <w:spacing w:after="0"/>
              <w:rPr>
                <w:sz w:val="20"/>
                <w:szCs w:val="20"/>
                <w:color w:val="auto"/>
              </w:rPr>
            </w:pPr>
            <w:r>
              <w:rPr>
                <w:rFonts w:ascii="Arial" w:cs="Arial" w:eastAsia="Arial" w:hAnsi="Arial"/>
                <w:sz w:val="18"/>
                <w:szCs w:val="18"/>
                <w:color w:val="auto"/>
              </w:rPr>
              <w:t>Other intangible assets, net</w:t>
            </w: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6,184</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2,404</w:t>
            </w:r>
          </w:p>
        </w:tc>
        <w:tc>
          <w:tcPr>
            <w:tcW w:w="100" w:type="dxa"/>
            <w:vAlign w:val="bottom"/>
          </w:tcPr>
          <w:p>
            <w:pPr>
              <w:spacing w:after="0"/>
              <w:rPr>
                <w:sz w:val="20"/>
                <w:szCs w:val="20"/>
                <w:color w:val="auto"/>
              </w:rPr>
            </w:pPr>
          </w:p>
        </w:tc>
      </w:tr>
      <w:tr>
        <w:trPr>
          <w:trHeight w:val="249"/>
        </w:trPr>
        <w:tc>
          <w:tcPr>
            <w:tcW w:w="8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tax assets</w:t>
            </w:r>
          </w:p>
        </w:tc>
        <w:tc>
          <w:tcPr>
            <w:tcW w:w="140" w:type="dxa"/>
            <w:vAlign w:val="bottom"/>
            <w:shd w:val="clear" w:color="auto" w:fill="CFF0FC"/>
          </w:tcPr>
          <w:p>
            <w:pPr>
              <w:spacing w:after="0"/>
              <w:rPr>
                <w:sz w:val="21"/>
                <w:szCs w:val="21"/>
                <w:color w:val="auto"/>
              </w:rPr>
            </w:pPr>
          </w:p>
        </w:tc>
        <w:tc>
          <w:tcPr>
            <w:tcW w:w="16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17,805</w:t>
            </w:r>
          </w:p>
        </w:tc>
        <w:tc>
          <w:tcPr>
            <w:tcW w:w="100" w:type="dxa"/>
            <w:vAlign w:val="bottom"/>
            <w:shd w:val="clear" w:color="auto" w:fill="CFF0FC"/>
          </w:tcPr>
          <w:p>
            <w:pPr>
              <w:spacing w:after="0"/>
              <w:rPr>
                <w:sz w:val="21"/>
                <w:szCs w:val="21"/>
                <w:color w:val="auto"/>
              </w:rPr>
            </w:pPr>
          </w:p>
        </w:tc>
      </w:tr>
      <w:tr>
        <w:trPr>
          <w:trHeight w:val="236"/>
        </w:trPr>
        <w:tc>
          <w:tcPr>
            <w:tcW w:w="8080" w:type="dxa"/>
            <w:vAlign w:val="bottom"/>
          </w:tcPr>
          <w:p>
            <w:pPr>
              <w:ind w:left="20"/>
              <w:spacing w:after="0"/>
              <w:rPr>
                <w:sz w:val="20"/>
                <w:szCs w:val="20"/>
                <w:color w:val="auto"/>
              </w:rPr>
            </w:pPr>
            <w:r>
              <w:rPr>
                <w:rFonts w:ascii="Arial" w:cs="Arial" w:eastAsia="Arial" w:hAnsi="Arial"/>
                <w:sz w:val="18"/>
                <w:szCs w:val="18"/>
                <w:color w:val="auto"/>
              </w:rPr>
              <w:t>Other long-term assets</w:t>
            </w: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3,450</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3,543</w:t>
            </w:r>
          </w:p>
        </w:tc>
        <w:tc>
          <w:tcPr>
            <w:tcW w:w="100" w:type="dxa"/>
            <w:vAlign w:val="bottom"/>
          </w:tcPr>
          <w:p>
            <w:pPr>
              <w:spacing w:after="0"/>
              <w:rPr>
                <w:sz w:val="20"/>
                <w:szCs w:val="20"/>
                <w:color w:val="auto"/>
              </w:rPr>
            </w:pPr>
          </w:p>
        </w:tc>
      </w:tr>
      <w:tr>
        <w:trPr>
          <w:trHeight w:val="276"/>
        </w:trPr>
        <w:tc>
          <w:tcPr>
            <w:tcW w:w="80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68,327</w:t>
            </w:r>
          </w:p>
        </w:tc>
        <w:tc>
          <w:tcPr>
            <w:tcW w:w="2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86,817</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5"/>
        </w:trPr>
        <w:tc>
          <w:tcPr>
            <w:tcW w:w="8080" w:type="dxa"/>
            <w:vAlign w:val="bottom"/>
          </w:tcPr>
          <w:p>
            <w:pPr>
              <w:ind w:left="20"/>
              <w:spacing w:after="0"/>
              <w:rPr>
                <w:sz w:val="20"/>
                <w:szCs w:val="20"/>
                <w:color w:val="auto"/>
              </w:rPr>
            </w:pPr>
            <w:r>
              <w:rPr>
                <w:rFonts w:ascii="Arial" w:cs="Arial" w:eastAsia="Arial" w:hAnsi="Arial"/>
                <w:sz w:val="18"/>
                <w:szCs w:val="18"/>
                <w:b w:val="1"/>
                <w:bCs w:val="1"/>
                <w:color w:val="auto"/>
              </w:rPr>
              <w:t>Liabilities and Shareholders’ Equity</w:t>
            </w: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7"/>
        </w:trPr>
        <w:tc>
          <w:tcPr>
            <w:tcW w:w="8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13,458</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9,855</w:t>
            </w:r>
          </w:p>
        </w:tc>
        <w:tc>
          <w:tcPr>
            <w:tcW w:w="100" w:type="dxa"/>
            <w:vAlign w:val="bottom"/>
            <w:shd w:val="clear" w:color="auto" w:fill="CFF0FC"/>
          </w:tcPr>
          <w:p>
            <w:pPr>
              <w:spacing w:after="0"/>
              <w:rPr>
                <w:sz w:val="21"/>
                <w:szCs w:val="21"/>
                <w:color w:val="auto"/>
              </w:rPr>
            </w:pPr>
          </w:p>
        </w:tc>
      </w:tr>
      <w:tr>
        <w:trPr>
          <w:trHeight w:val="236"/>
        </w:trPr>
        <w:tc>
          <w:tcPr>
            <w:tcW w:w="8080" w:type="dxa"/>
            <w:vAlign w:val="bottom"/>
          </w:tcPr>
          <w:p>
            <w:pPr>
              <w:ind w:left="20"/>
              <w:spacing w:after="0"/>
              <w:rPr>
                <w:sz w:val="20"/>
                <w:szCs w:val="20"/>
                <w:color w:val="auto"/>
              </w:rPr>
            </w:pPr>
            <w:r>
              <w:rPr>
                <w:rFonts w:ascii="Arial" w:cs="Arial" w:eastAsia="Arial" w:hAnsi="Arial"/>
                <w:sz w:val="18"/>
                <w:szCs w:val="18"/>
                <w:color w:val="auto"/>
              </w:rPr>
              <w:t>Accrued expenses and other</w:t>
            </w: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8,415</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8,427</w:t>
            </w:r>
          </w:p>
        </w:tc>
        <w:tc>
          <w:tcPr>
            <w:tcW w:w="100" w:type="dxa"/>
            <w:vAlign w:val="bottom"/>
          </w:tcPr>
          <w:p>
            <w:pPr>
              <w:spacing w:after="0"/>
              <w:rPr>
                <w:sz w:val="20"/>
                <w:szCs w:val="20"/>
                <w:color w:val="auto"/>
              </w:rPr>
            </w:pPr>
          </w:p>
        </w:tc>
      </w:tr>
      <w:tr>
        <w:trPr>
          <w:trHeight w:val="249"/>
        </w:trPr>
        <w:tc>
          <w:tcPr>
            <w:tcW w:w="8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revenue, current</w:t>
            </w:r>
          </w:p>
        </w:tc>
        <w:tc>
          <w:tcPr>
            <w:tcW w:w="1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FF0FC"/>
          </w:tcPr>
          <w:p>
            <w:pPr>
              <w:spacing w:after="0"/>
              <w:rPr>
                <w:sz w:val="21"/>
                <w:szCs w:val="21"/>
                <w:color w:val="auto"/>
              </w:rPr>
            </w:pPr>
          </w:p>
        </w:tc>
      </w:tr>
      <w:tr>
        <w:trPr>
          <w:trHeight w:val="236"/>
        </w:trPr>
        <w:tc>
          <w:tcPr>
            <w:tcW w:w="8080" w:type="dxa"/>
            <w:vAlign w:val="bottom"/>
          </w:tcPr>
          <w:p>
            <w:pPr>
              <w:ind w:left="20"/>
              <w:spacing w:after="0"/>
              <w:rPr>
                <w:sz w:val="20"/>
                <w:szCs w:val="20"/>
                <w:color w:val="auto"/>
              </w:rPr>
            </w:pPr>
            <w:r>
              <w:rPr>
                <w:rFonts w:ascii="Arial" w:cs="Arial" w:eastAsia="Arial" w:hAnsi="Arial"/>
                <w:sz w:val="18"/>
                <w:szCs w:val="18"/>
                <w:color w:val="auto"/>
              </w:rPr>
              <w:t>Current maturities of long-term debt</w:t>
            </w: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r>
      <w:tr>
        <w:trPr>
          <w:trHeight w:val="242"/>
        </w:trPr>
        <w:tc>
          <w:tcPr>
            <w:tcW w:w="80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22,063</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18,374</w:t>
            </w:r>
          </w:p>
        </w:tc>
        <w:tc>
          <w:tcPr>
            <w:tcW w:w="100" w:type="dxa"/>
            <w:vAlign w:val="bottom"/>
            <w:shd w:val="clear" w:color="auto" w:fill="CFF0FC"/>
          </w:tcPr>
          <w:p>
            <w:pPr>
              <w:spacing w:after="0"/>
              <w:rPr>
                <w:sz w:val="21"/>
                <w:szCs w:val="21"/>
                <w:color w:val="auto"/>
              </w:rPr>
            </w:pPr>
          </w:p>
        </w:tc>
      </w:tr>
      <w:tr>
        <w:trPr>
          <w:trHeight w:val="236"/>
        </w:trPr>
        <w:tc>
          <w:tcPr>
            <w:tcW w:w="8080" w:type="dxa"/>
            <w:vAlign w:val="bottom"/>
          </w:tcPr>
          <w:p>
            <w:pPr>
              <w:ind w:left="20"/>
              <w:spacing w:after="0"/>
              <w:rPr>
                <w:sz w:val="20"/>
                <w:szCs w:val="20"/>
                <w:color w:val="auto"/>
              </w:rPr>
            </w:pPr>
            <w:r>
              <w:rPr>
                <w:rFonts w:ascii="Arial" w:cs="Arial" w:eastAsia="Arial" w:hAnsi="Arial"/>
                <w:sz w:val="18"/>
                <w:szCs w:val="18"/>
                <w:color w:val="auto"/>
              </w:rPr>
              <w:t>Revolving credit facility</w:t>
            </w: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5,000</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49"/>
        </w:trPr>
        <w:tc>
          <w:tcPr>
            <w:tcW w:w="8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Long-term debt, less current maturities</w:t>
            </w:r>
          </w:p>
        </w:tc>
        <w:tc>
          <w:tcPr>
            <w:tcW w:w="1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FF0FC"/>
          </w:tcPr>
          <w:p>
            <w:pPr>
              <w:spacing w:after="0"/>
              <w:rPr>
                <w:sz w:val="21"/>
                <w:szCs w:val="21"/>
                <w:color w:val="auto"/>
              </w:rPr>
            </w:pPr>
          </w:p>
        </w:tc>
      </w:tr>
      <w:tr>
        <w:trPr>
          <w:trHeight w:val="236"/>
        </w:trPr>
        <w:tc>
          <w:tcPr>
            <w:tcW w:w="8080" w:type="dxa"/>
            <w:vAlign w:val="bottom"/>
          </w:tcPr>
          <w:p>
            <w:pPr>
              <w:ind w:left="20"/>
              <w:spacing w:after="0"/>
              <w:rPr>
                <w:sz w:val="20"/>
                <w:szCs w:val="20"/>
                <w:color w:val="auto"/>
              </w:rPr>
            </w:pPr>
            <w:r>
              <w:rPr>
                <w:rFonts w:ascii="Arial" w:cs="Arial" w:eastAsia="Arial" w:hAnsi="Arial"/>
                <w:sz w:val="18"/>
                <w:szCs w:val="18"/>
                <w:color w:val="auto"/>
              </w:rPr>
              <w:t>Deferred revenue, long-term</w:t>
            </w: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507</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564</w:t>
            </w:r>
          </w:p>
        </w:tc>
        <w:tc>
          <w:tcPr>
            <w:tcW w:w="100" w:type="dxa"/>
            <w:vAlign w:val="bottom"/>
          </w:tcPr>
          <w:p>
            <w:pPr>
              <w:spacing w:after="0"/>
              <w:rPr>
                <w:sz w:val="20"/>
                <w:szCs w:val="20"/>
                <w:color w:val="auto"/>
              </w:rPr>
            </w:pPr>
          </w:p>
        </w:tc>
      </w:tr>
      <w:tr>
        <w:trPr>
          <w:trHeight w:val="243"/>
        </w:trPr>
        <w:tc>
          <w:tcPr>
            <w:tcW w:w="8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long-term liabilities</w:t>
            </w:r>
          </w:p>
        </w:tc>
        <w:tc>
          <w:tcPr>
            <w:tcW w:w="14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2,597</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8080" w:type="dxa"/>
            <w:vAlign w:val="bottom"/>
          </w:tcPr>
          <w:p>
            <w:pPr>
              <w:ind w:left="200"/>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30,174</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21,717</w:t>
            </w:r>
          </w:p>
        </w:tc>
        <w:tc>
          <w:tcPr>
            <w:tcW w:w="100" w:type="dxa"/>
            <w:vAlign w:val="bottom"/>
          </w:tcPr>
          <w:p>
            <w:pPr>
              <w:spacing w:after="0"/>
              <w:rPr>
                <w:sz w:val="20"/>
                <w:szCs w:val="20"/>
                <w:color w:val="auto"/>
              </w:rPr>
            </w:pPr>
          </w:p>
        </w:tc>
      </w:tr>
      <w:tr>
        <w:trPr>
          <w:trHeight w:val="242"/>
        </w:trPr>
        <w:tc>
          <w:tcPr>
            <w:tcW w:w="8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Commitments and contingencies</w:t>
            </w:r>
          </w:p>
        </w:tc>
        <w:tc>
          <w:tcPr>
            <w:tcW w:w="14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8080" w:type="dxa"/>
            <w:vAlign w:val="bottom"/>
          </w:tcPr>
          <w:p>
            <w:pPr>
              <w:ind w:left="20"/>
              <w:spacing w:after="0"/>
              <w:rPr>
                <w:sz w:val="20"/>
                <w:szCs w:val="20"/>
                <w:color w:val="auto"/>
              </w:rPr>
            </w:pPr>
            <w:r>
              <w:rPr>
                <w:rFonts w:ascii="Arial" w:cs="Arial" w:eastAsia="Arial" w:hAnsi="Arial"/>
                <w:sz w:val="18"/>
                <w:szCs w:val="18"/>
                <w:color w:val="auto"/>
              </w:rPr>
              <w:t>Shareholders’ equity:</w:t>
            </w:r>
          </w:p>
        </w:tc>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1"/>
        </w:trPr>
        <w:tc>
          <w:tcPr>
            <w:tcW w:w="8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Preferred stock, $0.01 par value: Shares authorized: 30,000,000 at</w:t>
            </w: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6"/>
        </w:trPr>
        <w:tc>
          <w:tcPr>
            <w:tcW w:w="8080" w:type="dxa"/>
            <w:vAlign w:val="bottom"/>
            <w:shd w:val="clear" w:color="auto" w:fill="CFF0FC"/>
          </w:tcPr>
          <w:p>
            <w:pPr>
              <w:ind w:left="160"/>
              <w:spacing w:after="0"/>
              <w:rPr>
                <w:sz w:val="20"/>
                <w:szCs w:val="20"/>
                <w:color w:val="auto"/>
              </w:rPr>
            </w:pPr>
            <w:r>
              <w:rPr>
                <w:rFonts w:ascii="Arial" w:cs="Arial" w:eastAsia="Arial" w:hAnsi="Arial"/>
                <w:sz w:val="18"/>
                <w:szCs w:val="18"/>
                <w:color w:val="auto"/>
              </w:rPr>
              <w:t>December 31, 2022 and March 31, 2022; no shares issued and outstanding at</w:t>
            </w:r>
          </w:p>
        </w:tc>
        <w:tc>
          <w:tcPr>
            <w:tcW w:w="1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4"/>
        </w:trPr>
        <w:tc>
          <w:tcPr>
            <w:tcW w:w="8080" w:type="dxa"/>
            <w:vAlign w:val="bottom"/>
            <w:shd w:val="clear" w:color="auto" w:fill="CFF0FC"/>
          </w:tcPr>
          <w:p>
            <w:pPr>
              <w:ind w:left="160"/>
              <w:spacing w:after="0"/>
              <w:rPr>
                <w:sz w:val="20"/>
                <w:szCs w:val="20"/>
                <w:color w:val="auto"/>
              </w:rPr>
            </w:pPr>
            <w:r>
              <w:rPr>
                <w:rFonts w:ascii="Arial" w:cs="Arial" w:eastAsia="Arial" w:hAnsi="Arial"/>
                <w:sz w:val="18"/>
                <w:szCs w:val="18"/>
                <w:color w:val="auto"/>
              </w:rPr>
              <w:t>December 31, 2022 and March 31, 2022</w:t>
            </w:r>
          </w:p>
        </w:tc>
        <w:tc>
          <w:tcPr>
            <w:tcW w:w="140" w:type="dxa"/>
            <w:vAlign w:val="bottom"/>
            <w:shd w:val="clear" w:color="auto" w:fill="CFF0FC"/>
          </w:tcPr>
          <w:p>
            <w:pPr>
              <w:spacing w:after="0"/>
              <w:rPr>
                <w:sz w:val="21"/>
                <w:szCs w:val="21"/>
                <w:color w:val="auto"/>
              </w:rPr>
            </w:pPr>
          </w:p>
        </w:tc>
        <w:tc>
          <w:tcPr>
            <w:tcW w:w="16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15"/>
        </w:trPr>
        <w:tc>
          <w:tcPr>
            <w:tcW w:w="8080" w:type="dxa"/>
            <w:vAlign w:val="bottom"/>
          </w:tcPr>
          <w:p>
            <w:pPr>
              <w:ind w:left="20"/>
              <w:spacing w:after="0"/>
              <w:rPr>
                <w:sz w:val="20"/>
                <w:szCs w:val="20"/>
                <w:color w:val="auto"/>
              </w:rPr>
            </w:pPr>
            <w:r>
              <w:rPr>
                <w:rFonts w:ascii="Arial" w:cs="Arial" w:eastAsia="Arial" w:hAnsi="Arial"/>
                <w:sz w:val="18"/>
                <w:szCs w:val="18"/>
                <w:color w:val="auto"/>
              </w:rPr>
              <w:t>Common stock, no par value: Shares authorized: 200,000,000 at December 31, 2022</w:t>
            </w: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80" w:type="dxa"/>
            <w:vAlign w:val="bottom"/>
          </w:tcPr>
          <w:p>
            <w:pPr>
              <w:ind w:left="160"/>
              <w:spacing w:after="0"/>
              <w:rPr>
                <w:sz w:val="20"/>
                <w:szCs w:val="20"/>
                <w:color w:val="auto"/>
              </w:rPr>
            </w:pPr>
            <w:r>
              <w:rPr>
                <w:rFonts w:ascii="Arial" w:cs="Arial" w:eastAsia="Arial" w:hAnsi="Arial"/>
                <w:sz w:val="18"/>
                <w:szCs w:val="18"/>
                <w:color w:val="auto"/>
              </w:rPr>
              <w:t>and March 31, 2022; shares issued: 41,764,220 at December 31, 2022 and</w:t>
            </w: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80" w:type="dxa"/>
            <w:vAlign w:val="bottom"/>
          </w:tcPr>
          <w:p>
            <w:pPr>
              <w:ind w:left="160"/>
              <w:spacing w:after="0"/>
              <w:rPr>
                <w:sz w:val="20"/>
                <w:szCs w:val="20"/>
                <w:color w:val="auto"/>
              </w:rPr>
            </w:pPr>
            <w:r>
              <w:rPr>
                <w:rFonts w:ascii="Arial" w:cs="Arial" w:eastAsia="Arial" w:hAnsi="Arial"/>
                <w:sz w:val="18"/>
                <w:szCs w:val="18"/>
                <w:color w:val="auto"/>
              </w:rPr>
              <w:t>40,570,909 at March 31, 2022; shares outstanding: 32,291,974 at</w:t>
            </w: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8080" w:type="dxa"/>
            <w:vAlign w:val="bottom"/>
          </w:tcPr>
          <w:p>
            <w:pPr>
              <w:ind w:left="160"/>
              <w:spacing w:after="0"/>
              <w:rPr>
                <w:sz w:val="20"/>
                <w:szCs w:val="20"/>
                <w:color w:val="auto"/>
              </w:rPr>
            </w:pPr>
            <w:r>
              <w:rPr>
                <w:rFonts w:ascii="Arial" w:cs="Arial" w:eastAsia="Arial" w:hAnsi="Arial"/>
                <w:sz w:val="18"/>
                <w:szCs w:val="18"/>
                <w:color w:val="auto"/>
              </w:rPr>
              <w:t>December 31, 2022 and 31,097,872 at March 31, 2022</w:t>
            </w:r>
          </w:p>
        </w:tc>
        <w:tc>
          <w:tcPr>
            <w:tcW w:w="140" w:type="dxa"/>
            <w:vAlign w:val="bottom"/>
          </w:tcPr>
          <w:p>
            <w:pPr>
              <w:spacing w:after="0"/>
              <w:rPr>
                <w:sz w:val="20"/>
                <w:szCs w:val="20"/>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49"/>
        </w:trPr>
        <w:tc>
          <w:tcPr>
            <w:tcW w:w="8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160,696</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158,419</w:t>
            </w:r>
          </w:p>
        </w:tc>
        <w:tc>
          <w:tcPr>
            <w:tcW w:w="100" w:type="dxa"/>
            <w:vAlign w:val="bottom"/>
            <w:shd w:val="clear" w:color="auto" w:fill="CFF0FC"/>
          </w:tcPr>
          <w:p>
            <w:pPr>
              <w:spacing w:after="0"/>
              <w:rPr>
                <w:sz w:val="21"/>
                <w:szCs w:val="21"/>
                <w:color w:val="auto"/>
              </w:rPr>
            </w:pPr>
          </w:p>
        </w:tc>
      </w:tr>
      <w:tr>
        <w:trPr>
          <w:trHeight w:val="215"/>
        </w:trPr>
        <w:tc>
          <w:tcPr>
            <w:tcW w:w="8080" w:type="dxa"/>
            <w:vAlign w:val="bottom"/>
          </w:tcPr>
          <w:p>
            <w:pPr>
              <w:ind w:left="20"/>
              <w:spacing w:after="0"/>
              <w:rPr>
                <w:sz w:val="20"/>
                <w:szCs w:val="20"/>
                <w:color w:val="auto"/>
              </w:rPr>
            </w:pPr>
            <w:r>
              <w:rPr>
                <w:rFonts w:ascii="Arial" w:cs="Arial" w:eastAsia="Arial" w:hAnsi="Arial"/>
                <w:sz w:val="18"/>
                <w:szCs w:val="18"/>
                <w:color w:val="auto"/>
              </w:rPr>
              <w:t>Treasury stock, common shares: 9,472,246 at December 31, 2022 and 9,473,037 at</w:t>
            </w: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8080" w:type="dxa"/>
            <w:vAlign w:val="bottom"/>
          </w:tcPr>
          <w:p>
            <w:pPr>
              <w:ind w:left="160"/>
              <w:spacing w:after="0"/>
              <w:rPr>
                <w:sz w:val="20"/>
                <w:szCs w:val="20"/>
                <w:color w:val="auto"/>
              </w:rPr>
            </w:pPr>
            <w:r>
              <w:rPr>
                <w:rFonts w:ascii="Arial" w:cs="Arial" w:eastAsia="Arial" w:hAnsi="Arial"/>
                <w:sz w:val="18"/>
                <w:szCs w:val="18"/>
                <w:color w:val="auto"/>
              </w:rPr>
              <w:t>March 31, 2022</w:t>
            </w:r>
          </w:p>
        </w:tc>
        <w:tc>
          <w:tcPr>
            <w:tcW w:w="140" w:type="dxa"/>
            <w:vAlign w:val="bottom"/>
          </w:tcPr>
          <w:p>
            <w:pPr>
              <w:spacing w:after="0"/>
              <w:rPr>
                <w:sz w:val="20"/>
                <w:szCs w:val="20"/>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(36,238 )</w:t>
            </w:r>
          </w:p>
        </w:tc>
        <w:tc>
          <w:tcPr>
            <w:tcW w:w="140" w:type="dxa"/>
            <w:vAlign w:val="bottom"/>
          </w:tcPr>
          <w:p>
            <w:pPr>
              <w:spacing w:after="0"/>
              <w:rPr>
                <w:sz w:val="20"/>
                <w:szCs w:val="20"/>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(36,239 )</w:t>
            </w:r>
          </w:p>
        </w:tc>
      </w:tr>
      <w:tr>
        <w:trPr>
          <w:trHeight w:val="243"/>
        </w:trPr>
        <w:tc>
          <w:tcPr>
            <w:tcW w:w="8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Retained deficit</w:t>
            </w:r>
          </w:p>
        </w:tc>
        <w:tc>
          <w:tcPr>
            <w:tcW w:w="140" w:type="dxa"/>
            <w:vAlign w:val="bottom"/>
            <w:shd w:val="clear" w:color="auto" w:fill="CFF0FC"/>
          </w:tcPr>
          <w:p>
            <w:pPr>
              <w:spacing w:after="0"/>
              <w:rPr>
                <w:sz w:val="21"/>
                <w:szCs w:val="21"/>
                <w:color w:val="auto"/>
              </w:rPr>
            </w:pPr>
          </w:p>
        </w:tc>
        <w:tc>
          <w:tcPr>
            <w:tcW w:w="16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(86,305 )</w:t>
            </w:r>
          </w:p>
        </w:tc>
        <w:tc>
          <w:tcPr>
            <w:tcW w:w="14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(57,080 )</w:t>
            </w:r>
          </w:p>
        </w:tc>
      </w:tr>
      <w:tr>
        <w:trPr>
          <w:trHeight w:val="236"/>
        </w:trPr>
        <w:tc>
          <w:tcPr>
            <w:tcW w:w="8080" w:type="dxa"/>
            <w:vAlign w:val="bottom"/>
            <w:tcBorders>
              <w:top w:val="single" w:sz="8" w:color="CFF0FC"/>
            </w:tcBorders>
          </w:tcPr>
          <w:p>
            <w:pPr>
              <w:ind w:left="200"/>
              <w:spacing w:after="0"/>
              <w:rPr>
                <w:sz w:val="20"/>
                <w:szCs w:val="20"/>
                <w:color w:val="auto"/>
              </w:rPr>
            </w:pPr>
            <w:r>
              <w:rPr>
                <w:rFonts w:ascii="Arial" w:cs="Arial" w:eastAsia="Arial" w:hAnsi="Arial"/>
                <w:sz w:val="18"/>
                <w:szCs w:val="18"/>
                <w:color w:val="auto"/>
              </w:rPr>
              <w:t>Total shareholders’ equity</w:t>
            </w:r>
          </w:p>
        </w:tc>
        <w:tc>
          <w:tcPr>
            <w:tcW w:w="140" w:type="dxa"/>
            <w:vAlign w:val="bottom"/>
            <w:tcBorders>
              <w:top w:val="single" w:sz="8" w:color="auto"/>
              <w:bottom w:val="single" w:sz="8" w:color="auto"/>
            </w:tcBorders>
          </w:tcPr>
          <w:p>
            <w:pPr>
              <w:spacing w:after="0"/>
              <w:rPr>
                <w:sz w:val="20"/>
                <w:szCs w:val="20"/>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38,153</w:t>
            </w:r>
          </w:p>
        </w:tc>
        <w:tc>
          <w:tcPr>
            <w:tcW w:w="220" w:type="dxa"/>
            <w:vAlign w:val="bottom"/>
            <w:tcBorders>
              <w:top w:val="single" w:sz="8" w:color="CFF0FC"/>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65,100</w:t>
            </w:r>
          </w:p>
        </w:tc>
        <w:tc>
          <w:tcPr>
            <w:tcW w:w="100" w:type="dxa"/>
            <w:vAlign w:val="bottom"/>
            <w:tcBorders>
              <w:top w:val="single" w:sz="8" w:color="CFF0FC"/>
            </w:tcBorders>
          </w:tcPr>
          <w:p>
            <w:pPr>
              <w:spacing w:after="0"/>
              <w:rPr>
                <w:sz w:val="20"/>
                <w:szCs w:val="20"/>
                <w:color w:val="auto"/>
              </w:rPr>
            </w:pPr>
          </w:p>
        </w:tc>
      </w:tr>
      <w:tr>
        <w:trPr>
          <w:trHeight w:val="276"/>
        </w:trPr>
        <w:tc>
          <w:tcPr>
            <w:tcW w:w="80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liabilities and shareholders’ equity</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68,327</w:t>
            </w:r>
          </w:p>
        </w:tc>
        <w:tc>
          <w:tcPr>
            <w:tcW w:w="2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86,817</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6092825</wp:posOffset>
            </wp:positionH>
            <wp:positionV relativeFrom="paragraph">
              <wp:posOffset>-3997960</wp:posOffset>
            </wp:positionV>
            <wp:extent cx="1044575" cy="1797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44575" cy="179705"/>
                    </a:xfrm>
                    <a:prstGeom prst="rect">
                      <a:avLst/>
                    </a:prstGeom>
                    <a:noFill/>
                  </pic:spPr>
                </pic:pic>
              </a:graphicData>
            </a:graphic>
          </wp:anchor>
        </w:drawing>
        <w:drawing>
          <wp:anchor simplePos="0" relativeHeight="251657728" behindDoc="1" locked="0" layoutInCell="0" allowOverlap="1">
            <wp:simplePos x="0" y="0"/>
            <wp:positionH relativeFrom="column">
              <wp:posOffset>6092825</wp:posOffset>
            </wp:positionH>
            <wp:positionV relativeFrom="paragraph">
              <wp:posOffset>-2422525</wp:posOffset>
            </wp:positionV>
            <wp:extent cx="6858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-2422525</wp:posOffset>
            </wp:positionV>
            <wp:extent cx="6858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6092825</wp:posOffset>
            </wp:positionH>
            <wp:positionV relativeFrom="paragraph">
              <wp:posOffset>-350520</wp:posOffset>
            </wp:positionV>
            <wp:extent cx="6858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6092825</wp:posOffset>
            </wp:positionH>
            <wp:positionV relativeFrom="paragraph">
              <wp:posOffset>-24765</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6092825</wp:posOffset>
            </wp:positionH>
            <wp:positionV relativeFrom="paragraph">
              <wp:posOffset>-7620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jc w:val="center"/>
        <w:spacing w:after="0" w:line="265" w:lineRule="auto"/>
        <w:rPr>
          <w:sz w:val="20"/>
          <w:szCs w:val="20"/>
          <w:color w:val="auto"/>
        </w:rPr>
      </w:pPr>
      <w:r>
        <w:rPr>
          <w:rFonts w:ascii="Arial" w:cs="Arial" w:eastAsia="Arial" w:hAnsi="Arial"/>
          <w:sz w:val="18"/>
          <w:szCs w:val="18"/>
          <w:b w:val="1"/>
          <w:bCs w:val="1"/>
          <w:color w:val="auto"/>
        </w:rPr>
        <w:t>ORION ENERGY SYSTEMS, INC. AND SUBSIDIARIES UNAUDITED CONDENSED CONSOLIDATED STATEMENTS OF OPERATIONS (in thousands, except share and per share amounts)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60" w:type="dxa"/>
            <w:vAlign w:val="bottom"/>
            <w:gridSpan w:val="6"/>
          </w:tcPr>
          <w:p>
            <w:pPr>
              <w:jc w:val="right"/>
              <w:ind w:right="530"/>
              <w:spacing w:after="0"/>
              <w:rPr>
                <w:sz w:val="20"/>
                <w:szCs w:val="20"/>
                <w:color w:val="auto"/>
              </w:rPr>
            </w:pPr>
            <w:r>
              <w:rPr>
                <w:rFonts w:ascii="Arial" w:cs="Arial" w:eastAsia="Arial" w:hAnsi="Arial"/>
                <w:sz w:val="14"/>
                <w:szCs w:val="14"/>
                <w:b w:val="1"/>
                <w:bCs w:val="1"/>
                <w:color w:val="auto"/>
                <w:w w:val="99"/>
              </w:rPr>
              <w:t>Three Months Ended December 31,</w:t>
            </w:r>
          </w:p>
        </w:tc>
        <w:tc>
          <w:tcPr>
            <w:tcW w:w="260" w:type="dxa"/>
            <w:vAlign w:val="bottom"/>
          </w:tcPr>
          <w:p>
            <w:pPr>
              <w:spacing w:after="0"/>
              <w:rPr>
                <w:sz w:val="16"/>
                <w:szCs w:val="16"/>
                <w:color w:val="auto"/>
              </w:rPr>
            </w:pPr>
          </w:p>
        </w:tc>
        <w:tc>
          <w:tcPr>
            <w:tcW w:w="2740" w:type="dxa"/>
            <w:vAlign w:val="bottom"/>
            <w:gridSpan w:val="6"/>
          </w:tcPr>
          <w:p>
            <w:pPr>
              <w:jc w:val="right"/>
              <w:ind w:right="421"/>
              <w:spacing w:after="0"/>
              <w:rPr>
                <w:sz w:val="20"/>
                <w:szCs w:val="20"/>
                <w:color w:val="auto"/>
              </w:rPr>
            </w:pPr>
            <w:r>
              <w:rPr>
                <w:rFonts w:ascii="Arial" w:cs="Arial" w:eastAsia="Arial" w:hAnsi="Arial"/>
                <w:sz w:val="14"/>
                <w:szCs w:val="14"/>
                <w:b w:val="1"/>
                <w:bCs w:val="1"/>
                <w:color w:val="auto"/>
                <w:w w:val="98"/>
              </w:rPr>
              <w:t>Nine Months Ended December 31,</w:t>
            </w:r>
          </w:p>
        </w:tc>
      </w:tr>
      <w:tr>
        <w:trPr>
          <w:trHeight w:val="169"/>
        </w:trPr>
        <w:tc>
          <w:tcPr>
            <w:tcW w:w="504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36"/>
        </w:trPr>
        <w:tc>
          <w:tcPr>
            <w:tcW w:w="5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Product revenue</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15,399</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22,203</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41,715</w:t>
            </w:r>
          </w:p>
        </w:tc>
        <w:tc>
          <w:tcPr>
            <w:tcW w:w="120" w:type="dxa"/>
            <w:vAlign w:val="bottom"/>
            <w:shd w:val="clear" w:color="auto" w:fill="CFF0FC"/>
          </w:tcPr>
          <w:p>
            <w:pPr>
              <w:spacing w:after="0"/>
              <w:rPr>
                <w:sz w:val="20"/>
                <w:szCs w:val="20"/>
                <w:color w:val="auto"/>
              </w:rPr>
            </w:pPr>
          </w:p>
        </w:tc>
        <w:tc>
          <w:tcPr>
            <w:tcW w:w="4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78,260</w:t>
            </w:r>
          </w:p>
        </w:tc>
        <w:tc>
          <w:tcPr>
            <w:tcW w:w="100" w:type="dxa"/>
            <w:vAlign w:val="bottom"/>
            <w:shd w:val="clear" w:color="auto" w:fill="CFF0FC"/>
          </w:tcPr>
          <w:p>
            <w:pPr>
              <w:spacing w:after="0"/>
              <w:rPr>
                <w:sz w:val="20"/>
                <w:szCs w:val="20"/>
                <w:color w:val="auto"/>
              </w:rPr>
            </w:pPr>
          </w:p>
        </w:tc>
      </w:tr>
      <w:tr>
        <w:trPr>
          <w:trHeight w:val="236"/>
        </w:trPr>
        <w:tc>
          <w:tcPr>
            <w:tcW w:w="5040" w:type="dxa"/>
            <w:vAlign w:val="bottom"/>
          </w:tcPr>
          <w:p>
            <w:pPr>
              <w:ind w:left="20"/>
              <w:spacing w:after="0"/>
              <w:rPr>
                <w:sz w:val="20"/>
                <w:szCs w:val="20"/>
                <w:color w:val="auto"/>
              </w:rPr>
            </w:pPr>
            <w:r>
              <w:rPr>
                <w:rFonts w:ascii="Arial" w:cs="Arial" w:eastAsia="Arial" w:hAnsi="Arial"/>
                <w:sz w:val="18"/>
                <w:szCs w:val="18"/>
                <w:color w:val="auto"/>
              </w:rPr>
              <w:t>Service revenue</w:t>
            </w: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8,511</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14,039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24,065</w:t>
            </w:r>
          </w:p>
        </w:tc>
        <w:tc>
          <w:tcPr>
            <w:tcW w:w="100" w:type="dxa"/>
            <w:vAlign w:val="bottom"/>
          </w:tcPr>
          <w:p>
            <w:pPr>
              <w:spacing w:after="0"/>
              <w:rPr>
                <w:sz w:val="20"/>
                <w:szCs w:val="20"/>
                <w:color w:val="auto"/>
              </w:rPr>
            </w:pPr>
          </w:p>
        </w:tc>
      </w:tr>
      <w:tr>
        <w:trPr>
          <w:trHeight w:val="242"/>
        </w:trPr>
        <w:tc>
          <w:tcPr>
            <w:tcW w:w="50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Total revenue</w:t>
            </w:r>
          </w:p>
        </w:tc>
        <w:tc>
          <w:tcPr>
            <w:tcW w:w="2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20,288</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30,714</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55,754</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102,325</w:t>
            </w:r>
          </w:p>
        </w:tc>
        <w:tc>
          <w:tcPr>
            <w:tcW w:w="100" w:type="dxa"/>
            <w:vAlign w:val="bottom"/>
            <w:shd w:val="clear" w:color="auto" w:fill="CFF0FC"/>
          </w:tcPr>
          <w:p>
            <w:pPr>
              <w:spacing w:after="0"/>
              <w:rPr>
                <w:sz w:val="21"/>
                <w:szCs w:val="21"/>
                <w:color w:val="auto"/>
              </w:rPr>
            </w:pPr>
          </w:p>
        </w:tc>
      </w:tr>
      <w:tr>
        <w:trPr>
          <w:trHeight w:val="236"/>
        </w:trPr>
        <w:tc>
          <w:tcPr>
            <w:tcW w:w="5040" w:type="dxa"/>
            <w:vAlign w:val="bottom"/>
          </w:tcPr>
          <w:p>
            <w:pPr>
              <w:ind w:left="20"/>
              <w:spacing w:after="0"/>
              <w:rPr>
                <w:sz w:val="20"/>
                <w:szCs w:val="20"/>
                <w:color w:val="auto"/>
              </w:rPr>
            </w:pPr>
            <w:r>
              <w:rPr>
                <w:rFonts w:ascii="Arial" w:cs="Arial" w:eastAsia="Arial" w:hAnsi="Arial"/>
                <w:sz w:val="18"/>
                <w:szCs w:val="18"/>
                <w:color w:val="auto"/>
              </w:rPr>
              <w:t>Cost of product revenue</w:t>
            </w: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11,480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16,427</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31,152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54,724</w:t>
            </w:r>
          </w:p>
        </w:tc>
        <w:tc>
          <w:tcPr>
            <w:tcW w:w="100" w:type="dxa"/>
            <w:vAlign w:val="bottom"/>
          </w:tcPr>
          <w:p>
            <w:pPr>
              <w:spacing w:after="0"/>
              <w:rPr>
                <w:sz w:val="20"/>
                <w:szCs w:val="20"/>
                <w:color w:val="auto"/>
              </w:rPr>
            </w:pPr>
          </w:p>
        </w:tc>
      </w:tr>
      <w:tr>
        <w:trPr>
          <w:trHeight w:val="243"/>
        </w:trPr>
        <w:tc>
          <w:tcPr>
            <w:tcW w:w="50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Cost of service revenue</w:t>
            </w:r>
          </w:p>
        </w:tc>
        <w:tc>
          <w:tcPr>
            <w:tcW w:w="24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4,027</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6,646</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11,832</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18,942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040" w:type="dxa"/>
            <w:vAlign w:val="bottom"/>
          </w:tcPr>
          <w:p>
            <w:pPr>
              <w:ind w:left="200"/>
              <w:spacing w:after="0"/>
              <w:rPr>
                <w:sz w:val="20"/>
                <w:szCs w:val="20"/>
                <w:color w:val="auto"/>
              </w:rPr>
            </w:pPr>
            <w:r>
              <w:rPr>
                <w:rFonts w:ascii="Arial" w:cs="Arial" w:eastAsia="Arial" w:hAnsi="Arial"/>
                <w:sz w:val="18"/>
                <w:szCs w:val="18"/>
                <w:color w:val="auto"/>
              </w:rPr>
              <w:t>Total cost of revenue</w:t>
            </w: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15,507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23,073</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42,984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73,666</w:t>
            </w:r>
          </w:p>
        </w:tc>
        <w:tc>
          <w:tcPr>
            <w:tcW w:w="100" w:type="dxa"/>
            <w:vAlign w:val="bottom"/>
          </w:tcPr>
          <w:p>
            <w:pPr>
              <w:spacing w:after="0"/>
              <w:rPr>
                <w:sz w:val="20"/>
                <w:szCs w:val="20"/>
                <w:color w:val="auto"/>
              </w:rPr>
            </w:pPr>
          </w:p>
        </w:tc>
      </w:tr>
      <w:tr>
        <w:trPr>
          <w:trHeight w:val="242"/>
        </w:trPr>
        <w:tc>
          <w:tcPr>
            <w:tcW w:w="50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4,781</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7,641</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12,770</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28,659</w:t>
            </w:r>
          </w:p>
        </w:tc>
        <w:tc>
          <w:tcPr>
            <w:tcW w:w="100" w:type="dxa"/>
            <w:vAlign w:val="bottom"/>
            <w:shd w:val="clear" w:color="auto" w:fill="CFF0FC"/>
          </w:tcPr>
          <w:p>
            <w:pPr>
              <w:spacing w:after="0"/>
              <w:rPr>
                <w:sz w:val="21"/>
                <w:szCs w:val="21"/>
                <w:color w:val="auto"/>
              </w:rPr>
            </w:pPr>
          </w:p>
        </w:tc>
      </w:tr>
      <w:tr>
        <w:trPr>
          <w:trHeight w:val="236"/>
        </w:trPr>
        <w:tc>
          <w:tcPr>
            <w:tcW w:w="50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5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3,984</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2,873</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11,683</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8,737</w:t>
            </w:r>
          </w:p>
        </w:tc>
        <w:tc>
          <w:tcPr>
            <w:tcW w:w="100" w:type="dxa"/>
            <w:vAlign w:val="bottom"/>
            <w:shd w:val="clear" w:color="auto" w:fill="CFF0FC"/>
          </w:tcPr>
          <w:p>
            <w:pPr>
              <w:spacing w:after="0"/>
              <w:rPr>
                <w:sz w:val="21"/>
                <w:szCs w:val="21"/>
                <w:color w:val="auto"/>
              </w:rPr>
            </w:pPr>
          </w:p>
        </w:tc>
      </w:tr>
      <w:tr>
        <w:trPr>
          <w:trHeight w:val="236"/>
        </w:trPr>
        <w:tc>
          <w:tcPr>
            <w:tcW w:w="5040" w:type="dxa"/>
            <w:vAlign w:val="bottom"/>
          </w:tcPr>
          <w:p>
            <w:pPr>
              <w:ind w:left="20"/>
              <w:spacing w:after="0"/>
              <w:rPr>
                <w:sz w:val="20"/>
                <w:szCs w:val="20"/>
                <w:color w:val="auto"/>
              </w:rPr>
            </w:pPr>
            <w:r>
              <w:rPr>
                <w:rFonts w:ascii="Arial" w:cs="Arial" w:eastAsia="Arial" w:hAnsi="Arial"/>
                <w:sz w:val="18"/>
                <w:szCs w:val="18"/>
                <w:color w:val="auto"/>
              </w:rPr>
              <w:t>Acquisition related costs</w:t>
            </w: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1,993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178</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2,340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0"/>
                <w:szCs w:val="20"/>
                <w:color w:val="auto"/>
              </w:rPr>
            </w:pPr>
          </w:p>
        </w:tc>
      </w:tr>
      <w:tr>
        <w:trPr>
          <w:trHeight w:val="249"/>
        </w:trPr>
        <w:tc>
          <w:tcPr>
            <w:tcW w:w="5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Sales and marketing</w:t>
            </w:r>
          </w:p>
        </w:tc>
        <w:tc>
          <w:tcPr>
            <w:tcW w:w="2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2,983</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2,862</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8,521</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8,794</w:t>
            </w:r>
          </w:p>
        </w:tc>
        <w:tc>
          <w:tcPr>
            <w:tcW w:w="100" w:type="dxa"/>
            <w:vAlign w:val="bottom"/>
            <w:shd w:val="clear" w:color="auto" w:fill="CFF0FC"/>
          </w:tcPr>
          <w:p>
            <w:pPr>
              <w:spacing w:after="0"/>
              <w:rPr>
                <w:sz w:val="21"/>
                <w:szCs w:val="21"/>
                <w:color w:val="auto"/>
              </w:rPr>
            </w:pPr>
          </w:p>
        </w:tc>
      </w:tr>
      <w:tr>
        <w:trPr>
          <w:trHeight w:val="236"/>
        </w:trPr>
        <w:tc>
          <w:tcPr>
            <w:tcW w:w="504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1,169</w:t>
            </w:r>
          </w:p>
        </w:tc>
        <w:tc>
          <w:tcPr>
            <w:tcW w:w="100" w:type="dxa"/>
            <w:vAlign w:val="bottom"/>
          </w:tcPr>
          <w:p>
            <w:pPr>
              <w:spacing w:after="0"/>
              <w:rPr>
                <w:sz w:val="20"/>
                <w:szCs w:val="20"/>
                <w:color w:val="auto"/>
              </w:rPr>
            </w:pPr>
          </w:p>
        </w:tc>
      </w:tr>
      <w:tr>
        <w:trPr>
          <w:trHeight w:val="236"/>
        </w:trPr>
        <w:tc>
          <w:tcPr>
            <w:tcW w:w="50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9,369</w:t>
            </w:r>
          </w:p>
        </w:tc>
        <w:tc>
          <w:tcPr>
            <w:tcW w:w="1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6,309</w:t>
            </w:r>
          </w:p>
        </w:tc>
        <w:tc>
          <w:tcPr>
            <w:tcW w:w="2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23,918</w:t>
            </w:r>
          </w:p>
        </w:tc>
        <w:tc>
          <w:tcPr>
            <w:tcW w:w="1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18,878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5040" w:type="dxa"/>
            <w:vAlign w:val="bottom"/>
          </w:tcPr>
          <w:p>
            <w:pPr>
              <w:ind w:left="20"/>
              <w:spacing w:after="0"/>
              <w:rPr>
                <w:sz w:val="20"/>
                <w:szCs w:val="20"/>
                <w:color w:val="auto"/>
              </w:rPr>
            </w:pPr>
            <w:r>
              <w:rPr>
                <w:rFonts w:ascii="Arial" w:cs="Arial" w:eastAsia="Arial" w:hAnsi="Arial"/>
                <w:sz w:val="18"/>
                <w:szCs w:val="18"/>
                <w:color w:val="auto"/>
              </w:rPr>
              <w:t>(Loss) income from operations</w:t>
            </w:r>
          </w:p>
        </w:tc>
        <w:tc>
          <w:tcPr>
            <w:tcW w:w="24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(4,588 )</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1,332</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(11,148 )</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9,781</w:t>
            </w:r>
          </w:p>
        </w:tc>
        <w:tc>
          <w:tcPr>
            <w:tcW w:w="100" w:type="dxa"/>
            <w:vAlign w:val="bottom"/>
          </w:tcPr>
          <w:p>
            <w:pPr>
              <w:spacing w:after="0"/>
              <w:rPr>
                <w:sz w:val="20"/>
                <w:szCs w:val="20"/>
                <w:color w:val="auto"/>
              </w:rPr>
            </w:pPr>
          </w:p>
        </w:tc>
      </w:tr>
      <w:tr>
        <w:trPr>
          <w:trHeight w:val="249"/>
        </w:trPr>
        <w:tc>
          <w:tcPr>
            <w:tcW w:w="5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income (expense):</w:t>
            </w:r>
          </w:p>
        </w:tc>
        <w:tc>
          <w:tcPr>
            <w:tcW w:w="24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5040" w:type="dxa"/>
            <w:vAlign w:val="bottom"/>
          </w:tcPr>
          <w:p>
            <w:pPr>
              <w:ind w:left="20"/>
              <w:spacing w:after="0"/>
              <w:rPr>
                <w:sz w:val="20"/>
                <w:szCs w:val="20"/>
                <w:color w:val="auto"/>
              </w:rPr>
            </w:pPr>
            <w:r>
              <w:rPr>
                <w:rFonts w:ascii="Arial" w:cs="Arial" w:eastAsia="Arial" w:hAnsi="Arial"/>
                <w:sz w:val="18"/>
                <w:szCs w:val="18"/>
                <w:color w:val="auto"/>
              </w:rPr>
              <w:t>Other income</w:t>
            </w:r>
          </w:p>
        </w:tc>
        <w:tc>
          <w:tcPr>
            <w:tcW w:w="240" w:type="dxa"/>
            <w:vAlign w:val="bottom"/>
          </w:tcPr>
          <w:p>
            <w:pPr>
              <w:spacing w:after="0"/>
              <w:rPr>
                <w:sz w:val="20"/>
                <w:szCs w:val="20"/>
                <w:color w:val="auto"/>
              </w:rPr>
            </w:pPr>
          </w:p>
        </w:tc>
        <w:tc>
          <w:tcPr>
            <w:tcW w:w="136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2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1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r>
      <w:tr>
        <w:trPr>
          <w:trHeight w:val="249"/>
        </w:trPr>
        <w:tc>
          <w:tcPr>
            <w:tcW w:w="5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(64 )</w:t>
            </w:r>
          </w:p>
        </w:tc>
        <w:tc>
          <w:tcPr>
            <w:tcW w:w="1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(26 )</w:t>
            </w:r>
          </w:p>
        </w:tc>
        <w:tc>
          <w:tcPr>
            <w:tcW w:w="26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(97 )</w:t>
            </w:r>
          </w:p>
        </w:tc>
        <w:tc>
          <w:tcPr>
            <w:tcW w:w="1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(59 )</w:t>
            </w:r>
          </w:p>
        </w:tc>
      </w:tr>
      <w:tr>
        <w:trPr>
          <w:trHeight w:val="236"/>
        </w:trPr>
        <w:tc>
          <w:tcPr>
            <w:tcW w:w="5040" w:type="dxa"/>
            <w:vAlign w:val="bottom"/>
          </w:tcPr>
          <w:p>
            <w:pPr>
              <w:ind w:left="20"/>
              <w:spacing w:after="0"/>
              <w:rPr>
                <w:sz w:val="20"/>
                <w:szCs w:val="20"/>
                <w:color w:val="auto"/>
              </w:rPr>
            </w:pPr>
            <w:r>
              <w:rPr>
                <w:rFonts w:ascii="Arial" w:cs="Arial" w:eastAsia="Arial" w:hAnsi="Arial"/>
                <w:sz w:val="18"/>
                <w:szCs w:val="18"/>
                <w:color w:val="auto"/>
              </w:rPr>
              <w:t>Amortization of debt issue costs</w:t>
            </w:r>
          </w:p>
        </w:tc>
        <w:tc>
          <w:tcPr>
            <w:tcW w:w="24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(16 )</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gridSpan w:val="2"/>
          </w:tcPr>
          <w:p>
            <w:pPr>
              <w:jc w:val="right"/>
              <w:ind w:right="70"/>
              <w:spacing w:after="0"/>
              <w:rPr>
                <w:sz w:val="20"/>
                <w:szCs w:val="20"/>
                <w:color w:val="auto"/>
              </w:rPr>
            </w:pPr>
            <w:r>
              <w:rPr>
                <w:rFonts w:ascii="Arial" w:cs="Arial" w:eastAsia="Arial" w:hAnsi="Arial"/>
                <w:sz w:val="18"/>
                <w:szCs w:val="18"/>
                <w:color w:val="auto"/>
              </w:rPr>
              <w:t>(15 )</w:t>
            </w:r>
          </w:p>
        </w:tc>
        <w:tc>
          <w:tcPr>
            <w:tcW w:w="26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(47 )</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(46 )</w:t>
            </w:r>
          </w:p>
        </w:tc>
      </w:tr>
      <w:tr>
        <w:trPr>
          <w:trHeight w:val="236"/>
        </w:trPr>
        <w:tc>
          <w:tcPr>
            <w:tcW w:w="5040" w:type="dxa"/>
            <w:vAlign w:val="bottom"/>
            <w:tcBorders>
              <w:top w:val="single" w:sz="8" w:color="CFF0FC"/>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other expense</w:t>
            </w: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CFF0FC"/>
              <w:bottom w:val="single" w:sz="8" w:color="CFF0FC"/>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spacing w:after="0"/>
              <w:rPr>
                <w:sz w:val="20"/>
                <w:szCs w:val="20"/>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240" w:type="dxa"/>
            <w:vAlign w:val="bottom"/>
            <w:tcBorders>
              <w:top w:val="single" w:sz="8" w:color="CFF0FC"/>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auto"/>
              <w:bottom w:val="single" w:sz="8" w:color="auto"/>
            </w:tcBorders>
            <w:shd w:val="clear" w:color="auto" w:fill="CFF0FC"/>
          </w:tcPr>
          <w:p>
            <w:pPr>
              <w:spacing w:after="0"/>
              <w:rPr>
                <w:sz w:val="20"/>
                <w:szCs w:val="20"/>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c>
          <w:tcPr>
            <w:tcW w:w="300" w:type="dxa"/>
            <w:vAlign w:val="bottom"/>
            <w:tcBorders>
              <w:top w:val="single" w:sz="8" w:color="auto"/>
              <w:bottom w:val="single" w:sz="8" w:color="auto"/>
            </w:tcBorders>
            <w:shd w:val="clear" w:color="auto" w:fill="CFF0FC"/>
          </w:tcPr>
          <w:p>
            <w:pPr>
              <w:spacing w:after="0"/>
              <w:rPr>
                <w:sz w:val="20"/>
                <w:szCs w:val="20"/>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6"/>
        </w:trPr>
        <w:tc>
          <w:tcPr>
            <w:tcW w:w="5040" w:type="dxa"/>
            <w:vAlign w:val="bottom"/>
          </w:tcPr>
          <w:p>
            <w:pPr>
              <w:ind w:left="20"/>
              <w:spacing w:after="0"/>
              <w:rPr>
                <w:sz w:val="20"/>
                <w:szCs w:val="20"/>
                <w:color w:val="auto"/>
              </w:rPr>
            </w:pPr>
            <w:r>
              <w:rPr>
                <w:rFonts w:ascii="Arial" w:cs="Arial" w:eastAsia="Arial" w:hAnsi="Arial"/>
                <w:sz w:val="18"/>
                <w:szCs w:val="18"/>
                <w:color w:val="auto"/>
              </w:rPr>
              <w:t>(Loss) income before income tax</w:t>
            </w:r>
          </w:p>
        </w:tc>
        <w:tc>
          <w:tcPr>
            <w:tcW w:w="24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(4,668 )</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1,291</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(11,292 )</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9,677</w:t>
            </w:r>
          </w:p>
        </w:tc>
        <w:tc>
          <w:tcPr>
            <w:tcW w:w="100" w:type="dxa"/>
            <w:vAlign w:val="bottom"/>
          </w:tcPr>
          <w:p>
            <w:pPr>
              <w:spacing w:after="0"/>
              <w:rPr>
                <w:sz w:val="20"/>
                <w:szCs w:val="20"/>
                <w:color w:val="auto"/>
              </w:rPr>
            </w:pPr>
          </w:p>
        </w:tc>
      </w:tr>
      <w:tr>
        <w:trPr>
          <w:trHeight w:val="243"/>
        </w:trPr>
        <w:tc>
          <w:tcPr>
            <w:tcW w:w="50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Income tax expense</w:t>
            </w:r>
          </w:p>
        </w:tc>
        <w:tc>
          <w:tcPr>
            <w:tcW w:w="24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19,391</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17,933</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040" w:type="dxa"/>
            <w:vAlign w:val="bottom"/>
          </w:tcPr>
          <w:p>
            <w:pPr>
              <w:ind w:left="200"/>
              <w:spacing w:after="0"/>
              <w:rPr>
                <w:sz w:val="20"/>
                <w:szCs w:val="20"/>
                <w:color w:val="auto"/>
              </w:rPr>
            </w:pPr>
            <w:r>
              <w:rPr>
                <w:rFonts w:ascii="Arial" w:cs="Arial" w:eastAsia="Arial" w:hAnsi="Arial"/>
                <w:sz w:val="18"/>
                <w:szCs w:val="18"/>
                <w:color w:val="auto"/>
              </w:rPr>
              <w:t>Net (loss) income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(24,059 )</w:t>
            </w:r>
          </w:p>
        </w:tc>
        <w:tc>
          <w:tcPr>
            <w:tcW w:w="14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1,102</w:t>
            </w:r>
          </w:p>
        </w:tc>
        <w:tc>
          <w:tcPr>
            <w:tcW w:w="24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(29,225 )</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7,271</w:t>
            </w:r>
          </w:p>
        </w:tc>
        <w:tc>
          <w:tcPr>
            <w:tcW w:w="100" w:type="dxa"/>
            <w:vAlign w:val="bottom"/>
          </w:tcPr>
          <w:p>
            <w:pPr>
              <w:spacing w:after="0"/>
              <w:rPr>
                <w:sz w:val="20"/>
                <w:szCs w:val="20"/>
                <w:color w:val="auto"/>
              </w:rPr>
            </w:pPr>
          </w:p>
        </w:tc>
      </w:tr>
      <w:tr>
        <w:trPr>
          <w:trHeight w:val="20"/>
        </w:trPr>
        <w:tc>
          <w:tcPr>
            <w:tcW w:w="50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2"/>
        </w:trPr>
        <w:tc>
          <w:tcPr>
            <w:tcW w:w="5040" w:type="dxa"/>
            <w:vAlign w:val="bottom"/>
            <w:shd w:val="clear" w:color="auto" w:fill="CFF0FC"/>
          </w:tcPr>
          <w:p>
            <w:pPr>
              <w:ind w:left="20"/>
              <w:spacing w:after="0" w:line="201" w:lineRule="exact"/>
              <w:rPr>
                <w:sz w:val="20"/>
                <w:szCs w:val="20"/>
                <w:color w:val="auto"/>
              </w:rPr>
            </w:pPr>
            <w:r>
              <w:rPr>
                <w:rFonts w:ascii="Arial" w:cs="Arial" w:eastAsia="Arial" w:hAnsi="Arial"/>
                <w:sz w:val="18"/>
                <w:szCs w:val="18"/>
                <w:color w:val="auto"/>
              </w:rPr>
              <w:t>Basic net (loss) income per share attributable to</w:t>
            </w:r>
          </w:p>
        </w:tc>
        <w:tc>
          <w:tcPr>
            <w:tcW w:w="2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44"/>
        </w:trPr>
        <w:tc>
          <w:tcPr>
            <w:tcW w:w="5040" w:type="dxa"/>
            <w:vAlign w:val="bottom"/>
            <w:shd w:val="clear" w:color="auto" w:fill="CFF0FC"/>
          </w:tcPr>
          <w:p>
            <w:pPr>
              <w:ind w:left="160"/>
              <w:spacing w:after="0"/>
              <w:rPr>
                <w:sz w:val="20"/>
                <w:szCs w:val="20"/>
                <w:color w:val="auto"/>
              </w:rPr>
            </w:pPr>
            <w:r>
              <w:rPr>
                <w:rFonts w:ascii="Arial" w:cs="Arial" w:eastAsia="Arial" w:hAnsi="Arial"/>
                <w:sz w:val="18"/>
                <w:szCs w:val="18"/>
                <w:color w:val="auto"/>
              </w:rPr>
              <w:t>common shareholders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(0.75 )</w:t>
            </w:r>
          </w:p>
        </w:tc>
        <w:tc>
          <w:tcPr>
            <w:tcW w:w="14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0.04</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(0.93 )</w:t>
            </w:r>
          </w:p>
        </w:tc>
        <w:tc>
          <w:tcPr>
            <w:tcW w:w="4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0.23</w:t>
            </w:r>
          </w:p>
        </w:tc>
        <w:tc>
          <w:tcPr>
            <w:tcW w:w="100" w:type="dxa"/>
            <w:vAlign w:val="bottom"/>
            <w:shd w:val="clear" w:color="auto" w:fill="CFF0FC"/>
          </w:tcPr>
          <w:p>
            <w:pPr>
              <w:spacing w:after="0"/>
              <w:rPr>
                <w:sz w:val="21"/>
                <w:szCs w:val="21"/>
                <w:color w:val="auto"/>
              </w:rPr>
            </w:pPr>
          </w:p>
        </w:tc>
      </w:tr>
      <w:tr>
        <w:trPr>
          <w:trHeight w:val="236"/>
        </w:trPr>
        <w:tc>
          <w:tcPr>
            <w:tcW w:w="5040" w:type="dxa"/>
            <w:vAlign w:val="bottom"/>
          </w:tcPr>
          <w:p>
            <w:pPr>
              <w:ind w:left="20"/>
              <w:spacing w:after="0"/>
              <w:rPr>
                <w:sz w:val="20"/>
                <w:szCs w:val="20"/>
                <w:color w:val="auto"/>
              </w:rPr>
            </w:pPr>
            <w:r>
              <w:rPr>
                <w:rFonts w:ascii="Arial" w:cs="Arial" w:eastAsia="Arial" w:hAnsi="Arial"/>
                <w:sz w:val="18"/>
                <w:szCs w:val="18"/>
                <w:color w:val="auto"/>
              </w:rPr>
              <w:t>Weighted-average common shares outstanding</w:t>
            </w: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32,047,755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31,084,710</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31,510,547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30,992,475</w:t>
            </w:r>
          </w:p>
        </w:tc>
        <w:tc>
          <w:tcPr>
            <w:tcW w:w="100" w:type="dxa"/>
            <w:vAlign w:val="bottom"/>
          </w:tcPr>
          <w:p>
            <w:pPr>
              <w:spacing w:after="0"/>
              <w:rPr>
                <w:sz w:val="20"/>
                <w:szCs w:val="20"/>
                <w:color w:val="auto"/>
              </w:rPr>
            </w:pPr>
          </w:p>
        </w:tc>
      </w:tr>
      <w:tr>
        <w:trPr>
          <w:trHeight w:val="249"/>
        </w:trPr>
        <w:tc>
          <w:tcPr>
            <w:tcW w:w="5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Diluted net (loss) income per share</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(0.75 )</w:t>
            </w:r>
          </w:p>
        </w:tc>
        <w:tc>
          <w:tcPr>
            <w:tcW w:w="14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0.04</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(0.93 )</w:t>
            </w:r>
          </w:p>
        </w:tc>
        <w:tc>
          <w:tcPr>
            <w:tcW w:w="4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0.23</w:t>
            </w:r>
          </w:p>
        </w:tc>
        <w:tc>
          <w:tcPr>
            <w:tcW w:w="100" w:type="dxa"/>
            <w:vAlign w:val="bottom"/>
            <w:shd w:val="clear" w:color="auto" w:fill="CFF0FC"/>
          </w:tcPr>
          <w:p>
            <w:pPr>
              <w:spacing w:after="0"/>
              <w:rPr>
                <w:sz w:val="21"/>
                <w:szCs w:val="21"/>
                <w:color w:val="auto"/>
              </w:rPr>
            </w:pPr>
          </w:p>
        </w:tc>
      </w:tr>
      <w:tr>
        <w:trPr>
          <w:trHeight w:val="215"/>
        </w:trPr>
        <w:tc>
          <w:tcPr>
            <w:tcW w:w="5040" w:type="dxa"/>
            <w:vAlign w:val="bottom"/>
          </w:tcPr>
          <w:p>
            <w:pPr>
              <w:ind w:left="20"/>
              <w:spacing w:after="0"/>
              <w:rPr>
                <w:sz w:val="20"/>
                <w:szCs w:val="20"/>
                <w:color w:val="auto"/>
              </w:rPr>
            </w:pPr>
            <w:r>
              <w:rPr>
                <w:rFonts w:ascii="Arial" w:cs="Arial" w:eastAsia="Arial" w:hAnsi="Arial"/>
                <w:sz w:val="18"/>
                <w:szCs w:val="18"/>
                <w:color w:val="auto"/>
              </w:rPr>
              <w:t>Weighted-average common shares and share</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040" w:type="dxa"/>
            <w:vAlign w:val="bottom"/>
          </w:tcPr>
          <w:p>
            <w:pPr>
              <w:ind w:left="160"/>
              <w:spacing w:after="0"/>
              <w:rPr>
                <w:sz w:val="20"/>
                <w:szCs w:val="20"/>
                <w:color w:val="auto"/>
              </w:rPr>
            </w:pPr>
            <w:r>
              <w:rPr>
                <w:rFonts w:ascii="Arial" w:cs="Arial" w:eastAsia="Arial" w:hAnsi="Arial"/>
                <w:sz w:val="18"/>
                <w:szCs w:val="18"/>
                <w:color w:val="auto"/>
              </w:rPr>
              <w:t>equivalents outstanding</w:t>
            </w: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32,047,755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31,234,925</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31,510,547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31,273,703</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4055110</wp:posOffset>
            </wp:positionH>
            <wp:positionV relativeFrom="paragraph">
              <wp:posOffset>-3587115</wp:posOffset>
            </wp:positionV>
            <wp:extent cx="76835"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5082540</wp:posOffset>
            </wp:positionH>
            <wp:positionV relativeFrom="paragraph">
              <wp:posOffset>-3587115</wp:posOffset>
            </wp:positionV>
            <wp:extent cx="76835"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-3587115</wp:posOffset>
            </wp:positionV>
            <wp:extent cx="6858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-3587115</wp:posOffset>
            </wp:positionV>
            <wp:extent cx="6858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4055110</wp:posOffset>
            </wp:positionH>
            <wp:positionV relativeFrom="paragraph">
              <wp:posOffset>-2328545</wp:posOffset>
            </wp:positionV>
            <wp:extent cx="76835" cy="1625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5082540</wp:posOffset>
            </wp:positionH>
            <wp:positionV relativeFrom="paragraph">
              <wp:posOffset>-2328545</wp:posOffset>
            </wp:positionV>
            <wp:extent cx="76835" cy="1625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-2328545</wp:posOffset>
            </wp:positionV>
            <wp:extent cx="68580" cy="1625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-2328545</wp:posOffset>
            </wp:positionV>
            <wp:extent cx="68580" cy="1625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-1562100</wp:posOffset>
            </wp:positionV>
            <wp:extent cx="7145020" cy="3378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5020" cy="337820"/>
                    </a:xfrm>
                    <a:prstGeom prst="rect">
                      <a:avLst/>
                    </a:prstGeom>
                    <a:noFill/>
                  </pic:spPr>
                </pic:pic>
              </a:graphicData>
            </a:graphic>
          </wp:anchor>
        </w:drawing>
        <w:drawing>
          <wp:anchor simplePos="0" relativeHeight="251657728" behindDoc="1" locked="0" layoutInCell="0" allowOverlap="1">
            <wp:simplePos x="0" y="0"/>
            <wp:positionH relativeFrom="column">
              <wp:posOffset>4055110</wp:posOffset>
            </wp:positionH>
            <wp:positionV relativeFrom="paragraph">
              <wp:posOffset>-1069975</wp:posOffset>
            </wp:positionV>
            <wp:extent cx="76835" cy="1885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5082540</wp:posOffset>
            </wp:positionH>
            <wp:positionV relativeFrom="paragraph">
              <wp:posOffset>-1069975</wp:posOffset>
            </wp:positionV>
            <wp:extent cx="76835" cy="1885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-1069975</wp:posOffset>
            </wp:positionV>
            <wp:extent cx="68580" cy="1885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-1069975</wp:posOffset>
            </wp:positionV>
            <wp:extent cx="68580" cy="1885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jc w:val="center"/>
        <w:spacing w:after="0" w:line="265" w:lineRule="auto"/>
        <w:rPr>
          <w:sz w:val="20"/>
          <w:szCs w:val="20"/>
          <w:color w:val="auto"/>
        </w:rPr>
      </w:pPr>
      <w:r>
        <w:rPr>
          <w:rFonts w:ascii="Arial" w:cs="Arial" w:eastAsia="Arial" w:hAnsi="Arial"/>
          <w:sz w:val="18"/>
          <w:szCs w:val="18"/>
          <w:b w:val="1"/>
          <w:bCs w:val="1"/>
          <w:color w:val="auto"/>
        </w:rPr>
        <w:t>ORION ENERGY SYSTEMS, INC. AND SUBSIDIARIES UNAUDITED CONDENSED CONSOLIDATED STATEMENTS OF SHAREHOLDERS’ EQUITY (in thousands, except share amounts)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72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4"/>
              </w:rPr>
              <w:t>Shareholders’ Equity</w:t>
            </w: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720" w:type="dxa"/>
            <w:vAlign w:val="bottom"/>
          </w:tcPr>
          <w:p>
            <w:pPr>
              <w:spacing w:after="0"/>
              <w:rPr>
                <w:sz w:val="14"/>
                <w:szCs w:val="14"/>
                <w:color w:val="auto"/>
              </w:rPr>
            </w:pPr>
          </w:p>
        </w:tc>
        <w:tc>
          <w:tcPr>
            <w:tcW w:w="2440" w:type="dxa"/>
            <w:vAlign w:val="bottom"/>
            <w:tcBorders>
              <w:bottom w:val="single" w:sz="8" w:color="auto"/>
            </w:tcBorders>
            <w:gridSpan w:val="4"/>
          </w:tcPr>
          <w:p>
            <w:pPr>
              <w:jc w:val="right"/>
              <w:ind w:right="673"/>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7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jc w:val="center"/>
              <w:ind w:right="93"/>
              <w:spacing w:after="0" w:line="133" w:lineRule="exact"/>
              <w:rPr>
                <w:sz w:val="20"/>
                <w:szCs w:val="20"/>
                <w:color w:val="auto"/>
              </w:rPr>
            </w:pPr>
            <w:r>
              <w:rPr>
                <w:rFonts w:ascii="Arial" w:cs="Arial" w:eastAsia="Arial" w:hAnsi="Arial"/>
                <w:sz w:val="14"/>
                <w:szCs w:val="14"/>
                <w:b w:val="1"/>
                <w:bCs w:val="1"/>
                <w:color w:val="auto"/>
                <w:w w:val="96"/>
              </w:rPr>
              <w:t>Additional</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2"/>
            <w:vMerge w:val="restart"/>
          </w:tcPr>
          <w:p>
            <w:pPr>
              <w:jc w:val="center"/>
              <w:ind w:right="341"/>
              <w:spacing w:after="0"/>
              <w:rPr>
                <w:sz w:val="20"/>
                <w:szCs w:val="20"/>
                <w:color w:val="auto"/>
              </w:rPr>
            </w:pPr>
            <w:r>
              <w:rPr>
                <w:rFonts w:ascii="Arial" w:cs="Arial" w:eastAsia="Arial" w:hAnsi="Arial"/>
                <w:sz w:val="14"/>
                <w:szCs w:val="14"/>
                <w:b w:val="1"/>
                <w:bCs w:val="1"/>
                <w:color w:val="auto"/>
                <w:w w:val="94"/>
              </w:rPr>
              <w:t>Treasury</w:t>
            </w:r>
          </w:p>
        </w:tc>
        <w:tc>
          <w:tcPr>
            <w:tcW w:w="180" w:type="dxa"/>
            <w:vAlign w:val="bottom"/>
          </w:tcPr>
          <w:p>
            <w:pPr>
              <w:spacing w:after="0"/>
              <w:rPr>
                <w:sz w:val="11"/>
                <w:szCs w:val="11"/>
                <w:color w:val="auto"/>
              </w:rPr>
            </w:pPr>
          </w:p>
        </w:tc>
        <w:tc>
          <w:tcPr>
            <w:tcW w:w="1140" w:type="dxa"/>
            <w:vAlign w:val="bottom"/>
            <w:gridSpan w:val="2"/>
            <w:vMerge w:val="restart"/>
          </w:tcPr>
          <w:p>
            <w:pPr>
              <w:jc w:val="right"/>
              <w:ind w:right="410"/>
              <w:spacing w:after="0"/>
              <w:rPr>
                <w:sz w:val="20"/>
                <w:szCs w:val="20"/>
                <w:color w:val="auto"/>
              </w:rPr>
            </w:pPr>
            <w:r>
              <w:rPr>
                <w:rFonts w:ascii="Arial" w:cs="Arial" w:eastAsia="Arial" w:hAnsi="Arial"/>
                <w:sz w:val="14"/>
                <w:szCs w:val="14"/>
                <w:b w:val="1"/>
                <w:bCs w:val="1"/>
                <w:color w:val="auto"/>
              </w:rPr>
              <w:t>Retained</w:t>
            </w:r>
          </w:p>
        </w:tc>
        <w:tc>
          <w:tcPr>
            <w:tcW w:w="220" w:type="dxa"/>
            <w:vAlign w:val="bottom"/>
          </w:tcPr>
          <w:p>
            <w:pPr>
              <w:spacing w:after="0"/>
              <w:rPr>
                <w:sz w:val="11"/>
                <w:szCs w:val="11"/>
                <w:color w:val="auto"/>
              </w:rPr>
            </w:pPr>
          </w:p>
        </w:tc>
        <w:tc>
          <w:tcPr>
            <w:tcW w:w="98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4720" w:type="dxa"/>
            <w:vAlign w:val="bottom"/>
          </w:tcPr>
          <w:p>
            <w:pPr>
              <w:spacing w:after="0"/>
              <w:rPr>
                <w:sz w:val="12"/>
                <w:szCs w:val="12"/>
                <w:color w:val="auto"/>
              </w:rPr>
            </w:pPr>
          </w:p>
        </w:tc>
        <w:tc>
          <w:tcPr>
            <w:tcW w:w="136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2"/>
                <w:szCs w:val="12"/>
                <w:color w:val="auto"/>
              </w:rPr>
            </w:pPr>
          </w:p>
        </w:tc>
        <w:tc>
          <w:tcPr>
            <w:tcW w:w="920" w:type="dxa"/>
            <w:vAlign w:val="bottom"/>
          </w:tcPr>
          <w:p>
            <w:pPr>
              <w:jc w:val="center"/>
              <w:ind w:right="113"/>
              <w:spacing w:after="0" w:line="149" w:lineRule="exact"/>
              <w:rPr>
                <w:sz w:val="20"/>
                <w:szCs w:val="20"/>
                <w:color w:val="auto"/>
              </w:rPr>
            </w:pPr>
            <w:r>
              <w:rPr>
                <w:rFonts w:ascii="Arial" w:cs="Arial" w:eastAsia="Arial" w:hAnsi="Arial"/>
                <w:sz w:val="14"/>
                <w:szCs w:val="14"/>
                <w:b w:val="1"/>
                <w:bCs w:val="1"/>
                <w:color w:val="auto"/>
                <w:w w:val="94"/>
              </w:rPr>
              <w:t>Paid-in</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2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85"/>
        </w:trPr>
        <w:tc>
          <w:tcPr>
            <w:tcW w:w="472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center"/>
              <w:ind w:right="93"/>
              <w:spacing w:after="0"/>
              <w:rPr>
                <w:sz w:val="20"/>
                <w:szCs w:val="20"/>
                <w:color w:val="auto"/>
              </w:rPr>
            </w:pPr>
            <w:r>
              <w:rPr>
                <w:rFonts w:ascii="Arial" w:cs="Arial" w:eastAsia="Arial" w:hAnsi="Arial"/>
                <w:sz w:val="14"/>
                <w:szCs w:val="14"/>
                <w:b w:val="1"/>
                <w:bCs w:val="1"/>
                <w:color w:val="auto"/>
                <w:w w:val="98"/>
              </w:rPr>
              <w:t>Capital</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center"/>
              <w:ind w:right="361"/>
              <w:spacing w:after="0"/>
              <w:rPr>
                <w:sz w:val="20"/>
                <w:szCs w:val="20"/>
                <w:color w:val="auto"/>
              </w:rPr>
            </w:pPr>
            <w:r>
              <w:rPr>
                <w:rFonts w:ascii="Arial" w:cs="Arial" w:eastAsia="Arial" w:hAnsi="Arial"/>
                <w:sz w:val="14"/>
                <w:szCs w:val="14"/>
                <w:b w:val="1"/>
                <w:bCs w:val="1"/>
                <w:color w:val="auto"/>
                <w:w w:val="89"/>
              </w:rPr>
              <w:t>Stock</w:t>
            </w:r>
          </w:p>
        </w:tc>
        <w:tc>
          <w:tcPr>
            <w:tcW w:w="180" w:type="dxa"/>
            <w:vAlign w:val="bottom"/>
          </w:tcPr>
          <w:p>
            <w:pPr>
              <w:spacing w:after="0"/>
              <w:rPr>
                <w:sz w:val="16"/>
                <w:szCs w:val="16"/>
                <w:color w:val="auto"/>
              </w:rPr>
            </w:pPr>
          </w:p>
        </w:tc>
        <w:tc>
          <w:tcPr>
            <w:tcW w:w="1140" w:type="dxa"/>
            <w:vAlign w:val="bottom"/>
            <w:gridSpan w:val="2"/>
          </w:tcPr>
          <w:p>
            <w:pPr>
              <w:jc w:val="right"/>
              <w:ind w:right="490"/>
              <w:spacing w:after="0"/>
              <w:rPr>
                <w:sz w:val="20"/>
                <w:szCs w:val="20"/>
                <w:color w:val="auto"/>
              </w:rPr>
            </w:pPr>
            <w:r>
              <w:rPr>
                <w:rFonts w:ascii="Arial" w:cs="Arial" w:eastAsia="Arial" w:hAnsi="Arial"/>
                <w:sz w:val="14"/>
                <w:szCs w:val="14"/>
                <w:b w:val="1"/>
                <w:bCs w:val="1"/>
                <w:color w:val="auto"/>
              </w:rPr>
              <w:t>Deficit</w:t>
            </w:r>
          </w:p>
        </w:tc>
        <w:tc>
          <w:tcPr>
            <w:tcW w:w="220" w:type="dxa"/>
            <w:vAlign w:val="bottom"/>
          </w:tcPr>
          <w:p>
            <w:pPr>
              <w:spacing w:after="0"/>
              <w:rPr>
                <w:sz w:val="16"/>
                <w:szCs w:val="16"/>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36"/>
        </w:trPr>
        <w:tc>
          <w:tcPr>
            <w:tcW w:w="4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March 31, 2022</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31,097,872</w:t>
            </w:r>
          </w:p>
        </w:tc>
        <w:tc>
          <w:tcPr>
            <w:tcW w:w="28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158,419</w:t>
            </w:r>
          </w:p>
        </w:tc>
        <w:tc>
          <w:tcPr>
            <w:tcW w:w="24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(36,239</w:t>
            </w:r>
          </w:p>
        </w:tc>
        <w:tc>
          <w:tcPr>
            <w:tcW w:w="240" w:type="dxa"/>
            <w:vAlign w:val="bottom"/>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(57,080</w:t>
            </w:r>
          </w:p>
        </w:tc>
        <w:tc>
          <w:tcPr>
            <w:tcW w:w="2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65,100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720" w:type="dxa"/>
            <w:vAlign w:val="bottom"/>
          </w:tcPr>
          <w:p>
            <w:pPr>
              <w:ind w:left="20"/>
              <w:spacing w:after="0"/>
              <w:rPr>
                <w:sz w:val="20"/>
                <w:szCs w:val="20"/>
                <w:color w:val="auto"/>
              </w:rPr>
            </w:pPr>
            <w:r>
              <w:rPr>
                <w:rFonts w:ascii="Arial" w:cs="Arial" w:eastAsia="Arial" w:hAnsi="Arial"/>
                <w:sz w:val="18"/>
                <w:szCs w:val="18"/>
                <w:color w:val="auto"/>
              </w:rPr>
              <w:t>Exercise of stock options for cash</w:t>
            </w:r>
          </w:p>
        </w:tc>
        <w:tc>
          <w:tcPr>
            <w:tcW w:w="1080" w:type="dxa"/>
            <w:vAlign w:val="bottom"/>
          </w:tcPr>
          <w:p>
            <w:pPr>
              <w:jc w:val="right"/>
              <w:spacing w:after="0"/>
              <w:rPr>
                <w:sz w:val="20"/>
                <w:szCs w:val="20"/>
                <w:color w:val="auto"/>
              </w:rPr>
            </w:pPr>
            <w:r>
              <w:rPr>
                <w:rFonts w:ascii="Arial" w:cs="Arial" w:eastAsia="Arial" w:hAnsi="Arial"/>
                <w:sz w:val="18"/>
                <w:szCs w:val="18"/>
                <w:color w:val="auto"/>
              </w:rPr>
              <w:t>26,646</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4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Shares issued under Employee Stock Purchase</w:t>
            </w:r>
          </w:p>
        </w:tc>
        <w:tc>
          <w:tcPr>
            <w:tcW w:w="10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720" w:type="dxa"/>
            <w:vAlign w:val="bottom"/>
            <w:shd w:val="clear" w:color="auto" w:fill="CFF0FC"/>
          </w:tcPr>
          <w:p>
            <w:pPr>
              <w:ind w:left="160"/>
              <w:spacing w:after="0"/>
              <w:rPr>
                <w:sz w:val="20"/>
                <w:szCs w:val="20"/>
                <w:color w:val="auto"/>
              </w:rPr>
            </w:pPr>
            <w:r>
              <w:rPr>
                <w:rFonts w:ascii="Arial" w:cs="Arial" w:eastAsia="Arial" w:hAnsi="Arial"/>
                <w:sz w:val="18"/>
                <w:szCs w:val="18"/>
                <w:color w:val="auto"/>
              </w:rPr>
              <w:t>Plan</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443</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72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1080" w:type="dxa"/>
            <w:vAlign w:val="bottom"/>
          </w:tcPr>
          <w:p>
            <w:pPr>
              <w:jc w:val="right"/>
              <w:spacing w:after="0"/>
              <w:rPr>
                <w:sz w:val="20"/>
                <w:szCs w:val="20"/>
                <w:color w:val="auto"/>
              </w:rPr>
            </w:pPr>
            <w:r>
              <w:rPr>
                <w:rFonts w:ascii="Arial" w:cs="Arial" w:eastAsia="Arial" w:hAnsi="Arial"/>
                <w:sz w:val="18"/>
                <w:szCs w:val="18"/>
                <w:color w:val="auto"/>
              </w:rPr>
              <w:t>125,744</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254</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4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Employee tax withholdings on stock-based</w:t>
            </w:r>
          </w:p>
        </w:tc>
        <w:tc>
          <w:tcPr>
            <w:tcW w:w="10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720" w:type="dxa"/>
            <w:vAlign w:val="bottom"/>
            <w:shd w:val="clear" w:color="auto" w:fill="CFF0FC"/>
          </w:tcPr>
          <w:p>
            <w:pPr>
              <w:ind w:left="160"/>
              <w:spacing w:after="0"/>
              <w:rPr>
                <w:sz w:val="20"/>
                <w:szCs w:val="20"/>
                <w:color w:val="auto"/>
              </w:rPr>
            </w:pPr>
            <w:r>
              <w:rPr>
                <w:rFonts w:ascii="Arial" w:cs="Arial" w:eastAsia="Arial" w:hAnsi="Arial"/>
                <w:sz w:val="18"/>
                <w:szCs w:val="18"/>
                <w:color w:val="auto"/>
              </w:rPr>
              <w:t>compensation</w:t>
            </w: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(634 )</w:t>
            </w:r>
          </w:p>
        </w:tc>
        <w:tc>
          <w:tcPr>
            <w:tcW w:w="1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01"/>
              <w:spacing w:after="0"/>
              <w:rPr>
                <w:sz w:val="20"/>
                <w:szCs w:val="20"/>
                <w:color w:val="auto"/>
              </w:rPr>
            </w:pPr>
            <w:r>
              <w:rPr>
                <w:rFonts w:ascii="Arial" w:cs="Arial" w:eastAsia="Arial" w:hAnsi="Arial"/>
                <w:sz w:val="18"/>
                <w:szCs w:val="18"/>
                <w:color w:val="auto"/>
              </w:rPr>
              <w:t>(2 )</w:t>
            </w:r>
          </w:p>
        </w:tc>
        <w:tc>
          <w:tcPr>
            <w:tcW w:w="18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36"/>
        </w:trPr>
        <w:tc>
          <w:tcPr>
            <w:tcW w:w="4720" w:type="dxa"/>
            <w:vAlign w:val="bottom"/>
          </w:tcPr>
          <w:p>
            <w:pPr>
              <w:ind w:left="20"/>
              <w:spacing w:after="0"/>
              <w:rPr>
                <w:sz w:val="20"/>
                <w:szCs w:val="20"/>
                <w:color w:val="auto"/>
              </w:rPr>
            </w:pPr>
            <w:r>
              <w:rPr>
                <w:rFonts w:ascii="Arial" w:cs="Arial" w:eastAsia="Arial" w:hAnsi="Arial"/>
                <w:sz w:val="18"/>
                <w:szCs w:val="18"/>
                <w:color w:val="auto"/>
              </w:rPr>
              <w:t>Net loss</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40" w:type="dxa"/>
            <w:vAlign w:val="bottom"/>
            <w:gridSpan w:val="2"/>
          </w:tcPr>
          <w:p>
            <w:pPr>
              <w:jc w:val="right"/>
              <w:ind w:right="70"/>
              <w:spacing w:after="0"/>
              <w:rPr>
                <w:sz w:val="20"/>
                <w:szCs w:val="20"/>
                <w:color w:val="auto"/>
              </w:rPr>
            </w:pPr>
            <w:r>
              <w:rPr>
                <w:rFonts w:ascii="Arial" w:cs="Arial" w:eastAsia="Arial" w:hAnsi="Arial"/>
                <w:sz w:val="18"/>
                <w:szCs w:val="18"/>
                <w:color w:val="auto"/>
              </w:rPr>
              <w:t>(2,835 )</w:t>
            </w:r>
          </w:p>
        </w:tc>
        <w:tc>
          <w:tcPr>
            <w:tcW w:w="22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(2,835 )</w:t>
            </w:r>
          </w:p>
        </w:tc>
        <w:tc>
          <w:tcPr>
            <w:tcW w:w="0" w:type="dxa"/>
            <w:vAlign w:val="bottom"/>
          </w:tcPr>
          <w:p>
            <w:pPr>
              <w:spacing w:after="0"/>
              <w:rPr>
                <w:sz w:val="1"/>
                <w:szCs w:val="1"/>
                <w:color w:val="auto"/>
              </w:rPr>
            </w:pPr>
          </w:p>
        </w:tc>
      </w:tr>
      <w:tr>
        <w:trPr>
          <w:trHeight w:val="236"/>
        </w:trPr>
        <w:tc>
          <w:tcPr>
            <w:tcW w:w="4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 June 30, 2022</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31,250,071</w:t>
            </w:r>
          </w:p>
        </w:tc>
        <w:tc>
          <w:tcPr>
            <w:tcW w:w="2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158,727</w:t>
            </w:r>
          </w:p>
        </w:tc>
        <w:tc>
          <w:tcPr>
            <w:tcW w:w="2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(36,240</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(59,915</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62,572</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720" w:type="dxa"/>
            <w:vAlign w:val="bottom"/>
          </w:tcPr>
          <w:p>
            <w:pPr>
              <w:ind w:left="20"/>
              <w:spacing w:after="0"/>
              <w:rPr>
                <w:sz w:val="20"/>
                <w:szCs w:val="20"/>
                <w:color w:val="auto"/>
              </w:rPr>
            </w:pPr>
            <w:r>
              <w:rPr>
                <w:rFonts w:ascii="Arial" w:cs="Arial" w:eastAsia="Arial" w:hAnsi="Arial"/>
                <w:sz w:val="18"/>
                <w:szCs w:val="18"/>
                <w:color w:val="auto"/>
              </w:rPr>
              <w:t>Shares issued under Employee Stock Purchase</w:t>
            </w: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720" w:type="dxa"/>
            <w:vAlign w:val="bottom"/>
          </w:tcPr>
          <w:p>
            <w:pPr>
              <w:ind w:left="160"/>
              <w:spacing w:after="0"/>
              <w:rPr>
                <w:sz w:val="20"/>
                <w:szCs w:val="20"/>
                <w:color w:val="auto"/>
              </w:rPr>
            </w:pPr>
            <w:r>
              <w:rPr>
                <w:rFonts w:ascii="Arial" w:cs="Arial" w:eastAsia="Arial" w:hAnsi="Arial"/>
                <w:sz w:val="18"/>
                <w:szCs w:val="18"/>
                <w:color w:val="auto"/>
              </w:rPr>
              <w:t>Plan</w:t>
            </w:r>
          </w:p>
        </w:tc>
        <w:tc>
          <w:tcPr>
            <w:tcW w:w="1080" w:type="dxa"/>
            <w:vAlign w:val="bottom"/>
          </w:tcPr>
          <w:p>
            <w:pPr>
              <w:jc w:val="right"/>
              <w:spacing w:after="0"/>
              <w:rPr>
                <w:sz w:val="20"/>
                <w:szCs w:val="20"/>
                <w:color w:val="auto"/>
              </w:rPr>
            </w:pPr>
            <w:r>
              <w:rPr>
                <w:rFonts w:ascii="Arial" w:cs="Arial" w:eastAsia="Arial" w:hAnsi="Arial"/>
                <w:sz w:val="18"/>
                <w:szCs w:val="18"/>
                <w:color w:val="auto"/>
              </w:rPr>
              <w:t>648</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Stock-based compensation</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105,192</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733</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81"/>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720" w:type="dxa"/>
            <w:vAlign w:val="bottom"/>
          </w:tcPr>
          <w:p>
            <w:pPr>
              <w:ind w:left="20"/>
              <w:spacing w:after="0"/>
              <w:rPr>
                <w:sz w:val="20"/>
                <w:szCs w:val="20"/>
                <w:color w:val="auto"/>
              </w:rPr>
            </w:pPr>
            <w:r>
              <w:rPr>
                <w:rFonts w:ascii="Arial" w:cs="Arial" w:eastAsia="Arial" w:hAnsi="Arial"/>
                <w:sz w:val="18"/>
                <w:szCs w:val="18"/>
                <w:color w:val="auto"/>
              </w:rPr>
              <w:t>Net loss</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40" w:type="dxa"/>
            <w:vAlign w:val="bottom"/>
            <w:gridSpan w:val="2"/>
          </w:tcPr>
          <w:p>
            <w:pPr>
              <w:jc w:val="right"/>
              <w:ind w:right="70"/>
              <w:spacing w:after="0"/>
              <w:rPr>
                <w:sz w:val="20"/>
                <w:szCs w:val="20"/>
                <w:color w:val="auto"/>
              </w:rPr>
            </w:pPr>
            <w:r>
              <w:rPr>
                <w:rFonts w:ascii="Arial" w:cs="Arial" w:eastAsia="Arial" w:hAnsi="Arial"/>
                <w:sz w:val="18"/>
                <w:szCs w:val="18"/>
                <w:color w:val="auto"/>
              </w:rPr>
              <w:t>(2,331 )</w:t>
            </w:r>
          </w:p>
        </w:tc>
        <w:tc>
          <w:tcPr>
            <w:tcW w:w="22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(2,331 )</w:t>
            </w:r>
          </w:p>
        </w:tc>
        <w:tc>
          <w:tcPr>
            <w:tcW w:w="0" w:type="dxa"/>
            <w:vAlign w:val="bottom"/>
          </w:tcPr>
          <w:p>
            <w:pPr>
              <w:spacing w:after="0"/>
              <w:rPr>
                <w:sz w:val="1"/>
                <w:szCs w:val="1"/>
                <w:color w:val="auto"/>
              </w:rPr>
            </w:pPr>
          </w:p>
        </w:tc>
      </w:tr>
      <w:tr>
        <w:trPr>
          <w:trHeight w:val="236"/>
        </w:trPr>
        <w:tc>
          <w:tcPr>
            <w:tcW w:w="4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 September 30, 2022</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31,355,911</w:t>
            </w:r>
          </w:p>
        </w:tc>
        <w:tc>
          <w:tcPr>
            <w:tcW w:w="2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159,460</w:t>
            </w:r>
          </w:p>
        </w:tc>
        <w:tc>
          <w:tcPr>
            <w:tcW w:w="2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(36,239</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(62,246</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60,975</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720" w:type="dxa"/>
            <w:vAlign w:val="bottom"/>
          </w:tcPr>
          <w:p>
            <w:pPr>
              <w:ind w:left="20"/>
              <w:spacing w:after="0"/>
              <w:rPr>
                <w:sz w:val="20"/>
                <w:szCs w:val="20"/>
                <w:color w:val="auto"/>
              </w:rPr>
            </w:pPr>
            <w:r>
              <w:rPr>
                <w:rFonts w:ascii="Arial" w:cs="Arial" w:eastAsia="Arial" w:hAnsi="Arial"/>
                <w:sz w:val="18"/>
                <w:szCs w:val="18"/>
                <w:color w:val="auto"/>
              </w:rPr>
              <w:t>Issuance of common stock for acquisition</w:t>
            </w:r>
          </w:p>
        </w:tc>
        <w:tc>
          <w:tcPr>
            <w:tcW w:w="1080" w:type="dxa"/>
            <w:vAlign w:val="bottom"/>
          </w:tcPr>
          <w:p>
            <w:pPr>
              <w:jc w:val="right"/>
              <w:spacing w:after="0"/>
              <w:rPr>
                <w:sz w:val="20"/>
                <w:szCs w:val="20"/>
                <w:color w:val="auto"/>
              </w:rPr>
            </w:pPr>
            <w:r>
              <w:rPr>
                <w:rFonts w:ascii="Arial" w:cs="Arial" w:eastAsia="Arial" w:hAnsi="Arial"/>
                <w:sz w:val="18"/>
                <w:szCs w:val="18"/>
                <w:color w:val="auto"/>
              </w:rPr>
              <w:t>620,067</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770</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770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Issuance of common stock for services</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10,976</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81"/>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4720" w:type="dxa"/>
            <w:vAlign w:val="bottom"/>
          </w:tcPr>
          <w:p>
            <w:pPr>
              <w:ind w:left="20"/>
              <w:spacing w:after="0"/>
              <w:rPr>
                <w:sz w:val="20"/>
                <w:szCs w:val="20"/>
                <w:color w:val="auto"/>
              </w:rPr>
            </w:pPr>
            <w:r>
              <w:rPr>
                <w:rFonts w:ascii="Arial" w:cs="Arial" w:eastAsia="Arial" w:hAnsi="Arial"/>
                <w:sz w:val="18"/>
                <w:szCs w:val="18"/>
                <w:color w:val="auto"/>
              </w:rPr>
              <w:t>Shares issued under Employee Stock Purchase</w:t>
            </w: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720" w:type="dxa"/>
            <w:vAlign w:val="bottom"/>
          </w:tcPr>
          <w:p>
            <w:pPr>
              <w:ind w:left="160"/>
              <w:spacing w:after="0"/>
              <w:rPr>
                <w:sz w:val="20"/>
                <w:szCs w:val="20"/>
                <w:color w:val="auto"/>
              </w:rPr>
            </w:pPr>
            <w:r>
              <w:rPr>
                <w:rFonts w:ascii="Arial" w:cs="Arial" w:eastAsia="Arial" w:hAnsi="Arial"/>
                <w:sz w:val="18"/>
                <w:szCs w:val="18"/>
                <w:color w:val="auto"/>
              </w:rPr>
              <w:t>Plan</w:t>
            </w:r>
          </w:p>
        </w:tc>
        <w:tc>
          <w:tcPr>
            <w:tcW w:w="1080" w:type="dxa"/>
            <w:vAlign w:val="bottom"/>
          </w:tcPr>
          <w:p>
            <w:pPr>
              <w:jc w:val="right"/>
              <w:spacing w:after="0"/>
              <w:rPr>
                <w:sz w:val="20"/>
                <w:szCs w:val="20"/>
                <w:color w:val="auto"/>
              </w:rPr>
            </w:pPr>
            <w:r>
              <w:rPr>
                <w:rFonts w:ascii="Arial" w:cs="Arial" w:eastAsia="Arial" w:hAnsi="Arial"/>
                <w:sz w:val="18"/>
                <w:szCs w:val="18"/>
                <w:color w:val="auto"/>
              </w:rPr>
              <w:t>621</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Stock-based compensation</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304,686</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448</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81"/>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4720" w:type="dxa"/>
            <w:vAlign w:val="bottom"/>
          </w:tcPr>
          <w:p>
            <w:pPr>
              <w:ind w:left="20"/>
              <w:spacing w:after="0"/>
              <w:rPr>
                <w:sz w:val="20"/>
                <w:szCs w:val="20"/>
                <w:color w:val="auto"/>
              </w:rPr>
            </w:pPr>
            <w:r>
              <w:rPr>
                <w:rFonts w:ascii="Arial" w:cs="Arial" w:eastAsia="Arial" w:hAnsi="Arial"/>
                <w:sz w:val="18"/>
                <w:szCs w:val="18"/>
                <w:color w:val="auto"/>
              </w:rPr>
              <w:t>Employee tax withholdings on stock-based</w:t>
            </w: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720" w:type="dxa"/>
            <w:vAlign w:val="bottom"/>
          </w:tcPr>
          <w:p>
            <w:pPr>
              <w:ind w:left="160"/>
              <w:spacing w:after="0"/>
              <w:rPr>
                <w:sz w:val="20"/>
                <w:szCs w:val="20"/>
                <w:color w:val="auto"/>
              </w:rPr>
            </w:pPr>
            <w:r>
              <w:rPr>
                <w:rFonts w:ascii="Arial" w:cs="Arial" w:eastAsia="Arial" w:hAnsi="Arial"/>
                <w:sz w:val="18"/>
                <w:szCs w:val="18"/>
                <w:color w:val="auto"/>
              </w:rPr>
              <w:t>compensation</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(287 )</w:t>
            </w: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(24,059 )</w:t>
            </w:r>
          </w:p>
        </w:tc>
        <w:tc>
          <w:tcPr>
            <w:tcW w:w="22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(24,059 )</w:t>
            </w:r>
          </w:p>
        </w:tc>
        <w:tc>
          <w:tcPr>
            <w:tcW w:w="0" w:type="dxa"/>
            <w:vAlign w:val="bottom"/>
          </w:tcPr>
          <w:p>
            <w:pPr>
              <w:spacing w:after="0"/>
              <w:rPr>
                <w:sz w:val="1"/>
                <w:szCs w:val="1"/>
                <w:color w:val="auto"/>
              </w:rPr>
            </w:pPr>
          </w:p>
        </w:tc>
      </w:tr>
      <w:tr>
        <w:trPr>
          <w:trHeight w:val="20"/>
        </w:trPr>
        <w:tc>
          <w:tcPr>
            <w:tcW w:w="472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720" w:type="dxa"/>
            <w:vAlign w:val="bottom"/>
          </w:tcPr>
          <w:p>
            <w:pPr>
              <w:ind w:left="20"/>
              <w:spacing w:after="0"/>
              <w:rPr>
                <w:sz w:val="20"/>
                <w:szCs w:val="20"/>
                <w:color w:val="auto"/>
              </w:rPr>
            </w:pPr>
            <w:r>
              <w:rPr>
                <w:rFonts w:ascii="Arial" w:cs="Arial" w:eastAsia="Arial" w:hAnsi="Arial"/>
                <w:sz w:val="18"/>
                <w:szCs w:val="18"/>
                <w:color w:val="auto"/>
              </w:rPr>
              <w:t>Balance, December 31, 2022</w:t>
            </w:r>
          </w:p>
        </w:tc>
        <w:tc>
          <w:tcPr>
            <w:tcW w:w="1080" w:type="dxa"/>
            <w:vAlign w:val="bottom"/>
          </w:tcPr>
          <w:p>
            <w:pPr>
              <w:jc w:val="right"/>
              <w:spacing w:after="0"/>
              <w:rPr>
                <w:sz w:val="20"/>
                <w:szCs w:val="20"/>
                <w:color w:val="auto"/>
              </w:rPr>
            </w:pPr>
            <w:r>
              <w:rPr>
                <w:rFonts w:ascii="Arial" w:cs="Arial" w:eastAsia="Arial" w:hAnsi="Arial"/>
                <w:sz w:val="18"/>
                <w:szCs w:val="18"/>
                <w:color w:val="auto"/>
              </w:rPr>
              <w:t>32,291,974</w:t>
            </w:r>
          </w:p>
        </w:tc>
        <w:tc>
          <w:tcPr>
            <w:tcW w:w="2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160,696</w:t>
            </w:r>
          </w:p>
        </w:tc>
        <w:tc>
          <w:tcPr>
            <w:tcW w:w="2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1"/>
              <w:spacing w:after="0"/>
              <w:rPr>
                <w:sz w:val="20"/>
                <w:szCs w:val="20"/>
                <w:color w:val="auto"/>
              </w:rPr>
            </w:pPr>
            <w:r>
              <w:rPr>
                <w:rFonts w:ascii="Arial" w:cs="Arial" w:eastAsia="Arial" w:hAnsi="Arial"/>
                <w:sz w:val="18"/>
                <w:szCs w:val="18"/>
                <w:color w:val="auto"/>
              </w:rPr>
              <w:t>(36,238 )</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70"/>
              <w:spacing w:after="0"/>
              <w:rPr>
                <w:sz w:val="20"/>
                <w:szCs w:val="20"/>
                <w:color w:val="auto"/>
              </w:rPr>
            </w:pPr>
            <w:r>
              <w:rPr>
                <w:rFonts w:ascii="Arial" w:cs="Arial" w:eastAsia="Arial" w:hAnsi="Arial"/>
                <w:sz w:val="18"/>
                <w:szCs w:val="18"/>
                <w:color w:val="auto"/>
              </w:rPr>
              <w:t>(86,305 )</w:t>
            </w:r>
          </w:p>
        </w:tc>
        <w:tc>
          <w:tcPr>
            <w:tcW w:w="220" w:type="dxa"/>
            <w:vAlign w:val="bottom"/>
          </w:tcPr>
          <w:p>
            <w:pPr>
              <w:jc w:val="right"/>
              <w:ind w:right="34"/>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38,153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7"/>
        </w:trPr>
        <w:tc>
          <w:tcPr>
            <w:tcW w:w="4720" w:type="dxa"/>
            <w:vAlign w:val="bottom"/>
          </w:tcPr>
          <w:p>
            <w:pPr>
              <w:spacing w:after="0"/>
              <w:rPr>
                <w:sz w:val="24"/>
                <w:szCs w:val="24"/>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2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3686810</wp:posOffset>
            </wp:positionH>
            <wp:positionV relativeFrom="paragraph">
              <wp:posOffset>-2816225</wp:posOffset>
            </wp:positionV>
            <wp:extent cx="76835" cy="2997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6835" cy="299720"/>
                    </a:xfrm>
                    <a:prstGeom prst="rect">
                      <a:avLst/>
                    </a:prstGeom>
                    <a:noFill/>
                  </pic:spPr>
                </pic:pic>
              </a:graphicData>
            </a:graphic>
          </wp:anchor>
        </w:drawing>
        <w:drawing>
          <wp:anchor simplePos="0" relativeHeight="251657728" behindDoc="1" locked="0" layoutInCell="0" allowOverlap="1">
            <wp:simplePos x="0" y="0"/>
            <wp:positionH relativeFrom="column">
              <wp:posOffset>4542790</wp:posOffset>
            </wp:positionH>
            <wp:positionV relativeFrom="paragraph">
              <wp:posOffset>-2816225</wp:posOffset>
            </wp:positionV>
            <wp:extent cx="68580" cy="2997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299720"/>
                    </a:xfrm>
                    <a:prstGeom prst="rect">
                      <a:avLst/>
                    </a:prstGeom>
                    <a:noFill/>
                  </pic:spPr>
                </pic:pic>
              </a:graphicData>
            </a:graphic>
          </wp:anchor>
        </w:drawing>
        <w:drawing>
          <wp:anchor simplePos="0" relativeHeight="251657728" behindDoc="1" locked="0" layoutInCell="0" allowOverlap="1">
            <wp:simplePos x="0" y="0"/>
            <wp:positionH relativeFrom="column">
              <wp:posOffset>5382260</wp:posOffset>
            </wp:positionH>
            <wp:positionV relativeFrom="paragraph">
              <wp:posOffset>-2816225</wp:posOffset>
            </wp:positionV>
            <wp:extent cx="68580" cy="2997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299720"/>
                    </a:xfrm>
                    <a:prstGeom prst="rect">
                      <a:avLst/>
                    </a:prstGeom>
                    <a:noFill/>
                  </pic:spPr>
                </pic:pic>
              </a:graphicData>
            </a:graphic>
          </wp:anchor>
        </w:drawing>
        <w:drawing>
          <wp:anchor simplePos="0" relativeHeight="251657728" behindDoc="1" locked="0" layoutInCell="0" allowOverlap="1">
            <wp:simplePos x="0" y="0"/>
            <wp:positionH relativeFrom="column">
              <wp:posOffset>6221095</wp:posOffset>
            </wp:positionH>
            <wp:positionV relativeFrom="paragraph">
              <wp:posOffset>-2816225</wp:posOffset>
            </wp:positionV>
            <wp:extent cx="68580" cy="2997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29972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-2816225</wp:posOffset>
            </wp:positionV>
            <wp:extent cx="68580" cy="2997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299720"/>
                    </a:xfrm>
                    <a:prstGeom prst="rect">
                      <a:avLst/>
                    </a:prstGeom>
                    <a:noFill/>
                  </pic:spPr>
                </pic:pic>
              </a:graphicData>
            </a:graphic>
          </wp:anchor>
        </w:drawing>
        <w:drawing>
          <wp:anchor simplePos="0" relativeHeight="251657728" behindDoc="1" locked="0" layoutInCell="0" allowOverlap="1">
            <wp:simplePos x="0" y="0"/>
            <wp:positionH relativeFrom="column">
              <wp:posOffset>3686810</wp:posOffset>
            </wp:positionH>
            <wp:positionV relativeFrom="paragraph">
              <wp:posOffset>-2045970</wp:posOffset>
            </wp:positionV>
            <wp:extent cx="76835" cy="1625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4542790</wp:posOffset>
            </wp:positionH>
            <wp:positionV relativeFrom="paragraph">
              <wp:posOffset>-2045970</wp:posOffset>
            </wp:positionV>
            <wp:extent cx="68580" cy="1625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5382260</wp:posOffset>
            </wp:positionH>
            <wp:positionV relativeFrom="paragraph">
              <wp:posOffset>-2045970</wp:posOffset>
            </wp:positionV>
            <wp:extent cx="68580" cy="1625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6221095</wp:posOffset>
            </wp:positionH>
            <wp:positionV relativeFrom="paragraph">
              <wp:posOffset>-2045970</wp:posOffset>
            </wp:positionV>
            <wp:extent cx="68580" cy="1625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-2045970</wp:posOffset>
            </wp:positionV>
            <wp:extent cx="68580" cy="1625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3686810</wp:posOffset>
            </wp:positionH>
            <wp:positionV relativeFrom="paragraph">
              <wp:posOffset>-838200</wp:posOffset>
            </wp:positionV>
            <wp:extent cx="76835" cy="3422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6835" cy="342265"/>
                    </a:xfrm>
                    <a:prstGeom prst="rect">
                      <a:avLst/>
                    </a:prstGeom>
                    <a:noFill/>
                  </pic:spPr>
                </pic:pic>
              </a:graphicData>
            </a:graphic>
          </wp:anchor>
        </w:drawing>
        <w:drawing>
          <wp:anchor simplePos="0" relativeHeight="251657728" behindDoc="1" locked="0" layoutInCell="0" allowOverlap="1">
            <wp:simplePos x="0" y="0"/>
            <wp:positionH relativeFrom="column">
              <wp:posOffset>4542790</wp:posOffset>
            </wp:positionH>
            <wp:positionV relativeFrom="paragraph">
              <wp:posOffset>-838200</wp:posOffset>
            </wp:positionV>
            <wp:extent cx="68580" cy="3422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342265"/>
                    </a:xfrm>
                    <a:prstGeom prst="rect">
                      <a:avLst/>
                    </a:prstGeom>
                    <a:noFill/>
                  </pic:spPr>
                </pic:pic>
              </a:graphicData>
            </a:graphic>
          </wp:anchor>
        </w:drawing>
        <w:drawing>
          <wp:anchor simplePos="0" relativeHeight="251657728" behindDoc="1" locked="0" layoutInCell="0" allowOverlap="1">
            <wp:simplePos x="0" y="0"/>
            <wp:positionH relativeFrom="column">
              <wp:posOffset>5382260</wp:posOffset>
            </wp:positionH>
            <wp:positionV relativeFrom="paragraph">
              <wp:posOffset>-838200</wp:posOffset>
            </wp:positionV>
            <wp:extent cx="68580" cy="3422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342265"/>
                    </a:xfrm>
                    <a:prstGeom prst="rect">
                      <a:avLst/>
                    </a:prstGeom>
                    <a:noFill/>
                  </pic:spPr>
                </pic:pic>
              </a:graphicData>
            </a:graphic>
          </wp:anchor>
        </w:drawing>
        <w:drawing>
          <wp:anchor simplePos="0" relativeHeight="251657728" behindDoc="1" locked="0" layoutInCell="0" allowOverlap="1">
            <wp:simplePos x="0" y="0"/>
            <wp:positionH relativeFrom="column">
              <wp:posOffset>6221095</wp:posOffset>
            </wp:positionH>
            <wp:positionV relativeFrom="paragraph">
              <wp:posOffset>-838200</wp:posOffset>
            </wp:positionV>
            <wp:extent cx="68580" cy="3422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34226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-838200</wp:posOffset>
            </wp:positionV>
            <wp:extent cx="68580" cy="3422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34226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center"/>
        <w:spacing w:after="0" w:line="265" w:lineRule="auto"/>
        <w:rPr>
          <w:sz w:val="20"/>
          <w:szCs w:val="20"/>
          <w:color w:val="auto"/>
        </w:rPr>
      </w:pPr>
      <w:r>
        <w:rPr>
          <w:rFonts w:ascii="Arial" w:cs="Arial" w:eastAsia="Arial" w:hAnsi="Arial"/>
          <w:sz w:val="18"/>
          <w:szCs w:val="18"/>
          <w:b w:val="1"/>
          <w:bCs w:val="1"/>
          <w:color w:val="auto"/>
        </w:rPr>
        <w:t>ORION ENERGY SYSTEMS, INC. AND SUBSIDIARIES UNAUDITED CONDENSED CONSOLIDATED STATEMENTS OF SHAREHOLDERS’ EQUITY (in thousands, except share amounts)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72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4"/>
              </w:rPr>
              <w:t>Shareholders’ Equity</w:t>
            </w: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720" w:type="dxa"/>
            <w:vAlign w:val="bottom"/>
          </w:tcPr>
          <w:p>
            <w:pPr>
              <w:spacing w:after="0"/>
              <w:rPr>
                <w:sz w:val="14"/>
                <w:szCs w:val="14"/>
                <w:color w:val="auto"/>
              </w:rPr>
            </w:pPr>
          </w:p>
        </w:tc>
        <w:tc>
          <w:tcPr>
            <w:tcW w:w="2440" w:type="dxa"/>
            <w:vAlign w:val="bottom"/>
            <w:tcBorders>
              <w:bottom w:val="single" w:sz="8" w:color="auto"/>
            </w:tcBorders>
            <w:gridSpan w:val="4"/>
          </w:tcPr>
          <w:p>
            <w:pPr>
              <w:jc w:val="right"/>
              <w:ind w:right="673"/>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7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jc w:val="center"/>
              <w:ind w:right="93"/>
              <w:spacing w:after="0" w:line="133" w:lineRule="exact"/>
              <w:rPr>
                <w:sz w:val="20"/>
                <w:szCs w:val="20"/>
                <w:color w:val="auto"/>
              </w:rPr>
            </w:pPr>
            <w:r>
              <w:rPr>
                <w:rFonts w:ascii="Arial" w:cs="Arial" w:eastAsia="Arial" w:hAnsi="Arial"/>
                <w:sz w:val="14"/>
                <w:szCs w:val="14"/>
                <w:b w:val="1"/>
                <w:bCs w:val="1"/>
                <w:color w:val="auto"/>
                <w:w w:val="96"/>
              </w:rPr>
              <w:t>Additional</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2"/>
            <w:vMerge w:val="restart"/>
          </w:tcPr>
          <w:p>
            <w:pPr>
              <w:jc w:val="center"/>
              <w:ind w:right="341"/>
              <w:spacing w:after="0"/>
              <w:rPr>
                <w:sz w:val="20"/>
                <w:szCs w:val="20"/>
                <w:color w:val="auto"/>
              </w:rPr>
            </w:pPr>
            <w:r>
              <w:rPr>
                <w:rFonts w:ascii="Arial" w:cs="Arial" w:eastAsia="Arial" w:hAnsi="Arial"/>
                <w:sz w:val="14"/>
                <w:szCs w:val="14"/>
                <w:b w:val="1"/>
                <w:bCs w:val="1"/>
                <w:color w:val="auto"/>
                <w:w w:val="94"/>
              </w:rPr>
              <w:t>Treasury</w:t>
            </w:r>
          </w:p>
        </w:tc>
        <w:tc>
          <w:tcPr>
            <w:tcW w:w="180" w:type="dxa"/>
            <w:vAlign w:val="bottom"/>
          </w:tcPr>
          <w:p>
            <w:pPr>
              <w:spacing w:after="0"/>
              <w:rPr>
                <w:sz w:val="11"/>
                <w:szCs w:val="11"/>
                <w:color w:val="auto"/>
              </w:rPr>
            </w:pPr>
          </w:p>
        </w:tc>
        <w:tc>
          <w:tcPr>
            <w:tcW w:w="1140" w:type="dxa"/>
            <w:vAlign w:val="bottom"/>
            <w:gridSpan w:val="2"/>
            <w:vMerge w:val="restart"/>
          </w:tcPr>
          <w:p>
            <w:pPr>
              <w:jc w:val="right"/>
              <w:ind w:right="430"/>
              <w:spacing w:after="0"/>
              <w:rPr>
                <w:sz w:val="20"/>
                <w:szCs w:val="20"/>
                <w:color w:val="auto"/>
              </w:rPr>
            </w:pPr>
            <w:r>
              <w:rPr>
                <w:rFonts w:ascii="Arial" w:cs="Arial" w:eastAsia="Arial" w:hAnsi="Arial"/>
                <w:sz w:val="14"/>
                <w:szCs w:val="14"/>
                <w:b w:val="1"/>
                <w:bCs w:val="1"/>
                <w:color w:val="auto"/>
              </w:rPr>
              <w:t>Retained</w:t>
            </w:r>
          </w:p>
        </w:tc>
        <w:tc>
          <w:tcPr>
            <w:tcW w:w="220" w:type="dxa"/>
            <w:vAlign w:val="bottom"/>
          </w:tcPr>
          <w:p>
            <w:pPr>
              <w:spacing w:after="0"/>
              <w:rPr>
                <w:sz w:val="11"/>
                <w:szCs w:val="11"/>
                <w:color w:val="auto"/>
              </w:rPr>
            </w:pPr>
          </w:p>
        </w:tc>
        <w:tc>
          <w:tcPr>
            <w:tcW w:w="98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4720" w:type="dxa"/>
            <w:vAlign w:val="bottom"/>
          </w:tcPr>
          <w:p>
            <w:pPr>
              <w:spacing w:after="0"/>
              <w:rPr>
                <w:sz w:val="12"/>
                <w:szCs w:val="12"/>
                <w:color w:val="auto"/>
              </w:rPr>
            </w:pPr>
          </w:p>
        </w:tc>
        <w:tc>
          <w:tcPr>
            <w:tcW w:w="136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2"/>
                <w:szCs w:val="12"/>
                <w:color w:val="auto"/>
              </w:rPr>
            </w:pPr>
          </w:p>
        </w:tc>
        <w:tc>
          <w:tcPr>
            <w:tcW w:w="920" w:type="dxa"/>
            <w:vAlign w:val="bottom"/>
          </w:tcPr>
          <w:p>
            <w:pPr>
              <w:jc w:val="center"/>
              <w:ind w:right="113"/>
              <w:spacing w:after="0" w:line="149" w:lineRule="exact"/>
              <w:rPr>
                <w:sz w:val="20"/>
                <w:szCs w:val="20"/>
                <w:color w:val="auto"/>
              </w:rPr>
            </w:pPr>
            <w:r>
              <w:rPr>
                <w:rFonts w:ascii="Arial" w:cs="Arial" w:eastAsia="Arial" w:hAnsi="Arial"/>
                <w:sz w:val="14"/>
                <w:szCs w:val="14"/>
                <w:b w:val="1"/>
                <w:bCs w:val="1"/>
                <w:color w:val="auto"/>
                <w:w w:val="94"/>
              </w:rPr>
              <w:t>Paid-in</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2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85"/>
        </w:trPr>
        <w:tc>
          <w:tcPr>
            <w:tcW w:w="472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center"/>
              <w:ind w:right="93"/>
              <w:spacing w:after="0"/>
              <w:rPr>
                <w:sz w:val="20"/>
                <w:szCs w:val="20"/>
                <w:color w:val="auto"/>
              </w:rPr>
            </w:pPr>
            <w:r>
              <w:rPr>
                <w:rFonts w:ascii="Arial" w:cs="Arial" w:eastAsia="Arial" w:hAnsi="Arial"/>
                <w:sz w:val="14"/>
                <w:szCs w:val="14"/>
                <w:b w:val="1"/>
                <w:bCs w:val="1"/>
                <w:color w:val="auto"/>
                <w:w w:val="98"/>
              </w:rPr>
              <w:t>Capital</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center"/>
              <w:ind w:right="361"/>
              <w:spacing w:after="0"/>
              <w:rPr>
                <w:sz w:val="20"/>
                <w:szCs w:val="20"/>
                <w:color w:val="auto"/>
              </w:rPr>
            </w:pPr>
            <w:r>
              <w:rPr>
                <w:rFonts w:ascii="Arial" w:cs="Arial" w:eastAsia="Arial" w:hAnsi="Arial"/>
                <w:sz w:val="14"/>
                <w:szCs w:val="14"/>
                <w:b w:val="1"/>
                <w:bCs w:val="1"/>
                <w:color w:val="auto"/>
                <w:w w:val="89"/>
              </w:rPr>
              <w:t>Stock</w:t>
            </w:r>
          </w:p>
        </w:tc>
        <w:tc>
          <w:tcPr>
            <w:tcW w:w="180" w:type="dxa"/>
            <w:vAlign w:val="bottom"/>
          </w:tcPr>
          <w:p>
            <w:pPr>
              <w:spacing w:after="0"/>
              <w:rPr>
                <w:sz w:val="16"/>
                <w:szCs w:val="16"/>
                <w:color w:val="auto"/>
              </w:rPr>
            </w:pPr>
          </w:p>
        </w:tc>
        <w:tc>
          <w:tcPr>
            <w:tcW w:w="1140" w:type="dxa"/>
            <w:vAlign w:val="bottom"/>
            <w:gridSpan w:val="2"/>
          </w:tcPr>
          <w:p>
            <w:pPr>
              <w:jc w:val="right"/>
              <w:ind w:right="490"/>
              <w:spacing w:after="0"/>
              <w:rPr>
                <w:sz w:val="20"/>
                <w:szCs w:val="20"/>
                <w:color w:val="auto"/>
              </w:rPr>
            </w:pPr>
            <w:r>
              <w:rPr>
                <w:rFonts w:ascii="Arial" w:cs="Arial" w:eastAsia="Arial" w:hAnsi="Arial"/>
                <w:sz w:val="14"/>
                <w:szCs w:val="14"/>
                <w:b w:val="1"/>
                <w:bCs w:val="1"/>
                <w:color w:val="auto"/>
              </w:rPr>
              <w:t>Deficit</w:t>
            </w:r>
          </w:p>
        </w:tc>
        <w:tc>
          <w:tcPr>
            <w:tcW w:w="220" w:type="dxa"/>
            <w:vAlign w:val="bottom"/>
          </w:tcPr>
          <w:p>
            <w:pPr>
              <w:spacing w:after="0"/>
              <w:rPr>
                <w:sz w:val="16"/>
                <w:szCs w:val="16"/>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36"/>
        </w:trPr>
        <w:tc>
          <w:tcPr>
            <w:tcW w:w="4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March 31, 2021</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30,805,300</w:t>
            </w:r>
          </w:p>
        </w:tc>
        <w:tc>
          <w:tcPr>
            <w:tcW w:w="28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157,485</w:t>
            </w:r>
          </w:p>
        </w:tc>
        <w:tc>
          <w:tcPr>
            <w:tcW w:w="24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(36,240</w:t>
            </w:r>
          </w:p>
        </w:tc>
        <w:tc>
          <w:tcPr>
            <w:tcW w:w="240" w:type="dxa"/>
            <w:vAlign w:val="bottom"/>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(63,171</w:t>
            </w:r>
          </w:p>
        </w:tc>
        <w:tc>
          <w:tcPr>
            <w:tcW w:w="2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58,074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720" w:type="dxa"/>
            <w:vAlign w:val="bottom"/>
          </w:tcPr>
          <w:p>
            <w:pPr>
              <w:ind w:left="20"/>
              <w:spacing w:after="0"/>
              <w:rPr>
                <w:sz w:val="20"/>
                <w:szCs w:val="20"/>
                <w:color w:val="auto"/>
              </w:rPr>
            </w:pPr>
            <w:r>
              <w:rPr>
                <w:rFonts w:ascii="Arial" w:cs="Arial" w:eastAsia="Arial" w:hAnsi="Arial"/>
                <w:sz w:val="18"/>
                <w:szCs w:val="18"/>
                <w:color w:val="auto"/>
              </w:rPr>
              <w:t>Exercise of stock options for cash</w:t>
            </w:r>
          </w:p>
        </w:tc>
        <w:tc>
          <w:tcPr>
            <w:tcW w:w="1080" w:type="dxa"/>
            <w:vAlign w:val="bottom"/>
          </w:tcPr>
          <w:p>
            <w:pPr>
              <w:jc w:val="right"/>
              <w:spacing w:after="0"/>
              <w:rPr>
                <w:sz w:val="20"/>
                <w:szCs w:val="20"/>
                <w:color w:val="auto"/>
              </w:rPr>
            </w:pPr>
            <w:r>
              <w:rPr>
                <w:rFonts w:ascii="Arial" w:cs="Arial" w:eastAsia="Arial" w:hAnsi="Arial"/>
                <w:sz w:val="18"/>
                <w:szCs w:val="18"/>
                <w:color w:val="auto"/>
              </w:rPr>
              <w:t>24,045</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4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Shares issued under Employee Stock Purchase</w:t>
            </w:r>
          </w:p>
        </w:tc>
        <w:tc>
          <w:tcPr>
            <w:tcW w:w="10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720" w:type="dxa"/>
            <w:vAlign w:val="bottom"/>
            <w:shd w:val="clear" w:color="auto" w:fill="CFF0FC"/>
          </w:tcPr>
          <w:p>
            <w:pPr>
              <w:ind w:left="160"/>
              <w:spacing w:after="0"/>
              <w:rPr>
                <w:sz w:val="20"/>
                <w:szCs w:val="20"/>
                <w:color w:val="auto"/>
              </w:rPr>
            </w:pPr>
            <w:r>
              <w:rPr>
                <w:rFonts w:ascii="Arial" w:cs="Arial" w:eastAsia="Arial" w:hAnsi="Arial"/>
                <w:sz w:val="18"/>
                <w:szCs w:val="18"/>
                <w:color w:val="auto"/>
              </w:rPr>
              <w:t>Plan</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496</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72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1080" w:type="dxa"/>
            <w:vAlign w:val="bottom"/>
          </w:tcPr>
          <w:p>
            <w:pPr>
              <w:jc w:val="right"/>
              <w:spacing w:after="0"/>
              <w:rPr>
                <w:sz w:val="20"/>
                <w:szCs w:val="20"/>
                <w:color w:val="auto"/>
              </w:rPr>
            </w:pPr>
            <w:r>
              <w:rPr>
                <w:rFonts w:ascii="Arial" w:cs="Arial" w:eastAsia="Arial" w:hAnsi="Arial"/>
                <w:sz w:val="18"/>
                <w:szCs w:val="18"/>
                <w:color w:val="auto"/>
              </w:rPr>
              <w:t>171,470</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160</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4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Employee tax withholdings on stock-based</w:t>
            </w:r>
          </w:p>
        </w:tc>
        <w:tc>
          <w:tcPr>
            <w:tcW w:w="10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720" w:type="dxa"/>
            <w:vAlign w:val="bottom"/>
            <w:shd w:val="clear" w:color="auto" w:fill="CFF0FC"/>
          </w:tcPr>
          <w:p>
            <w:pPr>
              <w:ind w:left="160"/>
              <w:spacing w:after="0"/>
              <w:rPr>
                <w:sz w:val="20"/>
                <w:szCs w:val="20"/>
                <w:color w:val="auto"/>
              </w:rPr>
            </w:pPr>
            <w:r>
              <w:rPr>
                <w:rFonts w:ascii="Arial" w:cs="Arial" w:eastAsia="Arial" w:hAnsi="Arial"/>
                <w:sz w:val="18"/>
                <w:szCs w:val="18"/>
                <w:color w:val="auto"/>
              </w:rPr>
              <w:t>compensation</w:t>
            </w: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(610 )</w:t>
            </w:r>
          </w:p>
        </w:tc>
        <w:tc>
          <w:tcPr>
            <w:tcW w:w="1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01"/>
              <w:spacing w:after="0"/>
              <w:rPr>
                <w:sz w:val="20"/>
                <w:szCs w:val="20"/>
                <w:color w:val="auto"/>
              </w:rPr>
            </w:pPr>
            <w:r>
              <w:rPr>
                <w:rFonts w:ascii="Arial" w:cs="Arial" w:eastAsia="Arial" w:hAnsi="Arial"/>
                <w:sz w:val="18"/>
                <w:szCs w:val="18"/>
                <w:color w:val="auto"/>
              </w:rPr>
              <w:t>(4 )</w:t>
            </w:r>
          </w:p>
        </w:tc>
        <w:tc>
          <w:tcPr>
            <w:tcW w:w="18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36"/>
        </w:trPr>
        <w:tc>
          <w:tcPr>
            <w:tcW w:w="47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2,510</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 June 30, 2021</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31,000,701</w:t>
            </w:r>
          </w:p>
        </w:tc>
        <w:tc>
          <w:tcPr>
            <w:tcW w:w="2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157,746</w:t>
            </w:r>
          </w:p>
        </w:tc>
        <w:tc>
          <w:tcPr>
            <w:tcW w:w="2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(36,241</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(60,661</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60,844</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720" w:type="dxa"/>
            <w:vAlign w:val="bottom"/>
          </w:tcPr>
          <w:p>
            <w:pPr>
              <w:ind w:left="20"/>
              <w:spacing w:after="0"/>
              <w:rPr>
                <w:sz w:val="20"/>
                <w:szCs w:val="20"/>
                <w:color w:val="auto"/>
              </w:rPr>
            </w:pPr>
            <w:r>
              <w:rPr>
                <w:rFonts w:ascii="Arial" w:cs="Arial" w:eastAsia="Arial" w:hAnsi="Arial"/>
                <w:sz w:val="18"/>
                <w:szCs w:val="18"/>
                <w:color w:val="auto"/>
              </w:rPr>
              <w:t>Exercise of stock options for cash</w:t>
            </w:r>
          </w:p>
        </w:tc>
        <w:tc>
          <w:tcPr>
            <w:tcW w:w="1080" w:type="dxa"/>
            <w:vAlign w:val="bottom"/>
          </w:tcPr>
          <w:p>
            <w:pPr>
              <w:jc w:val="right"/>
              <w:spacing w:after="0"/>
              <w:rPr>
                <w:sz w:val="20"/>
                <w:szCs w:val="20"/>
                <w:color w:val="auto"/>
              </w:rPr>
            </w:pPr>
            <w:r>
              <w:rPr>
                <w:rFonts w:ascii="Arial" w:cs="Arial" w:eastAsia="Arial" w:hAnsi="Arial"/>
                <w:sz w:val="18"/>
                <w:szCs w:val="18"/>
                <w:color w:val="auto"/>
              </w:rPr>
              <w:t>7,000</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4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Shares issued under Employee Stock Purchase</w:t>
            </w:r>
          </w:p>
        </w:tc>
        <w:tc>
          <w:tcPr>
            <w:tcW w:w="10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720" w:type="dxa"/>
            <w:vAlign w:val="bottom"/>
            <w:shd w:val="clear" w:color="auto" w:fill="CFF0FC"/>
          </w:tcPr>
          <w:p>
            <w:pPr>
              <w:ind w:left="160"/>
              <w:spacing w:after="0"/>
              <w:rPr>
                <w:sz w:val="20"/>
                <w:szCs w:val="20"/>
                <w:color w:val="auto"/>
              </w:rPr>
            </w:pPr>
            <w:r>
              <w:rPr>
                <w:rFonts w:ascii="Arial" w:cs="Arial" w:eastAsia="Arial" w:hAnsi="Arial"/>
                <w:sz w:val="18"/>
                <w:szCs w:val="18"/>
                <w:color w:val="auto"/>
              </w:rPr>
              <w:t>Plan</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72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1080" w:type="dxa"/>
            <w:vAlign w:val="bottom"/>
          </w:tcPr>
          <w:p>
            <w:pPr>
              <w:jc w:val="right"/>
              <w:spacing w:after="0"/>
              <w:rPr>
                <w:sz w:val="20"/>
                <w:szCs w:val="20"/>
                <w:color w:val="auto"/>
              </w:rPr>
            </w:pPr>
            <w:r>
              <w:rPr>
                <w:rFonts w:ascii="Arial" w:cs="Arial" w:eastAsia="Arial" w:hAnsi="Arial"/>
                <w:sz w:val="18"/>
                <w:szCs w:val="18"/>
                <w:color w:val="auto"/>
              </w:rPr>
              <w:t>55,896</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211</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4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Employee tax withholdings on stock-based</w:t>
            </w:r>
          </w:p>
        </w:tc>
        <w:tc>
          <w:tcPr>
            <w:tcW w:w="10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720" w:type="dxa"/>
            <w:vAlign w:val="bottom"/>
            <w:shd w:val="clear" w:color="auto" w:fill="CFF0FC"/>
          </w:tcPr>
          <w:p>
            <w:pPr>
              <w:ind w:left="160"/>
              <w:spacing w:after="0"/>
              <w:rPr>
                <w:sz w:val="20"/>
                <w:szCs w:val="20"/>
                <w:color w:val="auto"/>
              </w:rPr>
            </w:pPr>
            <w:r>
              <w:rPr>
                <w:rFonts w:ascii="Arial" w:cs="Arial" w:eastAsia="Arial" w:hAnsi="Arial"/>
                <w:sz w:val="18"/>
                <w:szCs w:val="18"/>
                <w:color w:val="auto"/>
              </w:rPr>
              <w:t>compensation</w:t>
            </w: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(294 )</w:t>
            </w:r>
          </w:p>
        </w:tc>
        <w:tc>
          <w:tcPr>
            <w:tcW w:w="1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01"/>
              <w:spacing w:after="0"/>
              <w:rPr>
                <w:sz w:val="20"/>
                <w:szCs w:val="20"/>
                <w:color w:val="auto"/>
              </w:rPr>
            </w:pPr>
            <w:r>
              <w:rPr>
                <w:rFonts w:ascii="Arial" w:cs="Arial" w:eastAsia="Arial" w:hAnsi="Arial"/>
                <w:sz w:val="18"/>
                <w:szCs w:val="18"/>
                <w:color w:val="auto"/>
              </w:rPr>
              <w:t>(1 )</w:t>
            </w:r>
          </w:p>
        </w:tc>
        <w:tc>
          <w:tcPr>
            <w:tcW w:w="18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36"/>
        </w:trPr>
        <w:tc>
          <w:tcPr>
            <w:tcW w:w="47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3,659</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3,659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 September 30, 2021</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31,063,630</w:t>
            </w:r>
          </w:p>
        </w:tc>
        <w:tc>
          <w:tcPr>
            <w:tcW w:w="2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157,975</w:t>
            </w:r>
          </w:p>
        </w:tc>
        <w:tc>
          <w:tcPr>
            <w:tcW w:w="2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(36,241</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(57,002</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64,732</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720" w:type="dxa"/>
            <w:vAlign w:val="bottom"/>
          </w:tcPr>
          <w:p>
            <w:pPr>
              <w:ind w:left="20"/>
              <w:spacing w:after="0"/>
              <w:rPr>
                <w:sz w:val="20"/>
                <w:szCs w:val="20"/>
                <w:color w:val="auto"/>
              </w:rPr>
            </w:pPr>
            <w:r>
              <w:rPr>
                <w:rFonts w:ascii="Arial" w:cs="Arial" w:eastAsia="Arial" w:hAnsi="Arial"/>
                <w:sz w:val="18"/>
                <w:szCs w:val="18"/>
                <w:color w:val="auto"/>
              </w:rPr>
              <w:t>Exercise of stock options for cash</w:t>
            </w:r>
          </w:p>
        </w:tc>
        <w:tc>
          <w:tcPr>
            <w:tcW w:w="1080" w:type="dxa"/>
            <w:vAlign w:val="bottom"/>
          </w:tcPr>
          <w:p>
            <w:pPr>
              <w:jc w:val="right"/>
              <w:spacing w:after="0"/>
              <w:rPr>
                <w:sz w:val="20"/>
                <w:szCs w:val="20"/>
                <w:color w:val="auto"/>
              </w:rPr>
            </w:pPr>
            <w:r>
              <w:rPr>
                <w:rFonts w:ascii="Arial" w:cs="Arial" w:eastAsia="Arial" w:hAnsi="Arial"/>
                <w:sz w:val="18"/>
                <w:szCs w:val="18"/>
                <w:color w:val="auto"/>
              </w:rPr>
              <w:t>800</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4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Shares issued under Employee Stock Purchase</w:t>
            </w:r>
          </w:p>
        </w:tc>
        <w:tc>
          <w:tcPr>
            <w:tcW w:w="10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720" w:type="dxa"/>
            <w:vAlign w:val="bottom"/>
            <w:shd w:val="clear" w:color="auto" w:fill="CFF0FC"/>
          </w:tcPr>
          <w:p>
            <w:pPr>
              <w:ind w:left="160"/>
              <w:spacing w:after="0"/>
              <w:rPr>
                <w:sz w:val="20"/>
                <w:szCs w:val="20"/>
                <w:color w:val="auto"/>
              </w:rPr>
            </w:pPr>
            <w:r>
              <w:rPr>
                <w:rFonts w:ascii="Arial" w:cs="Arial" w:eastAsia="Arial" w:hAnsi="Arial"/>
                <w:sz w:val="18"/>
                <w:szCs w:val="18"/>
                <w:color w:val="auto"/>
              </w:rPr>
              <w:t>Plan</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72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1080" w:type="dxa"/>
            <w:vAlign w:val="bottom"/>
          </w:tcPr>
          <w:p>
            <w:pPr>
              <w:jc w:val="right"/>
              <w:spacing w:after="0"/>
              <w:rPr>
                <w:sz w:val="20"/>
                <w:szCs w:val="20"/>
                <w:color w:val="auto"/>
              </w:rPr>
            </w:pPr>
            <w:r>
              <w:rPr>
                <w:rFonts w:ascii="Arial" w:cs="Arial" w:eastAsia="Arial" w:hAnsi="Arial"/>
                <w:sz w:val="18"/>
                <w:szCs w:val="18"/>
                <w:color w:val="auto"/>
              </w:rPr>
              <w:t>32,648</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220</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4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Employee tax withholdings on stock-based</w:t>
            </w:r>
          </w:p>
        </w:tc>
        <w:tc>
          <w:tcPr>
            <w:tcW w:w="10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720" w:type="dxa"/>
            <w:vAlign w:val="bottom"/>
            <w:shd w:val="clear" w:color="auto" w:fill="CFF0FC"/>
          </w:tcPr>
          <w:p>
            <w:pPr>
              <w:ind w:left="160"/>
              <w:spacing w:after="0"/>
              <w:rPr>
                <w:sz w:val="20"/>
                <w:szCs w:val="20"/>
                <w:color w:val="auto"/>
              </w:rPr>
            </w:pPr>
            <w:r>
              <w:rPr>
                <w:rFonts w:ascii="Arial" w:cs="Arial" w:eastAsia="Arial" w:hAnsi="Arial"/>
                <w:sz w:val="18"/>
                <w:szCs w:val="18"/>
                <w:color w:val="auto"/>
              </w:rPr>
              <w:t>compensation</w:t>
            </w: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(2,745 )</w:t>
            </w:r>
          </w:p>
        </w:tc>
        <w:tc>
          <w:tcPr>
            <w:tcW w:w="1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01"/>
              <w:spacing w:after="0"/>
              <w:rPr>
                <w:sz w:val="20"/>
                <w:szCs w:val="20"/>
                <w:color w:val="auto"/>
              </w:rPr>
            </w:pPr>
            <w:r>
              <w:rPr>
                <w:rFonts w:ascii="Arial" w:cs="Arial" w:eastAsia="Arial" w:hAnsi="Arial"/>
                <w:sz w:val="18"/>
                <w:szCs w:val="18"/>
                <w:color w:val="auto"/>
              </w:rPr>
              <w:t>(2 )</w:t>
            </w:r>
          </w:p>
        </w:tc>
        <w:tc>
          <w:tcPr>
            <w:tcW w:w="18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36"/>
        </w:trPr>
        <w:tc>
          <w:tcPr>
            <w:tcW w:w="47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1,102</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1,102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4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 December 31, 2021</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31,094,688</w:t>
            </w:r>
          </w:p>
        </w:tc>
        <w:tc>
          <w:tcPr>
            <w:tcW w:w="28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158,197</w:t>
            </w:r>
          </w:p>
        </w:tc>
        <w:tc>
          <w:tcPr>
            <w:tcW w:w="2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(36,242</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(55,900</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66,055</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3686810</wp:posOffset>
            </wp:positionH>
            <wp:positionV relativeFrom="paragraph">
              <wp:posOffset>-2456815</wp:posOffset>
            </wp:positionV>
            <wp:extent cx="76835" cy="1625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4542790</wp:posOffset>
            </wp:positionH>
            <wp:positionV relativeFrom="paragraph">
              <wp:posOffset>-2456815</wp:posOffset>
            </wp:positionV>
            <wp:extent cx="68580" cy="1625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5382260</wp:posOffset>
            </wp:positionH>
            <wp:positionV relativeFrom="paragraph">
              <wp:posOffset>-2456815</wp:posOffset>
            </wp:positionV>
            <wp:extent cx="68580" cy="1625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6221095</wp:posOffset>
            </wp:positionH>
            <wp:positionV relativeFrom="paragraph">
              <wp:posOffset>-2456815</wp:posOffset>
            </wp:positionV>
            <wp:extent cx="68580" cy="1625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-2456815</wp:posOffset>
            </wp:positionV>
            <wp:extent cx="68580" cy="1625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3686810</wp:posOffset>
            </wp:positionH>
            <wp:positionV relativeFrom="paragraph">
              <wp:posOffset>-1240790</wp:posOffset>
            </wp:positionV>
            <wp:extent cx="76835" cy="1625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4542790</wp:posOffset>
            </wp:positionH>
            <wp:positionV relativeFrom="paragraph">
              <wp:posOffset>-1240790</wp:posOffset>
            </wp:positionV>
            <wp:extent cx="68580" cy="1625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5382260</wp:posOffset>
            </wp:positionH>
            <wp:positionV relativeFrom="paragraph">
              <wp:posOffset>-1240790</wp:posOffset>
            </wp:positionV>
            <wp:extent cx="68580" cy="1625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6221095</wp:posOffset>
            </wp:positionH>
            <wp:positionV relativeFrom="paragraph">
              <wp:posOffset>-1240790</wp:posOffset>
            </wp:positionV>
            <wp:extent cx="68580" cy="1625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-1240790</wp:posOffset>
            </wp:positionV>
            <wp:extent cx="68580" cy="1625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3686810</wp:posOffset>
            </wp:positionH>
            <wp:positionV relativeFrom="paragraph">
              <wp:posOffset>-24765</wp:posOffset>
            </wp:positionV>
            <wp:extent cx="3450590" cy="1797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50590" cy="17970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center"/>
        <w:ind w:left="340" w:right="2340"/>
        <w:spacing w:after="0" w:line="265" w:lineRule="auto"/>
        <w:rPr>
          <w:sz w:val="20"/>
          <w:szCs w:val="20"/>
          <w:color w:val="auto"/>
        </w:rPr>
      </w:pPr>
      <w:r>
        <w:rPr>
          <w:rFonts w:ascii="Arial" w:cs="Arial" w:eastAsia="Arial" w:hAnsi="Arial"/>
          <w:sz w:val="18"/>
          <w:szCs w:val="18"/>
          <w:b w:val="1"/>
          <w:bCs w:val="1"/>
          <w:color w:val="auto"/>
        </w:rPr>
        <w:t>ORION ENERGY SYSTEMS, INC. AND SUBSIDIARIES UNAUDITED CONDENSED CONSOLIDATED STATEMENTS OF CASH FLOWS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00" w:type="dxa"/>
            <w:vAlign w:val="bottom"/>
          </w:tcPr>
          <w:p>
            <w:pPr>
              <w:spacing w:after="0"/>
              <w:rPr>
                <w:sz w:val="16"/>
                <w:szCs w:val="16"/>
                <w:color w:val="auto"/>
              </w:rPr>
            </w:pPr>
          </w:p>
        </w:tc>
        <w:tc>
          <w:tcPr>
            <w:tcW w:w="28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Nine Months Ended December 31,</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0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36"/>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9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6"/>
        </w:trPr>
        <w:tc>
          <w:tcPr>
            <w:tcW w:w="7700" w:type="dxa"/>
            <w:vAlign w:val="bottom"/>
          </w:tcPr>
          <w:p>
            <w:pPr>
              <w:ind w:left="20"/>
              <w:spacing w:after="0"/>
              <w:rPr>
                <w:sz w:val="20"/>
                <w:szCs w:val="20"/>
                <w:color w:val="auto"/>
              </w:rPr>
            </w:pPr>
            <w:r>
              <w:rPr>
                <w:rFonts w:ascii="Arial" w:cs="Arial" w:eastAsia="Arial" w:hAnsi="Arial"/>
                <w:sz w:val="18"/>
                <w:szCs w:val="18"/>
                <w:color w:val="auto"/>
              </w:rPr>
              <w:t>Net (loss) income</w:t>
            </w:r>
          </w:p>
        </w:tc>
        <w:tc>
          <w:tcPr>
            <w:tcW w:w="980" w:type="dxa"/>
            <w:vAlign w:val="bottom"/>
          </w:tcPr>
          <w:p>
            <w:pPr>
              <w:jc w:val="right"/>
              <w:ind w:right="777"/>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110"/>
              <w:spacing w:after="0"/>
              <w:rPr>
                <w:sz w:val="20"/>
                <w:szCs w:val="20"/>
                <w:color w:val="auto"/>
              </w:rPr>
            </w:pPr>
            <w:r>
              <w:rPr>
                <w:rFonts w:ascii="Arial" w:cs="Arial" w:eastAsia="Arial" w:hAnsi="Arial"/>
                <w:sz w:val="18"/>
                <w:szCs w:val="18"/>
                <w:color w:val="auto"/>
                <w:w w:val="91"/>
              </w:rPr>
              <w:t>(29,225 )</w:t>
            </w:r>
          </w:p>
        </w:tc>
        <w:tc>
          <w:tcPr>
            <w:tcW w:w="1000" w:type="dxa"/>
            <w:vAlign w:val="bottom"/>
          </w:tcPr>
          <w:p>
            <w:pPr>
              <w:jc w:val="right"/>
              <w:ind w:right="795"/>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7,271</w:t>
            </w:r>
          </w:p>
        </w:tc>
        <w:tc>
          <w:tcPr>
            <w:tcW w:w="100" w:type="dxa"/>
            <w:vAlign w:val="bottom"/>
          </w:tcPr>
          <w:p>
            <w:pPr>
              <w:spacing w:after="0"/>
              <w:rPr>
                <w:sz w:val="20"/>
                <w:szCs w:val="20"/>
                <w:color w:val="auto"/>
              </w:rPr>
            </w:pPr>
          </w:p>
        </w:tc>
      </w:tr>
      <w:tr>
        <w:trPr>
          <w:trHeight w:val="221"/>
        </w:trPr>
        <w:tc>
          <w:tcPr>
            <w:tcW w:w="7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Adjustments to reconcile net (loss) income to net cash (used in)</w:t>
            </w: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4"/>
        </w:trPr>
        <w:tc>
          <w:tcPr>
            <w:tcW w:w="7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provided by operating activities:</w:t>
            </w:r>
          </w:p>
        </w:tc>
        <w:tc>
          <w:tcPr>
            <w:tcW w:w="98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7700" w:type="dxa"/>
            <w:vAlign w:val="bottom"/>
          </w:tcPr>
          <w:p>
            <w:pPr>
              <w:ind w:left="380"/>
              <w:spacing w:after="0"/>
              <w:rPr>
                <w:sz w:val="20"/>
                <w:szCs w:val="20"/>
                <w:color w:val="auto"/>
              </w:rPr>
            </w:pPr>
            <w:r>
              <w:rPr>
                <w:rFonts w:ascii="Arial" w:cs="Arial" w:eastAsia="Arial" w:hAnsi="Arial"/>
                <w:sz w:val="18"/>
                <w:szCs w:val="18"/>
                <w:color w:val="auto"/>
              </w:rPr>
              <w:t>Depreciation</w:t>
            </w:r>
          </w:p>
        </w:tc>
        <w:tc>
          <w:tcPr>
            <w:tcW w:w="9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974</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936</w:t>
            </w:r>
          </w:p>
        </w:tc>
        <w:tc>
          <w:tcPr>
            <w:tcW w:w="100" w:type="dxa"/>
            <w:vAlign w:val="bottom"/>
          </w:tcPr>
          <w:p>
            <w:pPr>
              <w:spacing w:after="0"/>
              <w:rPr>
                <w:sz w:val="20"/>
                <w:szCs w:val="20"/>
                <w:color w:val="auto"/>
              </w:rPr>
            </w:pPr>
          </w:p>
        </w:tc>
      </w:tr>
      <w:tr>
        <w:trPr>
          <w:trHeight w:val="249"/>
        </w:trPr>
        <w:tc>
          <w:tcPr>
            <w:tcW w:w="77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Amortization of intangible assets</w:t>
            </w:r>
          </w:p>
        </w:tc>
        <w:tc>
          <w:tcPr>
            <w:tcW w:w="98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373</w:t>
            </w: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w:t>
            </w:r>
          </w:p>
        </w:tc>
        <w:tc>
          <w:tcPr>
            <w:tcW w:w="100" w:type="dxa"/>
            <w:vAlign w:val="bottom"/>
            <w:shd w:val="clear" w:color="auto" w:fill="CFF0FC"/>
          </w:tcPr>
          <w:p>
            <w:pPr>
              <w:spacing w:after="0"/>
              <w:rPr>
                <w:sz w:val="21"/>
                <w:szCs w:val="21"/>
                <w:color w:val="auto"/>
              </w:rPr>
            </w:pPr>
          </w:p>
        </w:tc>
      </w:tr>
      <w:tr>
        <w:trPr>
          <w:trHeight w:val="236"/>
        </w:trPr>
        <w:tc>
          <w:tcPr>
            <w:tcW w:w="7700" w:type="dxa"/>
            <w:vAlign w:val="bottom"/>
          </w:tcPr>
          <w:p>
            <w:pPr>
              <w:ind w:left="380"/>
              <w:spacing w:after="0"/>
              <w:rPr>
                <w:sz w:val="20"/>
                <w:szCs w:val="20"/>
                <w:color w:val="auto"/>
              </w:rPr>
            </w:pPr>
            <w:r>
              <w:rPr>
                <w:rFonts w:ascii="Arial" w:cs="Arial" w:eastAsia="Arial" w:hAnsi="Arial"/>
                <w:sz w:val="18"/>
                <w:szCs w:val="18"/>
                <w:color w:val="auto"/>
              </w:rPr>
              <w:t>Stock-based compensation</w:t>
            </w:r>
          </w:p>
        </w:tc>
        <w:tc>
          <w:tcPr>
            <w:tcW w:w="9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1,435</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591</w:t>
            </w:r>
          </w:p>
        </w:tc>
        <w:tc>
          <w:tcPr>
            <w:tcW w:w="100" w:type="dxa"/>
            <w:vAlign w:val="bottom"/>
          </w:tcPr>
          <w:p>
            <w:pPr>
              <w:spacing w:after="0"/>
              <w:rPr>
                <w:sz w:val="20"/>
                <w:szCs w:val="20"/>
                <w:color w:val="auto"/>
              </w:rPr>
            </w:pPr>
          </w:p>
        </w:tc>
      </w:tr>
      <w:tr>
        <w:trPr>
          <w:trHeight w:val="249"/>
        </w:trPr>
        <w:tc>
          <w:tcPr>
            <w:tcW w:w="77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Amortization of debt issue costs</w:t>
            </w:r>
          </w:p>
        </w:tc>
        <w:tc>
          <w:tcPr>
            <w:tcW w:w="98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FF0FC"/>
          </w:tcPr>
          <w:p>
            <w:pPr>
              <w:spacing w:after="0"/>
              <w:rPr>
                <w:sz w:val="21"/>
                <w:szCs w:val="21"/>
                <w:color w:val="auto"/>
              </w:rPr>
            </w:pPr>
          </w:p>
        </w:tc>
      </w:tr>
      <w:tr>
        <w:trPr>
          <w:trHeight w:val="236"/>
        </w:trPr>
        <w:tc>
          <w:tcPr>
            <w:tcW w:w="7700" w:type="dxa"/>
            <w:vAlign w:val="bottom"/>
          </w:tcPr>
          <w:p>
            <w:pPr>
              <w:ind w:left="380"/>
              <w:spacing w:after="0"/>
              <w:rPr>
                <w:sz w:val="20"/>
                <w:szCs w:val="20"/>
                <w:color w:val="auto"/>
              </w:rPr>
            </w:pPr>
            <w:r>
              <w:rPr>
                <w:rFonts w:ascii="Arial" w:cs="Arial" w:eastAsia="Arial" w:hAnsi="Arial"/>
                <w:sz w:val="18"/>
                <w:szCs w:val="18"/>
                <w:color w:val="auto"/>
              </w:rPr>
              <w:t>Deferred income tax</w:t>
            </w:r>
          </w:p>
        </w:tc>
        <w:tc>
          <w:tcPr>
            <w:tcW w:w="9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17,804</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2,340</w:t>
            </w:r>
          </w:p>
        </w:tc>
        <w:tc>
          <w:tcPr>
            <w:tcW w:w="100" w:type="dxa"/>
            <w:vAlign w:val="bottom"/>
          </w:tcPr>
          <w:p>
            <w:pPr>
              <w:spacing w:after="0"/>
              <w:rPr>
                <w:sz w:val="20"/>
                <w:szCs w:val="20"/>
                <w:color w:val="auto"/>
              </w:rPr>
            </w:pPr>
          </w:p>
        </w:tc>
      </w:tr>
      <w:tr>
        <w:trPr>
          <w:trHeight w:val="249"/>
        </w:trPr>
        <w:tc>
          <w:tcPr>
            <w:tcW w:w="77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Gain (loss) on sale of property and equipment</w:t>
            </w:r>
          </w:p>
        </w:tc>
        <w:tc>
          <w:tcPr>
            <w:tcW w:w="98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(77 )</w:t>
            </w:r>
          </w:p>
        </w:tc>
      </w:tr>
      <w:tr>
        <w:trPr>
          <w:trHeight w:val="236"/>
        </w:trPr>
        <w:tc>
          <w:tcPr>
            <w:tcW w:w="7700" w:type="dxa"/>
            <w:vAlign w:val="bottom"/>
          </w:tcPr>
          <w:p>
            <w:pPr>
              <w:ind w:left="380"/>
              <w:spacing w:after="0"/>
              <w:rPr>
                <w:sz w:val="20"/>
                <w:szCs w:val="20"/>
                <w:color w:val="auto"/>
              </w:rPr>
            </w:pPr>
            <w:r>
              <w:rPr>
                <w:rFonts w:ascii="Arial" w:cs="Arial" w:eastAsia="Arial" w:hAnsi="Arial"/>
                <w:sz w:val="18"/>
                <w:szCs w:val="18"/>
                <w:color w:val="auto"/>
              </w:rPr>
              <w:t>Provision for inventory reserves</w:t>
            </w:r>
          </w:p>
        </w:tc>
        <w:tc>
          <w:tcPr>
            <w:tcW w:w="9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407</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426</w:t>
            </w:r>
          </w:p>
        </w:tc>
        <w:tc>
          <w:tcPr>
            <w:tcW w:w="100" w:type="dxa"/>
            <w:vAlign w:val="bottom"/>
          </w:tcPr>
          <w:p>
            <w:pPr>
              <w:spacing w:after="0"/>
              <w:rPr>
                <w:sz w:val="20"/>
                <w:szCs w:val="20"/>
                <w:color w:val="auto"/>
              </w:rPr>
            </w:pPr>
          </w:p>
        </w:tc>
      </w:tr>
      <w:tr>
        <w:trPr>
          <w:trHeight w:val="249"/>
        </w:trPr>
        <w:tc>
          <w:tcPr>
            <w:tcW w:w="77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Provision for bad debts</w:t>
            </w:r>
          </w:p>
        </w:tc>
        <w:tc>
          <w:tcPr>
            <w:tcW w:w="98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FF0FC"/>
          </w:tcPr>
          <w:p>
            <w:pPr>
              <w:spacing w:after="0"/>
              <w:rPr>
                <w:sz w:val="21"/>
                <w:szCs w:val="21"/>
                <w:color w:val="auto"/>
              </w:rPr>
            </w:pPr>
          </w:p>
        </w:tc>
      </w:tr>
      <w:tr>
        <w:trPr>
          <w:trHeight w:val="236"/>
        </w:trPr>
        <w:tc>
          <w:tcPr>
            <w:tcW w:w="7700" w:type="dxa"/>
            <w:vAlign w:val="bottom"/>
          </w:tcPr>
          <w:p>
            <w:pPr>
              <w:ind w:left="380"/>
              <w:spacing w:after="0"/>
              <w:rPr>
                <w:sz w:val="20"/>
                <w:szCs w:val="20"/>
                <w:color w:val="auto"/>
              </w:rPr>
            </w:pPr>
            <w:r>
              <w:rPr>
                <w:rFonts w:ascii="Arial" w:cs="Arial" w:eastAsia="Arial" w:hAnsi="Arial"/>
                <w:sz w:val="18"/>
                <w:szCs w:val="18"/>
                <w:color w:val="auto"/>
              </w:rPr>
              <w:t>Other</w:t>
            </w:r>
          </w:p>
        </w:tc>
        <w:tc>
          <w:tcPr>
            <w:tcW w:w="9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150</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0"/>
                <w:szCs w:val="20"/>
                <w:color w:val="auto"/>
              </w:rPr>
            </w:pPr>
          </w:p>
        </w:tc>
      </w:tr>
      <w:tr>
        <w:trPr>
          <w:trHeight w:val="249"/>
        </w:trPr>
        <w:tc>
          <w:tcPr>
            <w:tcW w:w="7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Changes in operating assets and liabilities, net of acquisition:</w:t>
            </w:r>
          </w:p>
        </w:tc>
        <w:tc>
          <w:tcPr>
            <w:tcW w:w="98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7700" w:type="dxa"/>
            <w:vAlign w:val="bottom"/>
          </w:tcPr>
          <w:p>
            <w:pPr>
              <w:ind w:left="380"/>
              <w:spacing w:after="0"/>
              <w:rPr>
                <w:sz w:val="20"/>
                <w:szCs w:val="20"/>
                <w:color w:val="auto"/>
              </w:rPr>
            </w:pPr>
            <w:r>
              <w:rPr>
                <w:rFonts w:ascii="Arial" w:cs="Arial" w:eastAsia="Arial" w:hAnsi="Arial"/>
                <w:sz w:val="18"/>
                <w:szCs w:val="18"/>
                <w:color w:val="auto"/>
              </w:rPr>
              <w:t>Accounts receivable</w:t>
            </w:r>
          </w:p>
        </w:tc>
        <w:tc>
          <w:tcPr>
            <w:tcW w:w="980" w:type="dxa"/>
            <w:vAlign w:val="bottom"/>
          </w:tcPr>
          <w:p>
            <w:pPr>
              <w:spacing w:after="0"/>
              <w:rPr>
                <w:sz w:val="20"/>
                <w:szCs w:val="20"/>
                <w:color w:val="auto"/>
              </w:rPr>
            </w:pPr>
          </w:p>
        </w:tc>
        <w:tc>
          <w:tcPr>
            <w:tcW w:w="880" w:type="dxa"/>
            <w:vAlign w:val="bottom"/>
            <w:gridSpan w:val="2"/>
          </w:tcPr>
          <w:p>
            <w:pPr>
              <w:jc w:val="right"/>
              <w:ind w:right="110"/>
              <w:spacing w:after="0"/>
              <w:rPr>
                <w:sz w:val="20"/>
                <w:szCs w:val="20"/>
                <w:color w:val="auto"/>
              </w:rPr>
            </w:pPr>
            <w:r>
              <w:rPr>
                <w:rFonts w:ascii="Arial" w:cs="Arial" w:eastAsia="Arial" w:hAnsi="Arial"/>
                <w:sz w:val="18"/>
                <w:szCs w:val="18"/>
                <w:color w:val="auto"/>
              </w:rPr>
              <w:t>(431 )</w:t>
            </w:r>
          </w:p>
        </w:tc>
        <w:tc>
          <w:tcPr>
            <w:tcW w:w="10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1,276</w:t>
            </w:r>
          </w:p>
        </w:tc>
        <w:tc>
          <w:tcPr>
            <w:tcW w:w="100" w:type="dxa"/>
            <w:vAlign w:val="bottom"/>
          </w:tcPr>
          <w:p>
            <w:pPr>
              <w:spacing w:after="0"/>
              <w:rPr>
                <w:sz w:val="20"/>
                <w:szCs w:val="20"/>
                <w:color w:val="auto"/>
              </w:rPr>
            </w:pPr>
          </w:p>
        </w:tc>
      </w:tr>
      <w:tr>
        <w:trPr>
          <w:trHeight w:val="249"/>
        </w:trPr>
        <w:tc>
          <w:tcPr>
            <w:tcW w:w="77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Revenue earned but not billed</w:t>
            </w:r>
          </w:p>
        </w:tc>
        <w:tc>
          <w:tcPr>
            <w:tcW w:w="98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(321 )</w:t>
            </w:r>
          </w:p>
        </w:tc>
        <w:tc>
          <w:tcPr>
            <w:tcW w:w="1000" w:type="dxa"/>
            <w:vAlign w:val="bottom"/>
            <w:shd w:val="clear" w:color="auto" w:fill="CFF0FC"/>
          </w:tcPr>
          <w:p>
            <w:pPr>
              <w:spacing w:after="0"/>
              <w:rPr>
                <w:sz w:val="21"/>
                <w:szCs w:val="21"/>
                <w:color w:val="auto"/>
              </w:rPr>
            </w:pP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(930 )</w:t>
            </w:r>
          </w:p>
        </w:tc>
      </w:tr>
      <w:tr>
        <w:trPr>
          <w:trHeight w:val="236"/>
        </w:trPr>
        <w:tc>
          <w:tcPr>
            <w:tcW w:w="770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9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1,001</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383</w:t>
            </w:r>
          </w:p>
        </w:tc>
        <w:tc>
          <w:tcPr>
            <w:tcW w:w="100" w:type="dxa"/>
            <w:vAlign w:val="bottom"/>
          </w:tcPr>
          <w:p>
            <w:pPr>
              <w:spacing w:after="0"/>
              <w:rPr>
                <w:sz w:val="20"/>
                <w:szCs w:val="20"/>
                <w:color w:val="auto"/>
              </w:rPr>
            </w:pPr>
          </w:p>
        </w:tc>
      </w:tr>
      <w:tr>
        <w:trPr>
          <w:trHeight w:val="249"/>
        </w:trPr>
        <w:tc>
          <w:tcPr>
            <w:tcW w:w="77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Prepaid expenses and other assets</w:t>
            </w:r>
          </w:p>
        </w:tc>
        <w:tc>
          <w:tcPr>
            <w:tcW w:w="98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609</w:t>
            </w: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9"/>
              </w:rPr>
              <w:t>(1,292 )</w:t>
            </w:r>
          </w:p>
        </w:tc>
      </w:tr>
      <w:tr>
        <w:trPr>
          <w:trHeight w:val="236"/>
        </w:trPr>
        <w:tc>
          <w:tcPr>
            <w:tcW w:w="770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9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2,418</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9"/>
              </w:rPr>
              <w:t>(5,231 )</w:t>
            </w:r>
          </w:p>
        </w:tc>
      </w:tr>
      <w:tr>
        <w:trPr>
          <w:trHeight w:val="249"/>
        </w:trPr>
        <w:tc>
          <w:tcPr>
            <w:tcW w:w="77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Accrued expenses and other</w:t>
            </w:r>
          </w:p>
        </w:tc>
        <w:tc>
          <w:tcPr>
            <w:tcW w:w="98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(566 )</w:t>
            </w:r>
          </w:p>
        </w:tc>
        <w:tc>
          <w:tcPr>
            <w:tcW w:w="1000" w:type="dxa"/>
            <w:vAlign w:val="bottom"/>
            <w:shd w:val="clear" w:color="auto" w:fill="CFF0FC"/>
          </w:tcPr>
          <w:p>
            <w:pPr>
              <w:spacing w:after="0"/>
              <w:rPr>
                <w:sz w:val="21"/>
                <w:szCs w:val="21"/>
                <w:color w:val="auto"/>
              </w:rPr>
            </w:pP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9"/>
              </w:rPr>
              <w:t>(3,651 )</w:t>
            </w:r>
          </w:p>
        </w:tc>
      </w:tr>
      <w:tr>
        <w:trPr>
          <w:trHeight w:val="236"/>
        </w:trPr>
        <w:tc>
          <w:tcPr>
            <w:tcW w:w="7700" w:type="dxa"/>
            <w:vAlign w:val="bottom"/>
          </w:tcPr>
          <w:p>
            <w:pPr>
              <w:ind w:left="380"/>
              <w:spacing w:after="0"/>
              <w:rPr>
                <w:sz w:val="20"/>
                <w:szCs w:val="20"/>
                <w:color w:val="auto"/>
              </w:rPr>
            </w:pPr>
            <w:r>
              <w:rPr>
                <w:rFonts w:ascii="Arial" w:cs="Arial" w:eastAsia="Arial" w:hAnsi="Arial"/>
                <w:sz w:val="18"/>
                <w:szCs w:val="18"/>
                <w:color w:val="auto"/>
              </w:rPr>
              <w:t>Deferred revenue, current and long-term</w:t>
            </w:r>
          </w:p>
        </w:tc>
        <w:tc>
          <w:tcPr>
            <w:tcW w:w="9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28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0"/>
                <w:szCs w:val="20"/>
                <w:color w:val="auto"/>
              </w:rPr>
            </w:pPr>
          </w:p>
        </w:tc>
      </w:tr>
      <w:tr>
        <w:trPr>
          <w:trHeight w:val="242"/>
        </w:trPr>
        <w:tc>
          <w:tcPr>
            <w:tcW w:w="7700" w:type="dxa"/>
            <w:vAlign w:val="bottom"/>
            <w:shd w:val="clear" w:color="auto" w:fill="CFF0FC"/>
          </w:tcPr>
          <w:p>
            <w:pPr>
              <w:ind w:left="200"/>
              <w:spacing w:after="0"/>
              <w:rPr>
                <w:sz w:val="20"/>
                <w:szCs w:val="20"/>
                <w:color w:val="auto"/>
              </w:rPr>
            </w:pPr>
            <w:r>
              <w:rPr>
                <w:rFonts w:ascii="Arial" w:cs="Arial" w:eastAsia="Arial" w:hAnsi="Arial"/>
                <w:sz w:val="18"/>
                <w:szCs w:val="18"/>
                <w:b w:val="1"/>
                <w:bCs w:val="1"/>
                <w:color w:val="auto"/>
              </w:rPr>
              <w:t>Net cash (used in) provided by operating activities</w:t>
            </w:r>
          </w:p>
        </w:tc>
        <w:tc>
          <w:tcPr>
            <w:tcW w:w="98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(5,248</w:t>
            </w:r>
          </w:p>
        </w:tc>
        <w:tc>
          <w:tcPr>
            <w:tcW w:w="2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2,315</w:t>
            </w:r>
          </w:p>
        </w:tc>
        <w:tc>
          <w:tcPr>
            <w:tcW w:w="100" w:type="dxa"/>
            <w:vAlign w:val="bottom"/>
            <w:shd w:val="clear" w:color="auto" w:fill="CFF0FC"/>
          </w:tcPr>
          <w:p>
            <w:pPr>
              <w:spacing w:after="0"/>
              <w:rPr>
                <w:sz w:val="21"/>
                <w:szCs w:val="21"/>
                <w:color w:val="auto"/>
              </w:rPr>
            </w:pPr>
          </w:p>
        </w:tc>
      </w:tr>
      <w:tr>
        <w:trPr>
          <w:trHeight w:val="238"/>
        </w:trPr>
        <w:tc>
          <w:tcPr>
            <w:tcW w:w="7700" w:type="dxa"/>
            <w:vAlign w:val="bottom"/>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9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to fund acquisition, net of cash received</w:t>
            </w:r>
          </w:p>
        </w:tc>
        <w:tc>
          <w:tcPr>
            <w:tcW w:w="98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(5,508 )</w:t>
            </w:r>
          </w:p>
        </w:tc>
        <w:tc>
          <w:tcPr>
            <w:tcW w:w="1000" w:type="dxa"/>
            <w:vAlign w:val="bottom"/>
            <w:shd w:val="clear" w:color="auto" w:fill="CFF0FC"/>
          </w:tcPr>
          <w:p>
            <w:pPr>
              <w:spacing w:after="0"/>
              <w:rPr>
                <w:sz w:val="21"/>
                <w:szCs w:val="21"/>
                <w:color w:val="auto"/>
              </w:rPr>
            </w:pP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9"/>
              </w:rPr>
              <w:t>(3,697 )</w:t>
            </w:r>
          </w:p>
        </w:tc>
      </w:tr>
      <w:tr>
        <w:trPr>
          <w:trHeight w:val="236"/>
        </w:trPr>
        <w:tc>
          <w:tcPr>
            <w:tcW w:w="7700" w:type="dxa"/>
            <w:vAlign w:val="bottom"/>
          </w:tcPr>
          <w:p>
            <w:pPr>
              <w:ind w:left="200"/>
              <w:spacing w:after="0"/>
              <w:rPr>
                <w:sz w:val="20"/>
                <w:szCs w:val="20"/>
                <w:color w:val="auto"/>
              </w:rPr>
            </w:pPr>
            <w:r>
              <w:rPr>
                <w:rFonts w:ascii="Arial" w:cs="Arial" w:eastAsia="Arial" w:hAnsi="Arial"/>
                <w:sz w:val="18"/>
                <w:szCs w:val="18"/>
                <w:color w:val="auto"/>
              </w:rPr>
              <w:t>Cash paid for investment</w:t>
            </w:r>
          </w:p>
        </w:tc>
        <w:tc>
          <w:tcPr>
            <w:tcW w:w="980" w:type="dxa"/>
            <w:vAlign w:val="bottom"/>
          </w:tcPr>
          <w:p>
            <w:pPr>
              <w:spacing w:after="0"/>
              <w:rPr>
                <w:sz w:val="20"/>
                <w:szCs w:val="20"/>
                <w:color w:val="auto"/>
              </w:rPr>
            </w:pPr>
          </w:p>
        </w:tc>
        <w:tc>
          <w:tcPr>
            <w:tcW w:w="88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(500 )</w:t>
            </w:r>
          </w:p>
        </w:tc>
      </w:tr>
      <w:tr>
        <w:trPr>
          <w:trHeight w:val="249"/>
        </w:trPr>
        <w:tc>
          <w:tcPr>
            <w:tcW w:w="7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Purchases of property and equipment</w:t>
            </w:r>
          </w:p>
        </w:tc>
        <w:tc>
          <w:tcPr>
            <w:tcW w:w="98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(573 )</w:t>
            </w:r>
          </w:p>
        </w:tc>
        <w:tc>
          <w:tcPr>
            <w:tcW w:w="1000" w:type="dxa"/>
            <w:vAlign w:val="bottom"/>
            <w:shd w:val="clear" w:color="auto" w:fill="CFF0FC"/>
          </w:tcPr>
          <w:p>
            <w:pPr>
              <w:spacing w:after="0"/>
              <w:rPr>
                <w:sz w:val="21"/>
                <w:szCs w:val="21"/>
                <w:color w:val="auto"/>
              </w:rPr>
            </w:pP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(465 )</w:t>
            </w:r>
          </w:p>
        </w:tc>
      </w:tr>
      <w:tr>
        <w:trPr>
          <w:trHeight w:val="236"/>
        </w:trPr>
        <w:tc>
          <w:tcPr>
            <w:tcW w:w="7700" w:type="dxa"/>
            <w:vAlign w:val="bottom"/>
          </w:tcPr>
          <w:p>
            <w:pPr>
              <w:ind w:left="200"/>
              <w:spacing w:after="0"/>
              <w:rPr>
                <w:sz w:val="20"/>
                <w:szCs w:val="20"/>
                <w:color w:val="auto"/>
              </w:rPr>
            </w:pPr>
            <w:r>
              <w:rPr>
                <w:rFonts w:ascii="Arial" w:cs="Arial" w:eastAsia="Arial" w:hAnsi="Arial"/>
                <w:sz w:val="18"/>
                <w:szCs w:val="18"/>
                <w:color w:val="auto"/>
              </w:rPr>
              <w:t>Additions to patents and licenses</w:t>
            </w:r>
          </w:p>
        </w:tc>
        <w:tc>
          <w:tcPr>
            <w:tcW w:w="980" w:type="dxa"/>
            <w:vAlign w:val="bottom"/>
          </w:tcPr>
          <w:p>
            <w:pPr>
              <w:spacing w:after="0"/>
              <w:rPr>
                <w:sz w:val="20"/>
                <w:szCs w:val="20"/>
                <w:color w:val="auto"/>
              </w:rPr>
            </w:pPr>
          </w:p>
        </w:tc>
        <w:tc>
          <w:tcPr>
            <w:tcW w:w="880" w:type="dxa"/>
            <w:vAlign w:val="bottom"/>
            <w:gridSpan w:val="2"/>
          </w:tcPr>
          <w:p>
            <w:pPr>
              <w:jc w:val="right"/>
              <w:ind w:right="110"/>
              <w:spacing w:after="0"/>
              <w:rPr>
                <w:sz w:val="20"/>
                <w:szCs w:val="20"/>
                <w:color w:val="auto"/>
              </w:rPr>
            </w:pPr>
            <w:r>
              <w:rPr>
                <w:rFonts w:ascii="Arial" w:cs="Arial" w:eastAsia="Arial" w:hAnsi="Arial"/>
                <w:sz w:val="18"/>
                <w:szCs w:val="18"/>
                <w:color w:val="auto"/>
              </w:rPr>
              <w:t>(9 )</w:t>
            </w:r>
          </w:p>
        </w:tc>
        <w:tc>
          <w:tcPr>
            <w:tcW w:w="100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(8 )</w:t>
            </w:r>
          </w:p>
        </w:tc>
      </w:tr>
      <w:tr>
        <w:trPr>
          <w:trHeight w:val="243"/>
        </w:trPr>
        <w:tc>
          <w:tcPr>
            <w:tcW w:w="77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Proceeds from sale of property, plant and equipment</w:t>
            </w:r>
          </w:p>
        </w:tc>
        <w:tc>
          <w:tcPr>
            <w:tcW w:w="98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8"/>
        </w:trPr>
        <w:tc>
          <w:tcPr>
            <w:tcW w:w="7700" w:type="dxa"/>
            <w:vAlign w:val="bottom"/>
          </w:tcPr>
          <w:p>
            <w:pPr>
              <w:ind w:left="200"/>
              <w:spacing w:after="0"/>
              <w:rPr>
                <w:sz w:val="20"/>
                <w:szCs w:val="20"/>
                <w:color w:val="auto"/>
              </w:rPr>
            </w:pPr>
            <w:r>
              <w:rPr>
                <w:rFonts w:ascii="Arial" w:cs="Arial" w:eastAsia="Arial" w:hAnsi="Arial"/>
                <w:sz w:val="18"/>
                <w:szCs w:val="18"/>
                <w:b w:val="1"/>
                <w:bCs w:val="1"/>
                <w:color w:val="auto"/>
              </w:rPr>
              <w:t>Net cash used in investing activities</w:t>
            </w:r>
          </w:p>
        </w:tc>
        <w:tc>
          <w:tcPr>
            <w:tcW w:w="980" w:type="dxa"/>
            <w:vAlign w:val="bottom"/>
          </w:tcPr>
          <w:p>
            <w:pPr>
              <w:spacing w:after="0"/>
              <w:rPr>
                <w:sz w:val="20"/>
                <w:szCs w:val="20"/>
                <w:color w:val="auto"/>
              </w:rPr>
            </w:pPr>
          </w:p>
        </w:tc>
        <w:tc>
          <w:tcPr>
            <w:tcW w:w="880" w:type="dxa"/>
            <w:vAlign w:val="bottom"/>
            <w:gridSpan w:val="2"/>
          </w:tcPr>
          <w:p>
            <w:pPr>
              <w:jc w:val="right"/>
              <w:ind w:right="110"/>
              <w:spacing w:after="0"/>
              <w:rPr>
                <w:sz w:val="20"/>
                <w:szCs w:val="20"/>
                <w:color w:val="auto"/>
              </w:rPr>
            </w:pPr>
            <w:r>
              <w:rPr>
                <w:rFonts w:ascii="Arial" w:cs="Arial" w:eastAsia="Arial" w:hAnsi="Arial"/>
                <w:sz w:val="18"/>
                <w:szCs w:val="18"/>
                <w:color w:val="auto"/>
              </w:rPr>
              <w:t>(6,090 )</w:t>
            </w:r>
          </w:p>
        </w:tc>
        <w:tc>
          <w:tcPr>
            <w:tcW w:w="100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9"/>
              </w:rPr>
              <w:t>(4,548 )</w:t>
            </w:r>
          </w:p>
        </w:tc>
      </w:tr>
      <w:tr>
        <w:trPr>
          <w:trHeight w:val="247"/>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98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7700" w:type="dxa"/>
            <w:vAlign w:val="bottom"/>
          </w:tcPr>
          <w:p>
            <w:pPr>
              <w:ind w:left="200"/>
              <w:spacing w:after="0"/>
              <w:rPr>
                <w:sz w:val="20"/>
                <w:szCs w:val="20"/>
                <w:color w:val="auto"/>
              </w:rPr>
            </w:pPr>
            <w:r>
              <w:rPr>
                <w:rFonts w:ascii="Arial" w:cs="Arial" w:eastAsia="Arial" w:hAnsi="Arial"/>
                <w:sz w:val="18"/>
                <w:szCs w:val="18"/>
                <w:color w:val="auto"/>
              </w:rPr>
              <w:t>Payment of long-term debt</w:t>
            </w:r>
          </w:p>
        </w:tc>
        <w:tc>
          <w:tcPr>
            <w:tcW w:w="980" w:type="dxa"/>
            <w:vAlign w:val="bottom"/>
          </w:tcPr>
          <w:p>
            <w:pPr>
              <w:spacing w:after="0"/>
              <w:rPr>
                <w:sz w:val="20"/>
                <w:szCs w:val="20"/>
                <w:color w:val="auto"/>
              </w:rPr>
            </w:pPr>
          </w:p>
        </w:tc>
        <w:tc>
          <w:tcPr>
            <w:tcW w:w="880" w:type="dxa"/>
            <w:vAlign w:val="bottom"/>
            <w:gridSpan w:val="2"/>
          </w:tcPr>
          <w:p>
            <w:pPr>
              <w:jc w:val="right"/>
              <w:ind w:right="110"/>
              <w:spacing w:after="0"/>
              <w:rPr>
                <w:sz w:val="20"/>
                <w:szCs w:val="20"/>
                <w:color w:val="auto"/>
              </w:rPr>
            </w:pPr>
            <w:r>
              <w:rPr>
                <w:rFonts w:ascii="Arial" w:cs="Arial" w:eastAsia="Arial" w:hAnsi="Arial"/>
                <w:sz w:val="18"/>
                <w:szCs w:val="18"/>
                <w:color w:val="auto"/>
              </w:rPr>
              <w:t>(12 )</w:t>
            </w:r>
          </w:p>
        </w:tc>
        <w:tc>
          <w:tcPr>
            <w:tcW w:w="100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(11 )</w:t>
            </w:r>
          </w:p>
        </w:tc>
      </w:tr>
      <w:tr>
        <w:trPr>
          <w:trHeight w:val="249"/>
        </w:trPr>
        <w:tc>
          <w:tcPr>
            <w:tcW w:w="7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Proceeds from revolving credit facility</w:t>
            </w:r>
          </w:p>
        </w:tc>
        <w:tc>
          <w:tcPr>
            <w:tcW w:w="98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68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r>
      <w:tr>
        <w:trPr>
          <w:trHeight w:val="236"/>
        </w:trPr>
        <w:tc>
          <w:tcPr>
            <w:tcW w:w="7700" w:type="dxa"/>
            <w:vAlign w:val="bottom"/>
          </w:tcPr>
          <w:p>
            <w:pPr>
              <w:ind w:left="200"/>
              <w:spacing w:after="0"/>
              <w:rPr>
                <w:sz w:val="20"/>
                <w:szCs w:val="20"/>
                <w:color w:val="auto"/>
              </w:rPr>
            </w:pPr>
            <w:r>
              <w:rPr>
                <w:rFonts w:ascii="Arial" w:cs="Arial" w:eastAsia="Arial" w:hAnsi="Arial"/>
                <w:sz w:val="18"/>
                <w:szCs w:val="18"/>
                <w:color w:val="auto"/>
              </w:rPr>
              <w:t>Payments of revolving credit facility</w:t>
            </w:r>
          </w:p>
        </w:tc>
        <w:tc>
          <w:tcPr>
            <w:tcW w:w="980" w:type="dxa"/>
            <w:vAlign w:val="bottom"/>
          </w:tcPr>
          <w:p>
            <w:pPr>
              <w:spacing w:after="0"/>
              <w:rPr>
                <w:sz w:val="20"/>
                <w:szCs w:val="20"/>
                <w:color w:val="auto"/>
              </w:rPr>
            </w:pPr>
          </w:p>
        </w:tc>
        <w:tc>
          <w:tcPr>
            <w:tcW w:w="88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20"/>
                <w:szCs w:val="20"/>
                <w:color w:val="auto"/>
              </w:rPr>
            </w:pPr>
          </w:p>
        </w:tc>
        <w:tc>
          <w:tcPr>
            <w:tcW w:w="68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r>
      <w:tr>
        <w:trPr>
          <w:trHeight w:val="249"/>
        </w:trPr>
        <w:tc>
          <w:tcPr>
            <w:tcW w:w="7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Payments to settle employee tax withholdings on stock-based compensation</w:t>
            </w:r>
          </w:p>
        </w:tc>
        <w:tc>
          <w:tcPr>
            <w:tcW w:w="98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(2 )</w:t>
            </w:r>
          </w:p>
        </w:tc>
        <w:tc>
          <w:tcPr>
            <w:tcW w:w="1000" w:type="dxa"/>
            <w:vAlign w:val="bottom"/>
            <w:shd w:val="clear" w:color="auto" w:fill="CFF0FC"/>
          </w:tcPr>
          <w:p>
            <w:pPr>
              <w:spacing w:after="0"/>
              <w:rPr>
                <w:sz w:val="21"/>
                <w:szCs w:val="21"/>
                <w:color w:val="auto"/>
              </w:rPr>
            </w:pP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(7 )</w:t>
            </w:r>
          </w:p>
        </w:tc>
      </w:tr>
      <w:tr>
        <w:trPr>
          <w:trHeight w:val="236"/>
        </w:trPr>
        <w:tc>
          <w:tcPr>
            <w:tcW w:w="7700" w:type="dxa"/>
            <w:vAlign w:val="bottom"/>
          </w:tcPr>
          <w:p>
            <w:pPr>
              <w:ind w:left="200"/>
              <w:spacing w:after="0"/>
              <w:rPr>
                <w:sz w:val="20"/>
                <w:szCs w:val="20"/>
                <w:color w:val="auto"/>
              </w:rPr>
            </w:pPr>
            <w:r>
              <w:rPr>
                <w:rFonts w:ascii="Arial" w:cs="Arial" w:eastAsia="Arial" w:hAnsi="Arial"/>
                <w:sz w:val="18"/>
                <w:szCs w:val="18"/>
                <w:color w:val="auto"/>
              </w:rPr>
              <w:t>Deferred financing costs</w:t>
            </w:r>
          </w:p>
        </w:tc>
        <w:tc>
          <w:tcPr>
            <w:tcW w:w="980" w:type="dxa"/>
            <w:vAlign w:val="bottom"/>
          </w:tcPr>
          <w:p>
            <w:pPr>
              <w:spacing w:after="0"/>
              <w:rPr>
                <w:sz w:val="20"/>
                <w:szCs w:val="20"/>
                <w:color w:val="auto"/>
              </w:rPr>
            </w:pPr>
          </w:p>
        </w:tc>
        <w:tc>
          <w:tcPr>
            <w:tcW w:w="880" w:type="dxa"/>
            <w:vAlign w:val="bottom"/>
            <w:gridSpan w:val="2"/>
          </w:tcPr>
          <w:p>
            <w:pPr>
              <w:jc w:val="right"/>
              <w:ind w:right="110"/>
              <w:spacing w:after="0"/>
              <w:rPr>
                <w:sz w:val="20"/>
                <w:szCs w:val="20"/>
                <w:color w:val="auto"/>
              </w:rPr>
            </w:pPr>
            <w:r>
              <w:rPr>
                <w:rFonts w:ascii="Arial" w:cs="Arial" w:eastAsia="Arial" w:hAnsi="Arial"/>
                <w:sz w:val="18"/>
                <w:szCs w:val="18"/>
                <w:color w:val="auto"/>
              </w:rPr>
              <w:t>(29 )</w:t>
            </w:r>
          </w:p>
        </w:tc>
        <w:tc>
          <w:tcPr>
            <w:tcW w:w="100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(4 )</w:t>
            </w:r>
          </w:p>
        </w:tc>
      </w:tr>
      <w:tr>
        <w:trPr>
          <w:trHeight w:val="243"/>
        </w:trPr>
        <w:tc>
          <w:tcPr>
            <w:tcW w:w="77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Proceeds from employee equity exercises</w:t>
            </w:r>
          </w:p>
        </w:tc>
        <w:tc>
          <w:tcPr>
            <w:tcW w:w="98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28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8"/>
        </w:trPr>
        <w:tc>
          <w:tcPr>
            <w:tcW w:w="7700" w:type="dxa"/>
            <w:vAlign w:val="bottom"/>
          </w:tcPr>
          <w:p>
            <w:pPr>
              <w:ind w:left="200"/>
              <w:spacing w:after="0"/>
              <w:rPr>
                <w:sz w:val="20"/>
                <w:szCs w:val="20"/>
                <w:color w:val="auto"/>
              </w:rPr>
            </w:pPr>
            <w:r>
              <w:rPr>
                <w:rFonts w:ascii="Arial" w:cs="Arial" w:eastAsia="Arial" w:hAnsi="Arial"/>
                <w:sz w:val="18"/>
                <w:szCs w:val="18"/>
                <w:b w:val="1"/>
                <w:bCs w:val="1"/>
                <w:color w:val="auto"/>
              </w:rPr>
              <w:t>Net cash provided by financing activities</w:t>
            </w:r>
          </w:p>
        </w:tc>
        <w:tc>
          <w:tcPr>
            <w:tcW w:w="9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5,014</w:t>
            </w:r>
          </w:p>
        </w:tc>
        <w:tc>
          <w:tcPr>
            <w:tcW w:w="28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0"/>
                <w:szCs w:val="20"/>
                <w:color w:val="auto"/>
              </w:rPr>
            </w:pPr>
          </w:p>
        </w:tc>
      </w:tr>
      <w:tr>
        <w:trPr>
          <w:trHeight w:val="240"/>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decrease in cash and cash equivalents</w:t>
            </w:r>
          </w:p>
        </w:tc>
        <w:tc>
          <w:tcPr>
            <w:tcW w:w="98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(6,324</w:t>
            </w:r>
          </w:p>
        </w:tc>
        <w:tc>
          <w:tcPr>
            <w:tcW w:w="2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(2,129</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6"/>
        </w:trPr>
        <w:tc>
          <w:tcPr>
            <w:tcW w:w="7700" w:type="dxa"/>
            <w:vAlign w:val="bottom"/>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9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14,466</w:t>
            </w:r>
          </w:p>
        </w:tc>
        <w:tc>
          <w:tcPr>
            <w:tcW w:w="28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19,393</w:t>
            </w:r>
          </w:p>
        </w:tc>
        <w:tc>
          <w:tcPr>
            <w:tcW w:w="100" w:type="dxa"/>
            <w:vAlign w:val="bottom"/>
          </w:tcPr>
          <w:p>
            <w:pPr>
              <w:spacing w:after="0"/>
              <w:rPr>
                <w:sz w:val="20"/>
                <w:szCs w:val="20"/>
                <w:color w:val="auto"/>
              </w:rPr>
            </w:pPr>
          </w:p>
        </w:tc>
      </w:tr>
      <w:tr>
        <w:trPr>
          <w:trHeight w:val="276"/>
        </w:trPr>
        <w:tc>
          <w:tcPr>
            <w:tcW w:w="7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980" w:type="dxa"/>
            <w:vAlign w:val="bottom"/>
            <w:tcBorders>
              <w:bottom w:val="single" w:sz="8" w:color="auto"/>
            </w:tcBorders>
            <w:shd w:val="clear" w:color="auto" w:fill="CFF0FC"/>
          </w:tcPr>
          <w:p>
            <w:pPr>
              <w:jc w:val="right"/>
              <w:ind w:right="777"/>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8,142</w:t>
            </w:r>
          </w:p>
        </w:tc>
        <w:tc>
          <w:tcPr>
            <w:tcW w:w="28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auto"/>
            </w:tcBorders>
            <w:shd w:val="clear" w:color="auto" w:fill="CFF0FC"/>
          </w:tcPr>
          <w:p>
            <w:pPr>
              <w:jc w:val="right"/>
              <w:ind w:right="795"/>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17,264</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5"/>
        </w:trPr>
        <w:tc>
          <w:tcPr>
            <w:tcW w:w="7700" w:type="dxa"/>
            <w:vAlign w:val="bottom"/>
          </w:tcPr>
          <w:p>
            <w:pPr>
              <w:ind w:left="20"/>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7"/>
        </w:trPr>
        <w:tc>
          <w:tcPr>
            <w:tcW w:w="7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Issuance of common stock in connection with acquisition</w:t>
            </w:r>
          </w:p>
        </w:tc>
        <w:tc>
          <w:tcPr>
            <w:tcW w:w="980" w:type="dxa"/>
            <w:vAlign w:val="bottom"/>
            <w:shd w:val="clear" w:color="auto" w:fill="CFF0FC"/>
          </w:tcPr>
          <w:p>
            <w:pPr>
              <w:jc w:val="right"/>
              <w:ind w:right="777"/>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770</w:t>
            </w: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795"/>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5895975</wp:posOffset>
            </wp:positionH>
            <wp:positionV relativeFrom="paragraph">
              <wp:posOffset>-2216785</wp:posOffset>
            </wp:positionV>
            <wp:extent cx="68580" cy="1625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-2216785</wp:posOffset>
            </wp:positionV>
            <wp:extent cx="68580" cy="1625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-975360</wp:posOffset>
            </wp:positionV>
            <wp:extent cx="68580" cy="1714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-975360</wp:posOffset>
            </wp:positionV>
            <wp:extent cx="68580" cy="1714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-333375</wp:posOffset>
            </wp:positionV>
            <wp:extent cx="1241425" cy="1797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41425" cy="179705"/>
                    </a:xfrm>
                    <a:prstGeom prst="rect">
                      <a:avLst/>
                    </a:prstGeom>
                    <a:noFill/>
                  </pic:spPr>
                </pic:pic>
              </a:graphicData>
            </a:graphic>
          </wp:anchor>
        </w:drawing>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ORION ENERGY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NOTES TO THE CONDENSED CONSOLIDATED FINANCIAL STATEMENTS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DESCRIPTION OF BUSINESS</w:t>
      </w:r>
    </w:p>
    <w:p>
      <w:pPr>
        <w:spacing w:after="0" w:line="175" w:lineRule="exact"/>
        <w:rPr>
          <w:sz w:val="20"/>
          <w:szCs w:val="20"/>
          <w:color w:val="auto"/>
        </w:rPr>
      </w:pPr>
    </w:p>
    <w:p>
      <w:pPr>
        <w:jc w:val="both"/>
        <w:ind w:firstLine="464"/>
        <w:spacing w:after="0" w:line="263" w:lineRule="auto"/>
        <w:rPr>
          <w:sz w:val="20"/>
          <w:szCs w:val="20"/>
          <w:color w:val="auto"/>
        </w:rPr>
      </w:pPr>
      <w:r>
        <w:rPr>
          <w:rFonts w:ascii="Arial" w:cs="Arial" w:eastAsia="Arial" w:hAnsi="Arial"/>
          <w:sz w:val="18"/>
          <w:szCs w:val="18"/>
          <w:color w:val="auto"/>
        </w:rPr>
        <w:t>Orion includes Orion Energy Systems, Inc., a Wisconsin corporation, and all consolidated subsidiaries. Orion is a provider of energy-efficient LED lighting and controls, maintenance services and electrical vehicle (EV) charging station solutions to commercial and industrial businesses, and federal and local governments, predominantly in North America.</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71" w:lineRule="exact"/>
        <w:rPr>
          <w:sz w:val="20"/>
          <w:szCs w:val="20"/>
          <w:color w:val="auto"/>
        </w:rPr>
      </w:pPr>
    </w:p>
    <w:p>
      <w:pPr>
        <w:jc w:val="both"/>
        <w:ind w:firstLine="469"/>
        <w:spacing w:after="0" w:line="277" w:lineRule="auto"/>
        <w:rPr>
          <w:sz w:val="20"/>
          <w:szCs w:val="20"/>
          <w:color w:val="auto"/>
        </w:rPr>
      </w:pPr>
      <w:r>
        <w:rPr>
          <w:rFonts w:ascii="Arial" w:cs="Arial" w:eastAsia="Arial" w:hAnsi="Arial"/>
          <w:sz w:val="18"/>
          <w:szCs w:val="18"/>
          <w:color w:val="auto"/>
        </w:rPr>
        <w:t>The consolidated financial statements include the accounts of Orion and its wholly-owned subsidiaries. All significant intercompany transactions and balances have been eliminated in consolidation.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71" w:lineRule="exact"/>
        <w:rPr>
          <w:sz w:val="20"/>
          <w:szCs w:val="20"/>
          <w:color w:val="auto"/>
        </w:rPr>
      </w:pPr>
    </w:p>
    <w:p>
      <w:pPr>
        <w:jc w:val="both"/>
        <w:ind w:firstLine="469"/>
        <w:spacing w:after="0" w:line="296" w:lineRule="auto"/>
        <w:rPr>
          <w:sz w:val="20"/>
          <w:szCs w:val="20"/>
          <w:color w:val="auto"/>
        </w:rPr>
      </w:pPr>
      <w:r>
        <w:rPr>
          <w:rFonts w:ascii="Arial" w:cs="Arial" w:eastAsia="Arial" w:hAnsi="Arial"/>
          <w:sz w:val="16"/>
          <w:szCs w:val="16"/>
          <w:color w:val="auto"/>
        </w:rPr>
        <w:t>The accompanying unaudited Condensed Consolidated Financial Statements of Orion have been prepared in accordance with accounting principles generally accepted in the United States (GAAP) for interim financial information and with the rules and regulations of the Securities and Exchange Commission (SEC). Accordingly, they do not include all of the information and footnotes required by GAAP for complete financial statements. In the opinion of management, all adjustments, consisting of normal recurring adjustments, considered necessary for a fair statement have been included. Interim results are not necessarily indicative of results that may be expected for the fiscal year ending March 31, 2023 or other interim periods.</w:t>
      </w:r>
    </w:p>
    <w:p>
      <w:pPr>
        <w:spacing w:after="0" w:line="106" w:lineRule="exact"/>
        <w:rPr>
          <w:sz w:val="20"/>
          <w:szCs w:val="20"/>
          <w:color w:val="auto"/>
        </w:rPr>
      </w:pPr>
    </w:p>
    <w:p>
      <w:pPr>
        <w:jc w:val="both"/>
        <w:ind w:right="20" w:firstLine="469"/>
        <w:spacing w:after="0" w:line="277" w:lineRule="auto"/>
        <w:rPr>
          <w:sz w:val="20"/>
          <w:szCs w:val="20"/>
          <w:color w:val="auto"/>
        </w:rPr>
      </w:pPr>
      <w:r>
        <w:rPr>
          <w:rFonts w:ascii="Arial" w:cs="Arial" w:eastAsia="Arial" w:hAnsi="Arial"/>
          <w:sz w:val="18"/>
          <w:szCs w:val="18"/>
          <w:color w:val="auto"/>
        </w:rPr>
        <w:t>The Condensed Consolidated Balance Sheet as of March 31, 2022 has been derived from the audited consolidated financial statements at that date but does not include all of the information required by GAAP for complete financial statements.</w:t>
      </w:r>
    </w:p>
    <w:p>
      <w:pPr>
        <w:spacing w:after="0" w:line="116" w:lineRule="exact"/>
        <w:rPr>
          <w:sz w:val="20"/>
          <w:szCs w:val="20"/>
          <w:color w:val="auto"/>
        </w:rPr>
      </w:pPr>
    </w:p>
    <w:p>
      <w:pPr>
        <w:jc w:val="both"/>
        <w:ind w:firstLine="469"/>
        <w:spacing w:after="0" w:line="263" w:lineRule="auto"/>
        <w:rPr>
          <w:sz w:val="20"/>
          <w:szCs w:val="20"/>
          <w:color w:val="auto"/>
        </w:rPr>
      </w:pPr>
      <w:r>
        <w:rPr>
          <w:rFonts w:ascii="Arial" w:cs="Arial" w:eastAsia="Arial" w:hAnsi="Arial"/>
          <w:sz w:val="18"/>
          <w:szCs w:val="18"/>
          <w:color w:val="auto"/>
        </w:rPr>
        <w:t>The accompanying unaudited Condensed Consolidated Financial Statements should be read in conjunction with the audited consolidated financial statements and footnotes thereto included in Orion’s Annual Report on Form 10-K for the fiscal year ended March 31, 2022 filed with the SEC on June 10, 2022.</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Related Costs</w:t>
      </w:r>
    </w:p>
    <w:p>
      <w:pPr>
        <w:spacing w:after="0" w:line="171" w:lineRule="exact"/>
        <w:rPr>
          <w:sz w:val="20"/>
          <w:szCs w:val="20"/>
          <w:color w:val="auto"/>
        </w:rPr>
      </w:pPr>
    </w:p>
    <w:p>
      <w:pPr>
        <w:jc w:val="both"/>
        <w:ind w:firstLine="469"/>
        <w:spacing w:after="0" w:line="277" w:lineRule="auto"/>
        <w:rPr>
          <w:sz w:val="20"/>
          <w:szCs w:val="20"/>
          <w:color w:val="auto"/>
        </w:rPr>
      </w:pPr>
      <w:r>
        <w:rPr>
          <w:rFonts w:ascii="Arial" w:cs="Arial" w:eastAsia="Arial" w:hAnsi="Arial"/>
          <w:sz w:val="18"/>
          <w:szCs w:val="18"/>
          <w:color w:val="auto"/>
        </w:rPr>
        <w:t>Acquisition related costs includes various acquisition related costs, including legal fees, consulting and success fees, earn-out expenses, and other non-recurring integration related costs.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jc w:val="both"/>
        <w:ind w:firstLine="469"/>
        <w:spacing w:after="0" w:line="256"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disclosures of contingent assets and liabilities at the date of the financial statements and reported amounts of revenues and expenses during that reporting period. Areas that require the use of significant management estimates include revenue recognition, inventory obsolescence, allowance for doubtful accounts, accruals for warranty and loss contingencies, income taxes, impairment analyses, and certain equity transactions. Accordingly, actual results could differ from those estimates.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 and Other Risks and Uncertainties</w:t>
      </w:r>
    </w:p>
    <w:p>
      <w:pPr>
        <w:spacing w:after="0" w:line="171" w:lineRule="exact"/>
        <w:rPr>
          <w:sz w:val="20"/>
          <w:szCs w:val="20"/>
          <w:color w:val="auto"/>
        </w:rPr>
      </w:pPr>
    </w:p>
    <w:p>
      <w:pPr>
        <w:jc w:val="both"/>
        <w:ind w:firstLine="469"/>
        <w:spacing w:after="0" w:line="263" w:lineRule="auto"/>
        <w:rPr>
          <w:sz w:val="20"/>
          <w:szCs w:val="20"/>
          <w:color w:val="auto"/>
        </w:rPr>
      </w:pPr>
      <w:r>
        <w:rPr>
          <w:rFonts w:ascii="Arial" w:cs="Arial" w:eastAsia="Arial" w:hAnsi="Arial"/>
          <w:sz w:val="18"/>
          <w:szCs w:val="18"/>
          <w:color w:val="auto"/>
        </w:rPr>
        <w:t>Orion's cash is primarily deposited with one financial institution. At times, deposits in this institution exceeds the amount of insurance provided on such deposits. Orion has not experienced any losses in such accounts and believes that it is not exposed to any significant financial institution viability risk on these balances.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p>
      <w:pPr>
        <w:jc w:val="both"/>
        <w:ind w:firstLine="469"/>
        <w:spacing w:after="0" w:line="259" w:lineRule="auto"/>
        <w:rPr>
          <w:sz w:val="20"/>
          <w:szCs w:val="20"/>
          <w:color w:val="auto"/>
        </w:rPr>
      </w:pPr>
      <w:r>
        <w:rPr>
          <w:rFonts w:ascii="Arial" w:cs="Arial" w:eastAsia="Arial" w:hAnsi="Arial"/>
          <w:sz w:val="18"/>
          <w:szCs w:val="18"/>
          <w:color w:val="auto"/>
        </w:rPr>
        <w:t>Orion purchases components necessary for its lighting products, including lamps and LED components, from multiple suppliers. For the three months ended December 31, 2022, one supplier accounted for 13.3% of total cost of revenue. For the nine months ended December 31, 2022, no suppliers accounted for more than 10.0% of total cost of revenue. For the three and nine months ended December 31, 2021, no suppliers accounted for more than 10.0% of total cost of revenue.</w:t>
      </w:r>
    </w:p>
    <w:p>
      <w:pPr>
        <w:spacing w:after="0" w:line="131" w:lineRule="exact"/>
        <w:rPr>
          <w:sz w:val="20"/>
          <w:szCs w:val="20"/>
          <w:color w:val="auto"/>
        </w:rPr>
      </w:pPr>
    </w:p>
    <w:p>
      <w:pPr>
        <w:jc w:val="both"/>
        <w:ind w:firstLine="469"/>
        <w:spacing w:after="0" w:line="307" w:lineRule="auto"/>
        <w:rPr>
          <w:sz w:val="20"/>
          <w:szCs w:val="20"/>
          <w:color w:val="auto"/>
        </w:rPr>
      </w:pPr>
      <w:r>
        <w:rPr>
          <w:rFonts w:ascii="Arial" w:cs="Arial" w:eastAsia="Arial" w:hAnsi="Arial"/>
          <w:sz w:val="17"/>
          <w:szCs w:val="17"/>
          <w:color w:val="auto"/>
        </w:rPr>
        <w:t>For the three and nine months ended December 31, 2022, one customer accounted for 18.2% and 16.1% of total revenue, respectively. For the three and nine months ended December 31, 2021, one customer accounted for 48.6% and 53.0% of total revenue, respectively.</w:t>
      </w:r>
    </w:p>
    <w:p>
      <w:pPr>
        <w:spacing w:after="0" w:line="93" w:lineRule="exact"/>
        <w:rPr>
          <w:sz w:val="20"/>
          <w:szCs w:val="20"/>
          <w:color w:val="auto"/>
        </w:rPr>
      </w:pPr>
    </w:p>
    <w:p>
      <w:pPr>
        <w:jc w:val="both"/>
        <w:ind w:firstLine="464"/>
        <w:spacing w:after="0" w:line="277" w:lineRule="auto"/>
        <w:rPr>
          <w:sz w:val="20"/>
          <w:szCs w:val="20"/>
          <w:color w:val="auto"/>
        </w:rPr>
      </w:pPr>
      <w:r>
        <w:rPr>
          <w:rFonts w:ascii="Arial" w:cs="Arial" w:eastAsia="Arial" w:hAnsi="Arial"/>
          <w:sz w:val="18"/>
          <w:szCs w:val="18"/>
          <w:color w:val="auto"/>
        </w:rPr>
        <w:t>As of December 31, 2022, one customer accounted for 12.3% of accounts receivable, respectively. As of March 31, 2022, two customers accounted for 11.8% and 10.4% of accounts receivable, respectively.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Issued: Not Yet Adopted</w:t>
      </w:r>
    </w:p>
    <w:p>
      <w:pPr>
        <w:spacing w:after="0" w:line="175" w:lineRule="exact"/>
        <w:rPr>
          <w:sz w:val="20"/>
          <w:szCs w:val="20"/>
          <w:color w:val="auto"/>
        </w:rPr>
      </w:pPr>
    </w:p>
    <w:p>
      <w:pPr>
        <w:jc w:val="both"/>
        <w:ind w:firstLine="464"/>
        <w:spacing w:after="0" w:line="271" w:lineRule="auto"/>
        <w:rPr>
          <w:sz w:val="20"/>
          <w:szCs w:val="20"/>
          <w:color w:val="auto"/>
        </w:rPr>
      </w:pPr>
      <w:r>
        <w:rPr>
          <w:rFonts w:ascii="Arial" w:cs="Arial" w:eastAsia="Arial" w:hAnsi="Arial"/>
          <w:sz w:val="17"/>
          <w:szCs w:val="17"/>
          <w:color w:val="auto"/>
        </w:rPr>
        <w:t>In June 2016, the FASB issued ASU No. 2016-13, Financial Instruments - Credit Losses (Topic 326): Measurement of Credit Losses on Financial Instruments (“ASU 2016-13”), which requires an entity to assess impairment of its financial instruments based on its estimate of expected credit losses. Since the issuance of ASU 2016-13, the FASB released several amendments to improve and clarify the implementation guidance. The provisions of ASU 2016-13 and the related amendments are effective for Orion for fiscal years (and interim reporting periods within those years) beginning after December 15, 2022. Entities are required to apply these changes through a cumulative-effect adjustment to retained earnings as of the beginning of the first reporting period in which the guidance is effective. Orion is currently evaluating the impact of adoption of this standard on its consolidated statements of operations, cash flows and the related footnote disclosures.</w:t>
      </w:r>
    </w:p>
    <w:p>
      <w:pPr>
        <w:spacing w:after="0" w:line="127" w:lineRule="exact"/>
        <w:rPr>
          <w:sz w:val="20"/>
          <w:szCs w:val="20"/>
          <w:color w:val="auto"/>
        </w:rPr>
      </w:pPr>
    </w:p>
    <w:p>
      <w:pPr>
        <w:jc w:val="both"/>
        <w:ind w:firstLine="464"/>
        <w:spacing w:after="0" w:line="275" w:lineRule="auto"/>
        <w:rPr>
          <w:sz w:val="20"/>
          <w:szCs w:val="20"/>
          <w:color w:val="auto"/>
        </w:rPr>
      </w:pPr>
      <w:r>
        <w:rPr>
          <w:rFonts w:ascii="Arial" w:cs="Arial" w:eastAsia="Arial" w:hAnsi="Arial"/>
          <w:sz w:val="17"/>
          <w:szCs w:val="17"/>
          <w:color w:val="auto"/>
        </w:rPr>
        <w:t>In October 2021, the FASB issued ASU No. 2021-08, Business Combinations (Topic 805): Accounting for Contract Assets and Contract Liabilities from Contracts with Customers (“ASU 2021-08”), which requires an entity to use the guidance in ASC 606, Revenue from Contracts with Customers, rather than using fair value, when recognizing and measuring contract assets and contract liabilities related to customer contracts assumed in a business combination. The provisions of ASU 2021-08 are effective for Orion for fiscal years (and interim reporting periods within those years) beginning after December 15, 2022. Orion is currently evaluating the impact of adoption of this standard on its consolidated balance sheet.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REVENUE</w:t>
      </w:r>
    </w:p>
    <w:p>
      <w:pPr>
        <w:spacing w:after="0" w:line="175" w:lineRule="exact"/>
        <w:rPr>
          <w:sz w:val="20"/>
          <w:szCs w:val="20"/>
          <w:color w:val="auto"/>
        </w:rPr>
      </w:pPr>
    </w:p>
    <w:p>
      <w:pPr>
        <w:jc w:val="both"/>
        <w:ind w:firstLine="464"/>
        <w:spacing w:after="0" w:line="275" w:lineRule="auto"/>
        <w:rPr>
          <w:sz w:val="20"/>
          <w:szCs w:val="20"/>
          <w:color w:val="auto"/>
        </w:rPr>
      </w:pPr>
      <w:r>
        <w:rPr>
          <w:rFonts w:ascii="Arial" w:cs="Arial" w:eastAsia="Arial" w:hAnsi="Arial"/>
          <w:sz w:val="17"/>
          <w:szCs w:val="17"/>
          <w:color w:val="auto"/>
        </w:rPr>
        <w:t>Orion generates revenue primarily by selling manufactured or sourced commercial lighting fixtures and components, sourced electric vehicle chargers and related products, installing these products in customer’s facilities, and providing maintenance services including repairs and replacements for the lighting and related electrical components. Orion recognizes revenue in accordance with the guidance in “Revenue from Contracts with Customers” (Topic 606) (“ASC 606”) when control of the goods or services being provided (which we refer to as a performance obligation) is transferred to a customer at an amount that reflects the consideration Orion expects to receive in exchange for those goods or services.</w:t>
      </w:r>
    </w:p>
    <w:p>
      <w:pPr>
        <w:spacing w:after="0" w:line="121" w:lineRule="exact"/>
        <w:rPr>
          <w:sz w:val="20"/>
          <w:szCs w:val="20"/>
          <w:color w:val="auto"/>
        </w:rPr>
      </w:pPr>
    </w:p>
    <w:p>
      <w:pPr>
        <w:jc w:val="both"/>
        <w:ind w:firstLine="464"/>
        <w:spacing w:after="0" w:line="263" w:lineRule="auto"/>
        <w:rPr>
          <w:sz w:val="20"/>
          <w:szCs w:val="20"/>
          <w:color w:val="auto"/>
        </w:rPr>
      </w:pPr>
      <w:r>
        <w:rPr>
          <w:rFonts w:ascii="Arial" w:cs="Arial" w:eastAsia="Arial" w:hAnsi="Arial"/>
          <w:sz w:val="18"/>
          <w:szCs w:val="18"/>
          <w:color w:val="auto"/>
        </w:rPr>
        <w:t>During the third quarter of fiscal 2023, Orion acquired Voltrek LLC ("Voltrek"), which sells and installs sourced electric vehicle charging stations and related software subscriptions and renewals. The results of Voltrek are included in the Orion EV segment and compliment Orion’s existing turnkey installation model.</w:t>
      </w:r>
    </w:p>
    <w:p>
      <w:pPr>
        <w:spacing w:after="0" w:line="129" w:lineRule="exact"/>
        <w:rPr>
          <w:sz w:val="20"/>
          <w:szCs w:val="20"/>
          <w:color w:val="auto"/>
        </w:rPr>
      </w:pPr>
    </w:p>
    <w:p>
      <w:pPr>
        <w:jc w:val="both"/>
        <w:ind w:firstLine="464"/>
        <w:spacing w:after="0" w:line="256" w:lineRule="auto"/>
        <w:rPr>
          <w:sz w:val="20"/>
          <w:szCs w:val="20"/>
          <w:color w:val="auto"/>
        </w:rPr>
      </w:pPr>
      <w:r>
        <w:rPr>
          <w:rFonts w:ascii="Arial" w:cs="Arial" w:eastAsia="Arial" w:hAnsi="Arial"/>
          <w:sz w:val="18"/>
          <w:szCs w:val="18"/>
          <w:color w:val="auto"/>
        </w:rPr>
        <w:t>The sale of charging stations and related software subscriptions and renewals is presented in Product revenue. Orion is the principal in the sales of charging stations as it has control of the physical products prior to transfer to the customer. Accordingly, revenue is recognized on a gross basis. For certain sales, primarily software subscriptions and renewals, Orion is the sales agent providing access to the content and recognize commission revenue net of amounts due to third parties who fulfill the performance obligation. For these sales, control passes at the point in time upon providing access of the content to the customer.</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9" w:name="page10"/>
    <w:bookmarkEnd w:id="9"/>
    <w:p>
      <w:pPr>
        <w:jc w:val="both"/>
        <w:ind w:firstLine="464"/>
        <w:spacing w:after="0" w:line="286" w:lineRule="auto"/>
        <w:rPr>
          <w:sz w:val="20"/>
          <w:szCs w:val="20"/>
          <w:color w:val="auto"/>
        </w:rPr>
      </w:pPr>
      <w:r>
        <w:rPr>
          <w:rFonts w:ascii="Arial" w:cs="Arial" w:eastAsia="Arial" w:hAnsi="Arial"/>
          <w:sz w:val="17"/>
          <w:szCs w:val="17"/>
          <w:color w:val="auto"/>
        </w:rPr>
        <w:t>The sale of installation and services related to the EV charging business is presented in Service revenue. Revenue from the EV segment that includes both the sale of product and service is allocated between the product and service performance obligations based on relative standalone selling prices, and is recorded in Product revenue and Service revenue, respectively, in the Condensed Consolidated Statement of Operations.</w:t>
      </w:r>
    </w:p>
    <w:p>
      <w:pPr>
        <w:spacing w:after="0" w:line="110" w:lineRule="exact"/>
        <w:rPr>
          <w:sz w:val="20"/>
          <w:szCs w:val="20"/>
          <w:color w:val="auto"/>
        </w:rPr>
      </w:pPr>
    </w:p>
    <w:p>
      <w:pPr>
        <w:jc w:val="both"/>
        <w:ind w:firstLine="464"/>
        <w:spacing w:after="0" w:line="286" w:lineRule="auto"/>
        <w:rPr>
          <w:sz w:val="20"/>
          <w:szCs w:val="20"/>
          <w:color w:val="auto"/>
        </w:rPr>
      </w:pPr>
      <w:r>
        <w:rPr>
          <w:rFonts w:ascii="Arial" w:cs="Arial" w:eastAsia="Arial" w:hAnsi="Arial"/>
          <w:sz w:val="17"/>
          <w:szCs w:val="17"/>
          <w:color w:val="auto"/>
        </w:rPr>
        <w:t>During the fourth quarter of fiscal 2022, Orion acquired Stay-Lite Lighting, Inc. ("Stay-Lite Lighting"), which provides lighting and electrical maintenance services. The results of Stay-Lite Lighting are included in the Orion Services Group segment and accelerate the growth of Orion’s maintenance services customer offering. The disaggregated revenue table provides total revenue from the maintenance services offering.</w:t>
      </w:r>
    </w:p>
    <w:p>
      <w:pPr>
        <w:spacing w:after="0" w:line="326" w:lineRule="exact"/>
        <w:rPr>
          <w:sz w:val="20"/>
          <w:szCs w:val="20"/>
          <w:color w:val="auto"/>
        </w:rPr>
      </w:pPr>
    </w:p>
    <w:p>
      <w:pPr>
        <w:jc w:val="both"/>
        <w:ind w:firstLine="464"/>
        <w:spacing w:after="0" w:line="263" w:lineRule="auto"/>
        <w:rPr>
          <w:sz w:val="20"/>
          <w:szCs w:val="20"/>
          <w:color w:val="auto"/>
        </w:rPr>
      </w:pPr>
      <w:r>
        <w:rPr>
          <w:rFonts w:ascii="Arial" w:cs="Arial" w:eastAsia="Arial" w:hAnsi="Arial"/>
          <w:sz w:val="18"/>
          <w:szCs w:val="18"/>
          <w:color w:val="auto"/>
        </w:rPr>
        <w:t>Revenue from the maintenance offering that includes both the sale of Orion manufactured or sourced product and service is allocated between the product and service performance obligations based on relative standalone selling prices, and is recorded in Product revenue and Service revenue, respectively, in the Condensed Consolidated Statement of Operations.</w:t>
      </w:r>
    </w:p>
    <w:p>
      <w:pPr>
        <w:spacing w:after="0" w:line="129" w:lineRule="exact"/>
        <w:rPr>
          <w:sz w:val="20"/>
          <w:szCs w:val="20"/>
          <w:color w:val="auto"/>
        </w:rPr>
      </w:pPr>
    </w:p>
    <w:p>
      <w:pPr>
        <w:jc w:val="both"/>
        <w:ind w:right="20" w:firstLine="469"/>
        <w:spacing w:after="0" w:line="277" w:lineRule="auto"/>
        <w:rPr>
          <w:sz w:val="20"/>
          <w:szCs w:val="20"/>
          <w:color w:val="auto"/>
        </w:rPr>
      </w:pPr>
      <w:r>
        <w:rPr>
          <w:rFonts w:ascii="Arial" w:cs="Arial" w:eastAsia="Arial" w:hAnsi="Arial"/>
          <w:sz w:val="18"/>
          <w:szCs w:val="18"/>
          <w:color w:val="auto"/>
        </w:rPr>
        <w:t>The following tables provide detail of Orion’s total revenue for the three and nine months ended December 31, 2022 and December 31, 2021 (dollars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6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7"/>
          </w:tcPr>
          <w:p>
            <w:pPr>
              <w:jc w:val="center"/>
              <w:ind w:right="53"/>
              <w:spacing w:after="0"/>
              <w:rPr>
                <w:sz w:val="20"/>
                <w:szCs w:val="20"/>
                <w:color w:val="auto"/>
              </w:rPr>
            </w:pPr>
            <w:r>
              <w:rPr>
                <w:rFonts w:ascii="Arial" w:cs="Arial" w:eastAsia="Arial" w:hAnsi="Arial"/>
                <w:sz w:val="14"/>
                <w:szCs w:val="14"/>
                <w:b w:val="1"/>
                <w:bCs w:val="1"/>
                <w:color w:val="auto"/>
                <w:w w:val="93"/>
              </w:rPr>
              <w:t>Three Months Ended December 31, 2022</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7"/>
          </w:tcPr>
          <w:p>
            <w:pPr>
              <w:jc w:val="center"/>
              <w:ind w:right="73"/>
              <w:spacing w:after="0"/>
              <w:rPr>
                <w:sz w:val="20"/>
                <w:szCs w:val="20"/>
                <w:color w:val="auto"/>
              </w:rPr>
            </w:pPr>
            <w:r>
              <w:rPr>
                <w:rFonts w:ascii="Arial" w:cs="Arial" w:eastAsia="Arial" w:hAnsi="Arial"/>
                <w:sz w:val="14"/>
                <w:szCs w:val="14"/>
                <w:b w:val="1"/>
                <w:bCs w:val="1"/>
                <w:color w:val="auto"/>
                <w:w w:val="93"/>
              </w:rPr>
              <w:t>Nine Months Ended December 31, 2022</w:t>
            </w:r>
          </w:p>
        </w:tc>
        <w:tc>
          <w:tcPr>
            <w:tcW w:w="100" w:type="dxa"/>
            <w:vAlign w:val="bottom"/>
          </w:tcPr>
          <w:p>
            <w:pPr>
              <w:spacing w:after="0"/>
              <w:rPr>
                <w:sz w:val="16"/>
                <w:szCs w:val="16"/>
                <w:color w:val="auto"/>
              </w:rPr>
            </w:pPr>
          </w:p>
        </w:tc>
      </w:tr>
      <w:tr>
        <w:trPr>
          <w:trHeight w:val="169"/>
        </w:trPr>
        <w:tc>
          <w:tcPr>
            <w:tcW w:w="46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w w:val="98"/>
              </w:rPr>
              <w:t>Product</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86"/>
              </w:rPr>
              <w:t>Services</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w w:val="94"/>
              </w:rPr>
              <w:t>Product</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86"/>
              </w:rPr>
              <w:t>Services</w:t>
            </w: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r>
      <w:tr>
        <w:trPr>
          <w:trHeight w:val="236"/>
        </w:trPr>
        <w:tc>
          <w:tcPr>
            <w:tcW w:w="4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 from contracts with customers:</w:t>
            </w:r>
          </w:p>
        </w:tc>
        <w:tc>
          <w:tcPr>
            <w:tcW w:w="14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6"/>
        </w:trPr>
        <w:tc>
          <w:tcPr>
            <w:tcW w:w="4680" w:type="dxa"/>
            <w:vAlign w:val="bottom"/>
          </w:tcPr>
          <w:p>
            <w:pPr>
              <w:ind w:left="120"/>
              <w:spacing w:after="0"/>
              <w:rPr>
                <w:sz w:val="20"/>
                <w:szCs w:val="20"/>
                <w:color w:val="auto"/>
              </w:rPr>
            </w:pPr>
            <w:r>
              <w:rPr>
                <w:rFonts w:ascii="Arial" w:cs="Arial" w:eastAsia="Arial" w:hAnsi="Arial"/>
                <w:sz w:val="18"/>
                <w:szCs w:val="18"/>
                <w:color w:val="auto"/>
              </w:rPr>
              <w:t>Lighting product and installation</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11,543</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1,679</w:t>
            </w:r>
          </w:p>
        </w:tc>
        <w:tc>
          <w:tcPr>
            <w:tcW w:w="4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13,222</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36,006</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5,073</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41,079</w:t>
            </w:r>
          </w:p>
        </w:tc>
        <w:tc>
          <w:tcPr>
            <w:tcW w:w="100" w:type="dxa"/>
            <w:vAlign w:val="bottom"/>
          </w:tcPr>
          <w:p>
            <w:pPr>
              <w:spacing w:after="0"/>
              <w:rPr>
                <w:sz w:val="20"/>
                <w:szCs w:val="20"/>
                <w:color w:val="auto"/>
              </w:rPr>
            </w:pPr>
          </w:p>
        </w:tc>
      </w:tr>
      <w:tr>
        <w:trPr>
          <w:trHeight w:val="249"/>
        </w:trPr>
        <w:tc>
          <w:tcPr>
            <w:tcW w:w="46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Maintenance services</w:t>
            </w:r>
          </w:p>
        </w:tc>
        <w:tc>
          <w:tcPr>
            <w:tcW w:w="14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772</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2,534</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3,306</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2,516</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8,290</w:t>
            </w: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10,806</w:t>
            </w:r>
          </w:p>
        </w:tc>
        <w:tc>
          <w:tcPr>
            <w:tcW w:w="100" w:type="dxa"/>
            <w:vAlign w:val="bottom"/>
            <w:shd w:val="clear" w:color="auto" w:fill="CFF0FC"/>
          </w:tcPr>
          <w:p>
            <w:pPr>
              <w:spacing w:after="0"/>
              <w:rPr>
                <w:sz w:val="21"/>
                <w:szCs w:val="21"/>
                <w:color w:val="auto"/>
              </w:rPr>
            </w:pPr>
          </w:p>
        </w:tc>
      </w:tr>
      <w:tr>
        <w:trPr>
          <w:trHeight w:val="236"/>
        </w:trPr>
        <w:tc>
          <w:tcPr>
            <w:tcW w:w="468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Electric vehicle charging</w:t>
            </w: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2,154</w:t>
            </w:r>
          </w:p>
        </w:tc>
        <w:tc>
          <w:tcPr>
            <w:tcW w:w="24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676</w:t>
            </w:r>
          </w:p>
        </w:tc>
        <w:tc>
          <w:tcPr>
            <w:tcW w:w="24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2,830</w:t>
            </w:r>
          </w:p>
        </w:tc>
        <w:tc>
          <w:tcPr>
            <w:tcW w:w="22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2,154</w:t>
            </w:r>
          </w:p>
        </w:tc>
        <w:tc>
          <w:tcPr>
            <w:tcW w:w="22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676</w:t>
            </w:r>
          </w:p>
        </w:tc>
        <w:tc>
          <w:tcPr>
            <w:tcW w:w="20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2,830</w:t>
            </w:r>
          </w:p>
        </w:tc>
        <w:tc>
          <w:tcPr>
            <w:tcW w:w="100" w:type="dxa"/>
            <w:vAlign w:val="bottom"/>
            <w:tcBorders>
              <w:bottom w:val="single" w:sz="8" w:color="CFF0FC"/>
            </w:tcBorders>
          </w:tcPr>
          <w:p>
            <w:pPr>
              <w:spacing w:after="0"/>
              <w:rPr>
                <w:sz w:val="20"/>
                <w:szCs w:val="20"/>
                <w:color w:val="auto"/>
              </w:rPr>
            </w:pPr>
          </w:p>
        </w:tc>
      </w:tr>
      <w:tr>
        <w:trPr>
          <w:trHeight w:val="236"/>
        </w:trPr>
        <w:tc>
          <w:tcPr>
            <w:tcW w:w="4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revenues from contracts with customers</w:t>
            </w:r>
          </w:p>
        </w:tc>
        <w:tc>
          <w:tcPr>
            <w:tcW w:w="14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14,469</w:t>
            </w:r>
          </w:p>
        </w:tc>
        <w:tc>
          <w:tcPr>
            <w:tcW w:w="2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4,889</w:t>
            </w:r>
          </w:p>
        </w:tc>
        <w:tc>
          <w:tcPr>
            <w:tcW w:w="2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19,358</w:t>
            </w:r>
          </w:p>
        </w:tc>
        <w:tc>
          <w:tcPr>
            <w:tcW w:w="2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40,676</w:t>
            </w:r>
          </w:p>
        </w:tc>
        <w:tc>
          <w:tcPr>
            <w:tcW w:w="2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14,039</w:t>
            </w:r>
          </w:p>
        </w:tc>
        <w:tc>
          <w:tcPr>
            <w:tcW w:w="2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54,715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4680" w:type="dxa"/>
            <w:vAlign w:val="bottom"/>
          </w:tcPr>
          <w:p>
            <w:pPr>
              <w:ind w:left="20"/>
              <w:spacing w:after="0"/>
              <w:rPr>
                <w:sz w:val="20"/>
                <w:szCs w:val="20"/>
                <w:color w:val="auto"/>
              </w:rPr>
            </w:pPr>
            <w:r>
              <w:rPr>
                <w:rFonts w:ascii="Arial" w:cs="Arial" w:eastAsia="Arial" w:hAnsi="Arial"/>
                <w:sz w:val="18"/>
                <w:szCs w:val="18"/>
                <w:color w:val="auto"/>
              </w:rPr>
              <w:t>Revenue accounted for under other guidance</w:t>
            </w: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930</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930</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1,039</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1,039</w:t>
            </w:r>
          </w:p>
        </w:tc>
        <w:tc>
          <w:tcPr>
            <w:tcW w:w="100" w:type="dxa"/>
            <w:vAlign w:val="bottom"/>
          </w:tcPr>
          <w:p>
            <w:pPr>
              <w:spacing w:after="0"/>
              <w:rPr>
                <w:sz w:val="20"/>
                <w:szCs w:val="20"/>
                <w:color w:val="auto"/>
              </w:rPr>
            </w:pPr>
          </w:p>
        </w:tc>
      </w:tr>
      <w:tr>
        <w:trPr>
          <w:trHeight w:val="276"/>
        </w:trPr>
        <w:tc>
          <w:tcPr>
            <w:tcW w:w="4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revenue</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15,399</w:t>
            </w:r>
          </w:p>
        </w:tc>
        <w:tc>
          <w:tcPr>
            <w:tcW w:w="2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4,889</w:t>
            </w:r>
          </w:p>
        </w:tc>
        <w:tc>
          <w:tcPr>
            <w:tcW w:w="24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20,288</w:t>
            </w:r>
          </w:p>
        </w:tc>
        <w:tc>
          <w:tcPr>
            <w:tcW w:w="2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41,715</w:t>
            </w:r>
          </w:p>
        </w:tc>
        <w:tc>
          <w:tcPr>
            <w:tcW w:w="2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14,039</w:t>
            </w:r>
          </w:p>
        </w:tc>
        <w:tc>
          <w:tcPr>
            <w:tcW w:w="20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55,754</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405"/>
        </w:trPr>
        <w:tc>
          <w:tcPr>
            <w:tcW w:w="46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7"/>
          </w:tcPr>
          <w:p>
            <w:pPr>
              <w:jc w:val="center"/>
              <w:ind w:right="53"/>
              <w:spacing w:after="0"/>
              <w:rPr>
                <w:sz w:val="20"/>
                <w:szCs w:val="20"/>
                <w:color w:val="auto"/>
              </w:rPr>
            </w:pPr>
            <w:r>
              <w:rPr>
                <w:rFonts w:ascii="Arial" w:cs="Arial" w:eastAsia="Arial" w:hAnsi="Arial"/>
                <w:sz w:val="14"/>
                <w:szCs w:val="14"/>
                <w:b w:val="1"/>
                <w:bCs w:val="1"/>
                <w:color w:val="auto"/>
                <w:w w:val="93"/>
              </w:rPr>
              <w:t>Three Months Ended December 31, 2021</w:t>
            </w:r>
          </w:p>
        </w:tc>
        <w:tc>
          <w:tcPr>
            <w:tcW w:w="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7"/>
          </w:tcPr>
          <w:p>
            <w:pPr>
              <w:jc w:val="center"/>
              <w:ind w:right="73"/>
              <w:spacing w:after="0"/>
              <w:rPr>
                <w:sz w:val="20"/>
                <w:szCs w:val="20"/>
                <w:color w:val="auto"/>
              </w:rPr>
            </w:pPr>
            <w:r>
              <w:rPr>
                <w:rFonts w:ascii="Arial" w:cs="Arial" w:eastAsia="Arial" w:hAnsi="Arial"/>
                <w:sz w:val="14"/>
                <w:szCs w:val="14"/>
                <w:b w:val="1"/>
                <w:bCs w:val="1"/>
                <w:color w:val="auto"/>
                <w:w w:val="93"/>
              </w:rPr>
              <w:t>Nine Months Ended December 31, 2021</w:t>
            </w:r>
          </w:p>
        </w:tc>
        <w:tc>
          <w:tcPr>
            <w:tcW w:w="100" w:type="dxa"/>
            <w:vAlign w:val="bottom"/>
          </w:tcPr>
          <w:p>
            <w:pPr>
              <w:spacing w:after="0"/>
              <w:rPr>
                <w:sz w:val="24"/>
                <w:szCs w:val="24"/>
                <w:color w:val="auto"/>
              </w:rPr>
            </w:pPr>
          </w:p>
        </w:tc>
      </w:tr>
      <w:tr>
        <w:trPr>
          <w:trHeight w:val="169"/>
        </w:trPr>
        <w:tc>
          <w:tcPr>
            <w:tcW w:w="46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w w:val="98"/>
              </w:rPr>
              <w:t>Product</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86"/>
              </w:rPr>
              <w:t>Services</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w w:val="94"/>
              </w:rPr>
              <w:t>Product</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86"/>
              </w:rPr>
              <w:t>Services</w:t>
            </w: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r>
      <w:tr>
        <w:trPr>
          <w:trHeight w:val="229"/>
        </w:trPr>
        <w:tc>
          <w:tcPr>
            <w:tcW w:w="4680" w:type="dxa"/>
            <w:vAlign w:val="bottom"/>
          </w:tcPr>
          <w:p>
            <w:pPr>
              <w:ind w:left="20"/>
              <w:spacing w:after="0"/>
              <w:rPr>
                <w:sz w:val="20"/>
                <w:szCs w:val="20"/>
                <w:color w:val="auto"/>
              </w:rPr>
            </w:pPr>
            <w:r>
              <w:rPr>
                <w:rFonts w:ascii="Arial" w:cs="Arial" w:eastAsia="Arial" w:hAnsi="Arial"/>
                <w:sz w:val="18"/>
                <w:szCs w:val="18"/>
                <w:color w:val="auto"/>
              </w:rPr>
              <w:t>Revenue from contracts with customers:</w:t>
            </w: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9"/>
        </w:trPr>
        <w:tc>
          <w:tcPr>
            <w:tcW w:w="46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Lighting product and installation</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21,829</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7,699</w:t>
            </w:r>
          </w:p>
        </w:tc>
        <w:tc>
          <w:tcPr>
            <w:tcW w:w="44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29,528</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76,704</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22,665</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99,369</w:t>
            </w:r>
          </w:p>
        </w:tc>
        <w:tc>
          <w:tcPr>
            <w:tcW w:w="100" w:type="dxa"/>
            <w:vAlign w:val="bottom"/>
            <w:shd w:val="clear" w:color="auto" w:fill="CFF0FC"/>
          </w:tcPr>
          <w:p>
            <w:pPr>
              <w:spacing w:after="0"/>
              <w:rPr>
                <w:sz w:val="21"/>
                <w:szCs w:val="21"/>
                <w:color w:val="auto"/>
              </w:rPr>
            </w:pPr>
          </w:p>
        </w:tc>
      </w:tr>
      <w:tr>
        <w:trPr>
          <w:trHeight w:val="236"/>
        </w:trPr>
        <w:tc>
          <w:tcPr>
            <w:tcW w:w="4680" w:type="dxa"/>
            <w:vAlign w:val="bottom"/>
          </w:tcPr>
          <w:p>
            <w:pPr>
              <w:ind w:left="120"/>
              <w:spacing w:after="0"/>
              <w:rPr>
                <w:sz w:val="20"/>
                <w:szCs w:val="20"/>
                <w:color w:val="auto"/>
              </w:rPr>
            </w:pPr>
            <w:r>
              <w:rPr>
                <w:rFonts w:ascii="Arial" w:cs="Arial" w:eastAsia="Arial" w:hAnsi="Arial"/>
                <w:sz w:val="18"/>
                <w:szCs w:val="18"/>
                <w:color w:val="auto"/>
              </w:rPr>
              <w:t>Maintenance services</w:t>
            </w: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200</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812</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1,012</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268</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1,400</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1,668</w:t>
            </w:r>
          </w:p>
        </w:tc>
        <w:tc>
          <w:tcPr>
            <w:tcW w:w="100" w:type="dxa"/>
            <w:vAlign w:val="bottom"/>
          </w:tcPr>
          <w:p>
            <w:pPr>
              <w:spacing w:after="0"/>
              <w:rPr>
                <w:sz w:val="20"/>
                <w:szCs w:val="20"/>
                <w:color w:val="auto"/>
              </w:rPr>
            </w:pPr>
          </w:p>
        </w:tc>
      </w:tr>
      <w:tr>
        <w:trPr>
          <w:trHeight w:val="243"/>
        </w:trPr>
        <w:tc>
          <w:tcPr>
            <w:tcW w:w="468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Solar energy related revenues</w:t>
            </w:r>
          </w:p>
        </w:tc>
        <w:tc>
          <w:tcPr>
            <w:tcW w:w="14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4680" w:type="dxa"/>
            <w:vAlign w:val="bottom"/>
          </w:tcPr>
          <w:p>
            <w:pPr>
              <w:ind w:left="20"/>
              <w:spacing w:after="0"/>
              <w:rPr>
                <w:sz w:val="20"/>
                <w:szCs w:val="20"/>
                <w:color w:val="auto"/>
              </w:rPr>
            </w:pPr>
            <w:r>
              <w:rPr>
                <w:rFonts w:ascii="Arial" w:cs="Arial" w:eastAsia="Arial" w:hAnsi="Arial"/>
                <w:sz w:val="18"/>
                <w:szCs w:val="18"/>
                <w:color w:val="auto"/>
              </w:rPr>
              <w:t>Total revenues from contracts with customers</w:t>
            </w: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22,037</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8,511</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30,548</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77,008</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24,065</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101,073</w:t>
            </w:r>
          </w:p>
        </w:tc>
        <w:tc>
          <w:tcPr>
            <w:tcW w:w="100" w:type="dxa"/>
            <w:vAlign w:val="bottom"/>
          </w:tcPr>
          <w:p>
            <w:pPr>
              <w:spacing w:after="0"/>
              <w:rPr>
                <w:sz w:val="20"/>
                <w:szCs w:val="20"/>
                <w:color w:val="auto"/>
              </w:rPr>
            </w:pPr>
          </w:p>
        </w:tc>
      </w:tr>
      <w:tr>
        <w:trPr>
          <w:trHeight w:val="236"/>
        </w:trPr>
        <w:tc>
          <w:tcPr>
            <w:tcW w:w="4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Revenue accounted for under other guidance</w:t>
            </w:r>
          </w:p>
        </w:tc>
        <w:tc>
          <w:tcPr>
            <w:tcW w:w="14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w:t>
            </w:r>
          </w:p>
        </w:tc>
        <w:tc>
          <w:tcPr>
            <w:tcW w:w="2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w:t>
            </w:r>
          </w:p>
        </w:tc>
        <w:tc>
          <w:tcPr>
            <w:tcW w:w="2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1,252</w:t>
            </w:r>
          </w:p>
        </w:tc>
        <w:tc>
          <w:tcPr>
            <w:tcW w:w="2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1,252</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468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22,203</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8,511</w:t>
            </w:r>
          </w:p>
        </w:tc>
        <w:tc>
          <w:tcPr>
            <w:tcW w:w="4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30,714</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78,260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24,065</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102,325</w:t>
            </w:r>
          </w:p>
        </w:tc>
        <w:tc>
          <w:tcPr>
            <w:tcW w:w="100" w:type="dxa"/>
            <w:vAlign w:val="bottom"/>
          </w:tcPr>
          <w:p>
            <w:pPr>
              <w:spacing w:after="0"/>
              <w:rPr>
                <w:sz w:val="20"/>
                <w:szCs w:val="20"/>
                <w:color w:val="auto"/>
              </w:rPr>
            </w:pPr>
          </w:p>
        </w:tc>
      </w:tr>
      <w:tr>
        <w:trPr>
          <w:trHeight w:val="20"/>
        </w:trPr>
        <w:tc>
          <w:tcPr>
            <w:tcW w:w="4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-2049780</wp:posOffset>
            </wp:positionV>
            <wp:extent cx="7145020" cy="3467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5020" cy="346710"/>
                    </a:xfrm>
                    <a:prstGeom prst="rect">
                      <a:avLst/>
                    </a:prstGeom>
                    <a:noFill/>
                  </pic:spPr>
                </pic:pic>
              </a:graphicData>
            </a:graphic>
          </wp:anchor>
        </w:drawing>
        <w:drawing>
          <wp:anchor simplePos="0" relativeHeight="251657728" behindDoc="1" locked="0" layoutInCell="0" allowOverlap="1">
            <wp:simplePos x="0" y="0"/>
            <wp:positionH relativeFrom="column">
              <wp:posOffset>3532505</wp:posOffset>
            </wp:positionH>
            <wp:positionV relativeFrom="paragraph">
              <wp:posOffset>-1549400</wp:posOffset>
            </wp:positionV>
            <wp:extent cx="3604895" cy="5734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604895" cy="573405"/>
                    </a:xfrm>
                    <a:prstGeom prst="rect">
                      <a:avLst/>
                    </a:prstGeom>
                    <a:noFill/>
                  </pic:spPr>
                </pic:pic>
              </a:graphicData>
            </a:graphic>
          </wp:anchor>
        </w:drawing>
        <w:drawing>
          <wp:anchor simplePos="0" relativeHeight="251657728" behindDoc="1" locked="0" layoutInCell="0" allowOverlap="1">
            <wp:simplePos x="0" y="0"/>
            <wp:positionH relativeFrom="column">
              <wp:posOffset>3532505</wp:posOffset>
            </wp:positionH>
            <wp:positionV relativeFrom="paragraph">
              <wp:posOffset>-513080</wp:posOffset>
            </wp:positionV>
            <wp:extent cx="76835" cy="1714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4251960</wp:posOffset>
            </wp:positionH>
            <wp:positionV relativeFrom="paragraph">
              <wp:posOffset>-513080</wp:posOffset>
            </wp:positionV>
            <wp:extent cx="76835" cy="1714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4988560</wp:posOffset>
            </wp:positionH>
            <wp:positionV relativeFrom="paragraph">
              <wp:posOffset>-513080</wp:posOffset>
            </wp:positionV>
            <wp:extent cx="68580" cy="1714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5673090</wp:posOffset>
            </wp:positionH>
            <wp:positionV relativeFrom="paragraph">
              <wp:posOffset>-513080</wp:posOffset>
            </wp:positionV>
            <wp:extent cx="68580" cy="1714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6358255</wp:posOffset>
            </wp:positionH>
            <wp:positionV relativeFrom="paragraph">
              <wp:posOffset>-513080</wp:posOffset>
            </wp:positionV>
            <wp:extent cx="68580" cy="1714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-513080</wp:posOffset>
            </wp:positionV>
            <wp:extent cx="68580" cy="1714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3532505</wp:posOffset>
            </wp:positionH>
            <wp:positionV relativeFrom="paragraph">
              <wp:posOffset>-187960</wp:posOffset>
            </wp:positionV>
            <wp:extent cx="76835" cy="1885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4251960</wp:posOffset>
            </wp:positionH>
            <wp:positionV relativeFrom="paragraph">
              <wp:posOffset>-187960</wp:posOffset>
            </wp:positionV>
            <wp:extent cx="76835" cy="1885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4988560</wp:posOffset>
            </wp:positionH>
            <wp:positionV relativeFrom="paragraph">
              <wp:posOffset>-187960</wp:posOffset>
            </wp:positionV>
            <wp:extent cx="68580" cy="1885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5673090</wp:posOffset>
            </wp:positionH>
            <wp:positionV relativeFrom="paragraph">
              <wp:posOffset>-187960</wp:posOffset>
            </wp:positionV>
            <wp:extent cx="68580" cy="18859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6358255</wp:posOffset>
            </wp:positionH>
            <wp:positionV relativeFrom="paragraph">
              <wp:posOffset>-187960</wp:posOffset>
            </wp:positionV>
            <wp:extent cx="68580" cy="1885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27" w:lineRule="exact"/>
        <w:rPr>
          <w:sz w:val="20"/>
          <w:szCs w:val="20"/>
          <w:color w:val="auto"/>
        </w:rPr>
      </w:pPr>
    </w:p>
    <w:p>
      <w:pPr>
        <w:jc w:val="both"/>
        <w:ind w:firstLine="469"/>
        <w:spacing w:after="0" w:line="279" w:lineRule="auto"/>
        <w:rPr>
          <w:sz w:val="20"/>
          <w:szCs w:val="20"/>
          <w:color w:val="auto"/>
        </w:rPr>
      </w:pPr>
      <w:r>
        <w:rPr>
          <w:rFonts w:ascii="Arial" w:cs="Arial" w:eastAsia="Arial" w:hAnsi="Arial"/>
          <w:sz w:val="17"/>
          <w:szCs w:val="17"/>
          <w:color w:val="auto"/>
        </w:rPr>
        <w:t>From time to time, Orion sells the receivables from one customer to a financing institution. The was no such activity during the three and nine months ended December 31, 2022. The total amount received from the sales of these receivables during the three and nine months ended December 31, 2021 was $0 and $2.4 million, respectively. Orion’s losses on these sales were $9 thousand and $8 thousand, for the three and nine months ended December 31, 2021, respectively, and are included in Interest expense in the Condensed Consolidated Statement of Operations.</w:t>
      </w:r>
    </w:p>
    <w:p>
      <w:pPr>
        <w:spacing w:after="0" w:line="116"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chart shows the balance of Orion’s receivables arising from contracts with customers, contract assets and contract liabilities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2022 and March 31, 2022 (dollars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jc w:val="right"/>
              <w:ind w:right="297"/>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jc w:val="right"/>
              <w:ind w:right="397"/>
              <w:spacing w:after="0"/>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4"/>
                <w:szCs w:val="14"/>
                <w:color w:val="auto"/>
              </w:rPr>
            </w:pPr>
          </w:p>
        </w:tc>
      </w:tr>
      <w:tr>
        <w:trPr>
          <w:trHeight w:val="185"/>
        </w:trPr>
        <w:tc>
          <w:tcPr>
            <w:tcW w:w="76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r>
      <w:tr>
        <w:trPr>
          <w:trHeight w:val="236"/>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Accounts receivable, net</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13,688</w:t>
            </w:r>
          </w:p>
        </w:tc>
        <w:tc>
          <w:tcPr>
            <w:tcW w:w="28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11,899</w:t>
            </w:r>
          </w:p>
        </w:tc>
        <w:tc>
          <w:tcPr>
            <w:tcW w:w="100" w:type="dxa"/>
            <w:vAlign w:val="bottom"/>
            <w:shd w:val="clear" w:color="auto" w:fill="CFF0FC"/>
          </w:tcPr>
          <w:p>
            <w:pPr>
              <w:spacing w:after="0"/>
              <w:rPr>
                <w:sz w:val="20"/>
                <w:szCs w:val="20"/>
                <w:color w:val="auto"/>
              </w:rPr>
            </w:pPr>
          </w:p>
        </w:tc>
      </w:tr>
      <w:tr>
        <w:trPr>
          <w:trHeight w:val="236"/>
        </w:trPr>
        <w:tc>
          <w:tcPr>
            <w:tcW w:w="7680" w:type="dxa"/>
            <w:vAlign w:val="bottom"/>
          </w:tcPr>
          <w:p>
            <w:pPr>
              <w:ind w:left="20"/>
              <w:spacing w:after="0"/>
              <w:rPr>
                <w:sz w:val="20"/>
                <w:szCs w:val="20"/>
                <w:color w:val="auto"/>
              </w:rPr>
            </w:pPr>
            <w:r>
              <w:rPr>
                <w:rFonts w:ascii="Arial" w:cs="Arial" w:eastAsia="Arial" w:hAnsi="Arial"/>
                <w:sz w:val="18"/>
                <w:szCs w:val="18"/>
                <w:color w:val="auto"/>
              </w:rPr>
              <w:t>Contract assets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2,187</w:t>
            </w:r>
          </w:p>
        </w:tc>
        <w:tc>
          <w:tcPr>
            <w:tcW w:w="5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1,966</w:t>
            </w:r>
          </w:p>
        </w:tc>
        <w:tc>
          <w:tcPr>
            <w:tcW w:w="100" w:type="dxa"/>
            <w:vAlign w:val="bottom"/>
          </w:tcPr>
          <w:p>
            <w:pPr>
              <w:spacing w:after="0"/>
              <w:rPr>
                <w:sz w:val="20"/>
                <w:szCs w:val="20"/>
                <w:color w:val="auto"/>
              </w:rPr>
            </w:pPr>
          </w:p>
        </w:tc>
      </w:tr>
      <w:tr>
        <w:trPr>
          <w:trHeight w:val="249"/>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Contract liabilities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w:t>
            </w:r>
          </w:p>
        </w:tc>
        <w:tc>
          <w:tcPr>
            <w:tcW w:w="56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r>
    </w:tbl>
    <w:p>
      <w:pPr>
        <w:spacing w:after="0" w:line="201" w:lineRule="exact"/>
        <w:rPr>
          <w:sz w:val="20"/>
          <w:szCs w:val="20"/>
          <w:color w:val="auto"/>
        </w:rPr>
      </w:pPr>
    </w:p>
    <w:p>
      <w:pPr>
        <w:jc w:val="both"/>
        <w:ind w:firstLine="464"/>
        <w:spacing w:after="0" w:line="277" w:lineRule="auto"/>
        <w:rPr>
          <w:sz w:val="20"/>
          <w:szCs w:val="20"/>
          <w:color w:val="auto"/>
        </w:rPr>
      </w:pPr>
      <w:r>
        <w:rPr>
          <w:rFonts w:ascii="Arial" w:cs="Arial" w:eastAsia="Arial" w:hAnsi="Arial"/>
          <w:sz w:val="18"/>
          <w:szCs w:val="18"/>
          <w:color w:val="auto"/>
        </w:rPr>
        <w:t>There were no significant changes in the contract assets outside of standard reclassifications to accounts receivable, net upon billing. There were no significant changes to contract liabilities.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NOTE 4 — ACCOUNTS RECEIVABLE, NET</w:t>
      </w:r>
    </w:p>
    <w:p>
      <w:pPr>
        <w:spacing w:after="0" w:line="175" w:lineRule="exact"/>
        <w:rPr>
          <w:sz w:val="20"/>
          <w:szCs w:val="20"/>
          <w:color w:val="auto"/>
        </w:rPr>
      </w:pPr>
    </w:p>
    <w:p>
      <w:pPr>
        <w:ind w:firstLine="469"/>
        <w:spacing w:after="0" w:line="277" w:lineRule="auto"/>
        <w:rPr>
          <w:sz w:val="20"/>
          <w:szCs w:val="20"/>
          <w:color w:val="auto"/>
        </w:rPr>
      </w:pPr>
      <w:r>
        <w:rPr>
          <w:rFonts w:ascii="Arial" w:cs="Arial" w:eastAsia="Arial" w:hAnsi="Arial"/>
          <w:sz w:val="18"/>
          <w:szCs w:val="18"/>
          <w:color w:val="auto"/>
        </w:rPr>
        <w:t>As of December 31, 2022 and March 31, 2022, Orion's accounts receivable and allowance for doubtful accounts balances were as follows (dollars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4"/>
                <w:szCs w:val="14"/>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March 31,</w:t>
            </w:r>
          </w:p>
        </w:tc>
      </w:tr>
      <w:tr>
        <w:trPr>
          <w:trHeight w:val="185"/>
        </w:trPr>
        <w:tc>
          <w:tcPr>
            <w:tcW w:w="76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r>
      <w:tr>
        <w:trPr>
          <w:trHeight w:val="236"/>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Accounts receivable, gross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13,744</w:t>
            </w:r>
          </w:p>
        </w:tc>
        <w:tc>
          <w:tcPr>
            <w:tcW w:w="28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11,907</w:t>
            </w:r>
          </w:p>
        </w:tc>
        <w:tc>
          <w:tcPr>
            <w:tcW w:w="100" w:type="dxa"/>
            <w:vAlign w:val="bottom"/>
            <w:shd w:val="clear" w:color="auto" w:fill="CFF0FC"/>
          </w:tcPr>
          <w:p>
            <w:pPr>
              <w:spacing w:after="0"/>
              <w:rPr>
                <w:sz w:val="20"/>
                <w:szCs w:val="20"/>
                <w:color w:val="auto"/>
              </w:rPr>
            </w:pPr>
          </w:p>
        </w:tc>
      </w:tr>
      <w:tr>
        <w:trPr>
          <w:trHeight w:val="236"/>
        </w:trPr>
        <w:tc>
          <w:tcPr>
            <w:tcW w:w="7680" w:type="dxa"/>
            <w:vAlign w:val="bottom"/>
          </w:tcPr>
          <w:p>
            <w:pPr>
              <w:ind w:left="20"/>
              <w:spacing w:after="0"/>
              <w:rPr>
                <w:sz w:val="20"/>
                <w:szCs w:val="20"/>
                <w:color w:val="auto"/>
              </w:rPr>
            </w:pPr>
            <w:r>
              <w:rPr>
                <w:rFonts w:ascii="Arial" w:cs="Arial" w:eastAsia="Arial" w:hAnsi="Arial"/>
                <w:sz w:val="18"/>
                <w:szCs w:val="18"/>
                <w:color w:val="auto"/>
              </w:rPr>
              <w:t>Allowance for doubtful accounts</w:t>
            </w:r>
          </w:p>
        </w:tc>
        <w:tc>
          <w:tcPr>
            <w:tcW w:w="240" w:type="dxa"/>
            <w:vAlign w:val="bottom"/>
          </w:tcPr>
          <w:p>
            <w:pPr>
              <w:spacing w:after="0"/>
              <w:rPr>
                <w:sz w:val="20"/>
                <w:szCs w:val="20"/>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(56 )</w:t>
            </w:r>
          </w:p>
        </w:tc>
        <w:tc>
          <w:tcPr>
            <w:tcW w:w="280" w:type="dxa"/>
            <w:vAlign w:val="bottom"/>
          </w:tcPr>
          <w:p>
            <w:pPr>
              <w:spacing w:after="0"/>
              <w:rPr>
                <w:sz w:val="20"/>
                <w:szCs w:val="20"/>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(8 )</w:t>
            </w:r>
          </w:p>
        </w:tc>
      </w:tr>
      <w:tr>
        <w:trPr>
          <w:trHeight w:val="276"/>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Accounts receivable, net</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13,688</w:t>
            </w:r>
          </w:p>
        </w:tc>
        <w:tc>
          <w:tcPr>
            <w:tcW w:w="28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11,899</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5887085</wp:posOffset>
            </wp:positionH>
            <wp:positionV relativeFrom="paragraph">
              <wp:posOffset>-24765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-7620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INVENTORIES, NET</w:t>
      </w:r>
    </w:p>
    <w:p>
      <w:pPr>
        <w:spacing w:after="0" w:line="17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As of December 31, 2022 and March 31, 2022, Orion's inventory balances were as follows (dollars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2"/>
          </w:tcPr>
          <w:p>
            <w:pPr>
              <w:jc w:val="center"/>
              <w:ind w:right="330"/>
              <w:spacing w:after="0"/>
              <w:rPr>
                <w:sz w:val="20"/>
                <w:szCs w:val="20"/>
                <w:color w:val="auto"/>
              </w:rPr>
            </w:pPr>
            <w:r>
              <w:rPr>
                <w:rFonts w:ascii="Arial" w:cs="Arial" w:eastAsia="Arial" w:hAnsi="Arial"/>
                <w:sz w:val="14"/>
                <w:szCs w:val="14"/>
                <w:b w:val="1"/>
                <w:bCs w:val="1"/>
                <w:color w:val="auto"/>
                <w:w w:val="88"/>
              </w:rPr>
              <w:t>Excess and</w:t>
            </w: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58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Cost</w:t>
            </w: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gridSpan w:val="2"/>
          </w:tcPr>
          <w:p>
            <w:pPr>
              <w:jc w:val="center"/>
              <w:ind w:right="350"/>
              <w:spacing w:after="0" w:line="149" w:lineRule="exact"/>
              <w:rPr>
                <w:sz w:val="20"/>
                <w:szCs w:val="20"/>
                <w:color w:val="auto"/>
              </w:rPr>
            </w:pPr>
            <w:r>
              <w:rPr>
                <w:rFonts w:ascii="Arial" w:cs="Arial" w:eastAsia="Arial" w:hAnsi="Arial"/>
                <w:sz w:val="14"/>
                <w:szCs w:val="14"/>
                <w:b w:val="1"/>
                <w:bCs w:val="1"/>
                <w:color w:val="auto"/>
                <w:w w:val="86"/>
              </w:rPr>
              <w:t>Obsolescence</w:t>
            </w:r>
          </w:p>
        </w:tc>
        <w:tc>
          <w:tcPr>
            <w:tcW w:w="320" w:type="dxa"/>
            <w:vAlign w:val="bottom"/>
          </w:tcPr>
          <w:p>
            <w:pPr>
              <w:spacing w:after="0"/>
              <w:rPr>
                <w:sz w:val="12"/>
                <w:szCs w:val="12"/>
                <w:color w:val="auto"/>
              </w:rPr>
            </w:pPr>
          </w:p>
        </w:tc>
        <w:tc>
          <w:tcPr>
            <w:tcW w:w="1020" w:type="dxa"/>
            <w:vAlign w:val="bottom"/>
            <w:vMerge w:val="restart"/>
          </w:tcPr>
          <w:p>
            <w:pPr>
              <w:jc w:val="right"/>
              <w:ind w:right="472"/>
              <w:spacing w:after="0"/>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65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gridSpan w:val="2"/>
          </w:tcPr>
          <w:p>
            <w:pPr>
              <w:jc w:val="center"/>
              <w:ind w:right="330"/>
              <w:spacing w:after="0"/>
              <w:rPr>
                <w:sz w:val="20"/>
                <w:szCs w:val="20"/>
                <w:color w:val="auto"/>
              </w:rPr>
            </w:pPr>
            <w:r>
              <w:rPr>
                <w:rFonts w:ascii="Arial" w:cs="Arial" w:eastAsia="Arial" w:hAnsi="Arial"/>
                <w:sz w:val="14"/>
                <w:szCs w:val="14"/>
                <w:b w:val="1"/>
                <w:bCs w:val="1"/>
                <w:color w:val="auto"/>
                <w:w w:val="88"/>
              </w:rPr>
              <w:t>Reserve</w:t>
            </w:r>
          </w:p>
        </w:tc>
        <w:tc>
          <w:tcPr>
            <w:tcW w:w="32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As of December 31, 2022</w:t>
            </w:r>
          </w:p>
        </w:tc>
        <w:tc>
          <w:tcPr>
            <w:tcW w:w="840" w:type="dxa"/>
            <w:vAlign w:val="bottom"/>
            <w:tcBorders>
              <w:top w:val="single" w:sz="8" w:color="auto"/>
            </w:tcBorders>
            <w:shd w:val="clear" w:color="auto" w:fill="CFF0FC"/>
          </w:tcPr>
          <w:p>
            <w:pPr>
              <w:spacing w:after="0"/>
              <w:rPr>
                <w:sz w:val="20"/>
                <w:szCs w:val="20"/>
                <w:color w:val="auto"/>
              </w:rPr>
            </w:pPr>
          </w:p>
        </w:tc>
        <w:tc>
          <w:tcPr>
            <w:tcW w:w="52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580" w:type="dxa"/>
            <w:vAlign w:val="bottom"/>
          </w:tcPr>
          <w:p>
            <w:pPr>
              <w:ind w:left="200"/>
              <w:spacing w:after="0"/>
              <w:rPr>
                <w:sz w:val="20"/>
                <w:szCs w:val="20"/>
                <w:color w:val="auto"/>
              </w:rPr>
            </w:pPr>
            <w:r>
              <w:rPr>
                <w:rFonts w:ascii="Arial" w:cs="Arial" w:eastAsia="Arial" w:hAnsi="Arial"/>
                <w:sz w:val="18"/>
                <w:szCs w:val="18"/>
                <w:color w:val="auto"/>
              </w:rPr>
              <w:t>Raw materials and components</w:t>
            </w:r>
          </w:p>
        </w:tc>
        <w:tc>
          <w:tcPr>
            <w:tcW w:w="840" w:type="dxa"/>
            <w:vAlign w:val="bottom"/>
          </w:tcPr>
          <w:p>
            <w:pPr>
              <w:jc w:val="right"/>
              <w:ind w:right="654"/>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7"/>
              </w:rPr>
              <w:t>10,456</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90"/>
              <w:spacing w:after="0"/>
              <w:rPr>
                <w:sz w:val="20"/>
                <w:szCs w:val="20"/>
                <w:color w:val="auto"/>
              </w:rPr>
            </w:pPr>
            <w:r>
              <w:rPr>
                <w:rFonts w:ascii="Arial" w:cs="Arial" w:eastAsia="Arial" w:hAnsi="Arial"/>
                <w:sz w:val="18"/>
                <w:szCs w:val="18"/>
                <w:color w:val="auto"/>
              </w:rPr>
              <w:t>(943 )</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9,513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5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Work in process</w:t>
            </w:r>
          </w:p>
        </w:tc>
        <w:tc>
          <w:tcPr>
            <w:tcW w:w="84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1,128</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(131 )</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580" w:type="dxa"/>
            <w:vAlign w:val="bottom"/>
          </w:tcPr>
          <w:p>
            <w:pPr>
              <w:ind w:left="200"/>
              <w:spacing w:after="0"/>
              <w:rPr>
                <w:sz w:val="20"/>
                <w:szCs w:val="20"/>
                <w:color w:val="auto"/>
              </w:rPr>
            </w:pPr>
            <w:r>
              <w:rPr>
                <w:rFonts w:ascii="Arial" w:cs="Arial" w:eastAsia="Arial" w:hAnsi="Arial"/>
                <w:sz w:val="18"/>
                <w:szCs w:val="18"/>
                <w:color w:val="auto"/>
              </w:rPr>
              <w:t>Finished goods</w:t>
            </w:r>
          </w:p>
        </w:tc>
        <w:tc>
          <w:tcPr>
            <w:tcW w:w="8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9,377</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jc w:val="right"/>
              <w:ind w:right="90"/>
              <w:spacing w:after="0"/>
              <w:rPr>
                <w:sz w:val="20"/>
                <w:szCs w:val="20"/>
                <w:color w:val="auto"/>
              </w:rPr>
            </w:pPr>
            <w:r>
              <w:rPr>
                <w:rFonts w:ascii="Arial" w:cs="Arial" w:eastAsia="Arial" w:hAnsi="Arial"/>
                <w:sz w:val="18"/>
                <w:szCs w:val="18"/>
                <w:color w:val="auto"/>
              </w:rPr>
              <w:t>(582 )</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8,795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658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w:t>
            </w:r>
          </w:p>
        </w:tc>
        <w:tc>
          <w:tcPr>
            <w:tcW w:w="840" w:type="dxa"/>
            <w:vAlign w:val="bottom"/>
            <w:tcBorders>
              <w:top w:val="single" w:sz="8" w:color="auto"/>
              <w:bottom w:val="single" w:sz="8" w:color="auto"/>
            </w:tcBorders>
            <w:shd w:val="clear" w:color="auto" w:fill="CFF0FC"/>
          </w:tcPr>
          <w:p>
            <w:pPr>
              <w:jc w:val="right"/>
              <w:ind w:right="654"/>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20,961</w:t>
            </w:r>
          </w:p>
        </w:tc>
        <w:tc>
          <w:tcPr>
            <w:tcW w:w="26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(1,656</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19,305</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5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As of March 31, 2022</w:t>
            </w:r>
          </w:p>
        </w:tc>
        <w:tc>
          <w:tcPr>
            <w:tcW w:w="84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580" w:type="dxa"/>
            <w:vAlign w:val="bottom"/>
          </w:tcPr>
          <w:p>
            <w:pPr>
              <w:ind w:left="200"/>
              <w:spacing w:after="0"/>
              <w:rPr>
                <w:sz w:val="20"/>
                <w:szCs w:val="20"/>
                <w:color w:val="auto"/>
              </w:rPr>
            </w:pPr>
            <w:r>
              <w:rPr>
                <w:rFonts w:ascii="Arial" w:cs="Arial" w:eastAsia="Arial" w:hAnsi="Arial"/>
                <w:sz w:val="18"/>
                <w:szCs w:val="18"/>
                <w:color w:val="auto"/>
              </w:rPr>
              <w:t>Raw materials and components</w:t>
            </w:r>
          </w:p>
        </w:tc>
        <w:tc>
          <w:tcPr>
            <w:tcW w:w="840" w:type="dxa"/>
            <w:vAlign w:val="bottom"/>
          </w:tcPr>
          <w:p>
            <w:pPr>
              <w:jc w:val="right"/>
              <w:ind w:right="654"/>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7"/>
              </w:rPr>
              <w:t>10,781</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90"/>
              <w:spacing w:after="0"/>
              <w:rPr>
                <w:sz w:val="20"/>
                <w:szCs w:val="20"/>
                <w:color w:val="auto"/>
              </w:rPr>
            </w:pPr>
            <w:r>
              <w:rPr>
                <w:rFonts w:ascii="Arial" w:cs="Arial" w:eastAsia="Arial" w:hAnsi="Arial"/>
                <w:sz w:val="18"/>
                <w:szCs w:val="18"/>
                <w:color w:val="auto"/>
              </w:rPr>
              <w:t>(1,140 )</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9,641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5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Work in process</w:t>
            </w:r>
          </w:p>
        </w:tc>
        <w:tc>
          <w:tcPr>
            <w:tcW w:w="84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1,529</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(267 )</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580" w:type="dxa"/>
            <w:vAlign w:val="bottom"/>
          </w:tcPr>
          <w:p>
            <w:pPr>
              <w:ind w:left="200"/>
              <w:spacing w:after="0"/>
              <w:rPr>
                <w:sz w:val="20"/>
                <w:szCs w:val="20"/>
                <w:color w:val="auto"/>
              </w:rPr>
            </w:pPr>
            <w:r>
              <w:rPr>
                <w:rFonts w:ascii="Arial" w:cs="Arial" w:eastAsia="Arial" w:hAnsi="Arial"/>
                <w:sz w:val="18"/>
                <w:szCs w:val="18"/>
                <w:color w:val="auto"/>
              </w:rPr>
              <w:t>Finished goods</w:t>
            </w:r>
          </w:p>
        </w:tc>
        <w:tc>
          <w:tcPr>
            <w:tcW w:w="8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9,593</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jc w:val="right"/>
              <w:ind w:right="90"/>
              <w:spacing w:after="0"/>
              <w:rPr>
                <w:sz w:val="20"/>
                <w:szCs w:val="20"/>
                <w:color w:val="auto"/>
              </w:rPr>
            </w:pPr>
            <w:r>
              <w:rPr>
                <w:rFonts w:ascii="Arial" w:cs="Arial" w:eastAsia="Arial" w:hAnsi="Arial"/>
                <w:sz w:val="18"/>
                <w:szCs w:val="18"/>
                <w:color w:val="auto"/>
              </w:rPr>
              <w:t>(664 )</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8,929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658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w:t>
            </w:r>
          </w:p>
        </w:tc>
        <w:tc>
          <w:tcPr>
            <w:tcW w:w="840" w:type="dxa"/>
            <w:vAlign w:val="bottom"/>
            <w:tcBorders>
              <w:top w:val="single" w:sz="8" w:color="auto"/>
              <w:bottom w:val="single" w:sz="8" w:color="auto"/>
            </w:tcBorders>
            <w:shd w:val="clear" w:color="auto" w:fill="CFF0FC"/>
          </w:tcPr>
          <w:p>
            <w:pPr>
              <w:jc w:val="right"/>
              <w:ind w:right="654"/>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21,903</w:t>
            </w:r>
          </w:p>
        </w:tc>
        <w:tc>
          <w:tcPr>
            <w:tcW w:w="26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(2,071</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19,832</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5039995</wp:posOffset>
            </wp:positionH>
            <wp:positionV relativeFrom="paragraph">
              <wp:posOffset>-984250</wp:posOffset>
            </wp:positionV>
            <wp:extent cx="2098040" cy="1797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098040" cy="179705"/>
                    </a:xfrm>
                    <a:prstGeom prst="rect">
                      <a:avLst/>
                    </a:prstGeom>
                    <a:noFill/>
                  </pic:spPr>
                </pic:pic>
              </a:graphicData>
            </a:graphic>
          </wp:anchor>
        </w:drawing>
        <w:drawing>
          <wp:anchor simplePos="0" relativeHeight="251657728" behindDoc="1" locked="0" layoutInCell="0" allowOverlap="1">
            <wp:simplePos x="0" y="0"/>
            <wp:positionH relativeFrom="column">
              <wp:posOffset>5039995</wp:posOffset>
            </wp:positionH>
            <wp:positionV relativeFrom="paragraph">
              <wp:posOffset>-24765</wp:posOffset>
            </wp:positionV>
            <wp:extent cx="7683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5039995</wp:posOffset>
            </wp:positionH>
            <wp:positionV relativeFrom="paragraph">
              <wp:posOffset>-7620</wp:posOffset>
            </wp:positionV>
            <wp:extent cx="7683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-24765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-7620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PREPAID EXPENSES AND OTHER CURRENT ASSETS</w:t>
      </w:r>
    </w:p>
    <w:p>
      <w:pPr>
        <w:spacing w:after="0" w:line="21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As of December 31, 2022 and March 31, 2022, prepaid expenses and other current assets include the following (dollars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jc w:val="right"/>
              <w:ind w:right="297"/>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jc w:val="right"/>
              <w:ind w:right="397"/>
              <w:spacing w:after="0"/>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4"/>
                <w:szCs w:val="14"/>
                <w:color w:val="auto"/>
              </w:rPr>
            </w:pPr>
          </w:p>
        </w:tc>
      </w:tr>
      <w:tr>
        <w:trPr>
          <w:trHeight w:val="185"/>
        </w:trPr>
        <w:tc>
          <w:tcPr>
            <w:tcW w:w="362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r>
      <w:tr>
        <w:trPr>
          <w:trHeight w:val="236"/>
        </w:trPr>
        <w:tc>
          <w:tcPr>
            <w:tcW w:w="3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Payroll tax credit</w:t>
            </w:r>
          </w:p>
        </w:tc>
        <w:tc>
          <w:tcPr>
            <w:tcW w:w="406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1,587</w:t>
            </w:r>
          </w:p>
        </w:tc>
        <w:tc>
          <w:tcPr>
            <w:tcW w:w="28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1,587</w:t>
            </w:r>
          </w:p>
        </w:tc>
        <w:tc>
          <w:tcPr>
            <w:tcW w:w="100" w:type="dxa"/>
            <w:vAlign w:val="bottom"/>
            <w:shd w:val="clear" w:color="auto" w:fill="CFF0FC"/>
          </w:tcPr>
          <w:p>
            <w:pPr>
              <w:spacing w:after="0"/>
              <w:rPr>
                <w:sz w:val="20"/>
                <w:szCs w:val="20"/>
                <w:color w:val="auto"/>
              </w:rPr>
            </w:pPr>
          </w:p>
        </w:tc>
      </w:tr>
      <w:tr>
        <w:trPr>
          <w:trHeight w:val="236"/>
        </w:trPr>
        <w:tc>
          <w:tcPr>
            <w:tcW w:w="3620" w:type="dxa"/>
            <w:vAlign w:val="bottom"/>
          </w:tcPr>
          <w:p>
            <w:pPr>
              <w:ind w:left="20"/>
              <w:spacing w:after="0"/>
              <w:rPr>
                <w:sz w:val="20"/>
                <w:szCs w:val="20"/>
                <w:color w:val="auto"/>
              </w:rPr>
            </w:pPr>
            <w:r>
              <w:rPr>
                <w:rFonts w:ascii="Arial" w:cs="Arial" w:eastAsia="Arial" w:hAnsi="Arial"/>
                <w:sz w:val="18"/>
                <w:szCs w:val="18"/>
                <w:color w:val="auto"/>
              </w:rPr>
              <w:t>Other prepaid expenses</w:t>
            </w:r>
          </w:p>
        </w:tc>
        <w:tc>
          <w:tcPr>
            <w:tcW w:w="40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w:t>
            </w:r>
          </w:p>
        </w:tc>
        <w:tc>
          <w:tcPr>
            <w:tcW w:w="2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1,044</w:t>
            </w:r>
          </w:p>
        </w:tc>
        <w:tc>
          <w:tcPr>
            <w:tcW w:w="100" w:type="dxa"/>
            <w:vAlign w:val="bottom"/>
          </w:tcPr>
          <w:p>
            <w:pPr>
              <w:spacing w:after="0"/>
              <w:rPr>
                <w:sz w:val="20"/>
                <w:szCs w:val="20"/>
                <w:color w:val="auto"/>
              </w:rPr>
            </w:pPr>
          </w:p>
        </w:tc>
      </w:tr>
      <w:tr>
        <w:trPr>
          <w:trHeight w:val="276"/>
        </w:trPr>
        <w:tc>
          <w:tcPr>
            <w:tcW w:w="36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Total</w:t>
            </w:r>
          </w:p>
        </w:tc>
        <w:tc>
          <w:tcPr>
            <w:tcW w:w="406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2,347</w:t>
            </w:r>
          </w:p>
        </w:tc>
        <w:tc>
          <w:tcPr>
            <w:tcW w:w="28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2,631</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634"/>
        </w:trPr>
        <w:tc>
          <w:tcPr>
            <w:tcW w:w="3620" w:type="dxa"/>
            <w:vAlign w:val="bottom"/>
          </w:tcPr>
          <w:p>
            <w:pPr>
              <w:spacing w:after="0"/>
              <w:rPr>
                <w:sz w:val="24"/>
                <w:szCs w:val="24"/>
                <w:color w:val="auto"/>
              </w:rPr>
            </w:pPr>
          </w:p>
        </w:tc>
        <w:tc>
          <w:tcPr>
            <w:tcW w:w="4060" w:type="dxa"/>
            <w:vAlign w:val="bottom"/>
          </w:tcPr>
          <w:p>
            <w:pPr>
              <w:jc w:val="right"/>
              <w:ind w:right="1870"/>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3620" w:type="dxa"/>
            <w:vAlign w:val="bottom"/>
            <w:tcBorders>
              <w:bottom w:val="single" w:sz="8" w:color="9A9A9A"/>
            </w:tcBorders>
          </w:tcPr>
          <w:p>
            <w:pPr>
              <w:spacing w:after="0"/>
              <w:rPr>
                <w:sz w:val="9"/>
                <w:szCs w:val="9"/>
                <w:color w:val="auto"/>
              </w:rPr>
            </w:pPr>
          </w:p>
        </w:tc>
        <w:tc>
          <w:tcPr>
            <w:tcW w:w="40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5887085</wp:posOffset>
            </wp:positionH>
            <wp:positionV relativeFrom="paragraph">
              <wp:posOffset>-521970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-504825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-521970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28"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NOTE 7 — PROPERTY AND EQUIPMENT, NET</w:t>
      </w:r>
    </w:p>
    <w:p>
      <w:pPr>
        <w:spacing w:after="0" w:line="17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As of December 31, 2022 and March 31, 2022, property and equipment, net, included the following (dollars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December 31,</w:t>
            </w:r>
          </w:p>
        </w:tc>
        <w:tc>
          <w:tcPr>
            <w:tcW w:w="300" w:type="dxa"/>
            <w:vAlign w:val="bottom"/>
          </w:tcPr>
          <w:p>
            <w:pPr>
              <w:spacing w:after="0"/>
              <w:rPr>
                <w:sz w:val="14"/>
                <w:szCs w:val="14"/>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March 31,</w:t>
            </w:r>
          </w:p>
        </w:tc>
      </w:tr>
      <w:tr>
        <w:trPr>
          <w:trHeight w:val="185"/>
        </w:trPr>
        <w:tc>
          <w:tcPr>
            <w:tcW w:w="77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r>
      <w:tr>
        <w:trPr>
          <w:trHeight w:val="236"/>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Land and land improvements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433</w:t>
            </w: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433</w:t>
            </w:r>
          </w:p>
        </w:tc>
        <w:tc>
          <w:tcPr>
            <w:tcW w:w="100" w:type="dxa"/>
            <w:vAlign w:val="bottom"/>
            <w:shd w:val="clear" w:color="auto" w:fill="CFF0FC"/>
          </w:tcPr>
          <w:p>
            <w:pPr>
              <w:spacing w:after="0"/>
              <w:rPr>
                <w:sz w:val="20"/>
                <w:szCs w:val="20"/>
                <w:color w:val="auto"/>
              </w:rPr>
            </w:pPr>
          </w:p>
        </w:tc>
      </w:tr>
      <w:tr>
        <w:trPr>
          <w:trHeight w:val="236"/>
        </w:trPr>
        <w:tc>
          <w:tcPr>
            <w:tcW w:w="7700" w:type="dxa"/>
            <w:vAlign w:val="bottom"/>
          </w:tcPr>
          <w:p>
            <w:pPr>
              <w:ind w:left="20"/>
              <w:spacing w:after="0"/>
              <w:rPr>
                <w:sz w:val="20"/>
                <w:szCs w:val="20"/>
                <w:color w:val="auto"/>
              </w:rPr>
            </w:pPr>
            <w:r>
              <w:rPr>
                <w:rFonts w:ascii="Arial" w:cs="Arial" w:eastAsia="Arial" w:hAnsi="Arial"/>
                <w:sz w:val="18"/>
                <w:szCs w:val="18"/>
                <w:color w:val="auto"/>
              </w:rPr>
              <w:t>Buildings and building improvements</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9,491</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9,491</w:t>
            </w:r>
          </w:p>
        </w:tc>
        <w:tc>
          <w:tcPr>
            <w:tcW w:w="100" w:type="dxa"/>
            <w:vAlign w:val="bottom"/>
          </w:tcPr>
          <w:p>
            <w:pPr>
              <w:spacing w:after="0"/>
              <w:rPr>
                <w:sz w:val="20"/>
                <w:szCs w:val="20"/>
                <w:color w:val="auto"/>
              </w:rPr>
            </w:pPr>
          </w:p>
        </w:tc>
      </w:tr>
      <w:tr>
        <w:trPr>
          <w:trHeight w:val="249"/>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Furniture, fixtures and office equipment</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7,772</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7,650</w:t>
            </w:r>
          </w:p>
        </w:tc>
        <w:tc>
          <w:tcPr>
            <w:tcW w:w="100" w:type="dxa"/>
            <w:vAlign w:val="bottom"/>
            <w:shd w:val="clear" w:color="auto" w:fill="CFF0FC"/>
          </w:tcPr>
          <w:p>
            <w:pPr>
              <w:spacing w:after="0"/>
              <w:rPr>
                <w:sz w:val="21"/>
                <w:szCs w:val="21"/>
                <w:color w:val="auto"/>
              </w:rPr>
            </w:pPr>
          </w:p>
        </w:tc>
      </w:tr>
      <w:tr>
        <w:trPr>
          <w:trHeight w:val="236"/>
        </w:trPr>
        <w:tc>
          <w:tcPr>
            <w:tcW w:w="770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540</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20"/>
                <w:szCs w:val="20"/>
                <w:color w:val="auto"/>
              </w:rPr>
            </w:pPr>
          </w:p>
        </w:tc>
      </w:tr>
      <w:tr>
        <w:trPr>
          <w:trHeight w:val="249"/>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Equipment leased to customers</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4,997</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4,997</w:t>
            </w:r>
          </w:p>
        </w:tc>
        <w:tc>
          <w:tcPr>
            <w:tcW w:w="100" w:type="dxa"/>
            <w:vAlign w:val="bottom"/>
            <w:shd w:val="clear" w:color="auto" w:fill="CFF0FC"/>
          </w:tcPr>
          <w:p>
            <w:pPr>
              <w:spacing w:after="0"/>
              <w:rPr>
                <w:sz w:val="21"/>
                <w:szCs w:val="21"/>
                <w:color w:val="auto"/>
              </w:rPr>
            </w:pPr>
          </w:p>
        </w:tc>
      </w:tr>
      <w:tr>
        <w:trPr>
          <w:trHeight w:val="236"/>
        </w:trPr>
        <w:tc>
          <w:tcPr>
            <w:tcW w:w="7700" w:type="dxa"/>
            <w:vAlign w:val="bottom"/>
          </w:tcPr>
          <w:p>
            <w:pPr>
              <w:ind w:left="20"/>
              <w:spacing w:after="0"/>
              <w:rPr>
                <w:sz w:val="20"/>
                <w:szCs w:val="20"/>
                <w:color w:val="auto"/>
              </w:rPr>
            </w:pPr>
            <w:r>
              <w:rPr>
                <w:rFonts w:ascii="Arial" w:cs="Arial" w:eastAsia="Arial" w:hAnsi="Arial"/>
                <w:sz w:val="18"/>
                <w:szCs w:val="18"/>
                <w:color w:val="auto"/>
              </w:rPr>
              <w:t>Plant equipment</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11,212</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11,130</w:t>
            </w:r>
          </w:p>
        </w:tc>
        <w:tc>
          <w:tcPr>
            <w:tcW w:w="100" w:type="dxa"/>
            <w:vAlign w:val="bottom"/>
          </w:tcPr>
          <w:p>
            <w:pPr>
              <w:spacing w:after="0"/>
              <w:rPr>
                <w:sz w:val="20"/>
                <w:szCs w:val="20"/>
                <w:color w:val="auto"/>
              </w:rPr>
            </w:pPr>
          </w:p>
        </w:tc>
      </w:tr>
      <w:tr>
        <w:trPr>
          <w:trHeight w:val="249"/>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Vehicles</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617</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796</w:t>
            </w:r>
          </w:p>
        </w:tc>
        <w:tc>
          <w:tcPr>
            <w:tcW w:w="100" w:type="dxa"/>
            <w:vAlign w:val="bottom"/>
            <w:shd w:val="clear" w:color="auto" w:fill="CFF0FC"/>
          </w:tcPr>
          <w:p>
            <w:pPr>
              <w:spacing w:after="0"/>
              <w:rPr>
                <w:sz w:val="21"/>
                <w:szCs w:val="21"/>
                <w:color w:val="auto"/>
              </w:rPr>
            </w:pPr>
          </w:p>
        </w:tc>
      </w:tr>
      <w:tr>
        <w:trPr>
          <w:trHeight w:val="236"/>
        </w:trPr>
        <w:tc>
          <w:tcPr>
            <w:tcW w:w="7700" w:type="dxa"/>
            <w:vAlign w:val="bottom"/>
          </w:tcPr>
          <w:p>
            <w:pPr>
              <w:ind w:left="20"/>
              <w:spacing w:after="0"/>
              <w:rPr>
                <w:sz w:val="20"/>
                <w:szCs w:val="20"/>
                <w:color w:val="auto"/>
              </w:rPr>
            </w:pPr>
            <w:r>
              <w:rPr>
                <w:rFonts w:ascii="Arial" w:cs="Arial" w:eastAsia="Arial" w:hAnsi="Arial"/>
                <w:sz w:val="18"/>
                <w:szCs w:val="18"/>
                <w:color w:val="auto"/>
              </w:rPr>
              <w:t>Construction in Progress</w:t>
            </w: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r>
      <w:tr>
        <w:trPr>
          <w:trHeight w:val="242"/>
        </w:trPr>
        <w:tc>
          <w:tcPr>
            <w:tcW w:w="77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Gross property and equipment</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35,064</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34,990</w:t>
            </w:r>
          </w:p>
        </w:tc>
        <w:tc>
          <w:tcPr>
            <w:tcW w:w="100" w:type="dxa"/>
            <w:vAlign w:val="bottom"/>
            <w:shd w:val="clear" w:color="auto" w:fill="CFF0FC"/>
          </w:tcPr>
          <w:p>
            <w:pPr>
              <w:spacing w:after="0"/>
              <w:rPr>
                <w:sz w:val="21"/>
                <w:szCs w:val="21"/>
                <w:color w:val="auto"/>
              </w:rPr>
            </w:pPr>
          </w:p>
        </w:tc>
      </w:tr>
      <w:tr>
        <w:trPr>
          <w:trHeight w:val="236"/>
        </w:trPr>
        <w:tc>
          <w:tcPr>
            <w:tcW w:w="7700" w:type="dxa"/>
            <w:vAlign w:val="bottom"/>
          </w:tcPr>
          <w:p>
            <w:pPr>
              <w:ind w:left="20"/>
              <w:spacing w:after="0"/>
              <w:rPr>
                <w:sz w:val="20"/>
                <w:szCs w:val="20"/>
                <w:color w:val="auto"/>
              </w:rPr>
            </w:pPr>
            <w:r>
              <w:rPr>
                <w:rFonts w:ascii="Arial" w:cs="Arial" w:eastAsia="Arial" w:hAnsi="Arial"/>
                <w:sz w:val="18"/>
                <w:szCs w:val="18"/>
                <w:color w:val="auto"/>
              </w:rPr>
              <w:t>Less: accumulated depreciation</w:t>
            </w:r>
          </w:p>
        </w:tc>
        <w:tc>
          <w:tcPr>
            <w:tcW w:w="240" w:type="dxa"/>
            <w:vAlign w:val="bottom"/>
          </w:tcPr>
          <w:p>
            <w:pPr>
              <w:spacing w:after="0"/>
              <w:rPr>
                <w:sz w:val="20"/>
                <w:szCs w:val="20"/>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(24,385 )</w:t>
            </w:r>
          </w:p>
        </w:tc>
        <w:tc>
          <w:tcPr>
            <w:tcW w:w="300" w:type="dxa"/>
            <w:vAlign w:val="bottom"/>
          </w:tcPr>
          <w:p>
            <w:pPr>
              <w:spacing w:after="0"/>
              <w:rPr>
                <w:sz w:val="20"/>
                <w:szCs w:val="20"/>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(23,524 )</w:t>
            </w:r>
          </w:p>
        </w:tc>
      </w:tr>
      <w:tr>
        <w:trPr>
          <w:trHeight w:val="276"/>
        </w:trPr>
        <w:tc>
          <w:tcPr>
            <w:tcW w:w="77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Total property and equipment, net</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10,679</w:t>
            </w:r>
          </w:p>
        </w:tc>
        <w:tc>
          <w:tcPr>
            <w:tcW w:w="28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11,466</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5895975</wp:posOffset>
            </wp:positionH>
            <wp:positionV relativeFrom="paragraph">
              <wp:posOffset>-24765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-7620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1" w:lineRule="exact"/>
        <w:rPr>
          <w:sz w:val="20"/>
          <w:szCs w:val="20"/>
          <w:color w:val="auto"/>
        </w:rPr>
      </w:pPr>
    </w:p>
    <w:p>
      <w:pPr>
        <w:ind w:right="80" w:firstLine="464"/>
        <w:spacing w:after="0" w:line="256" w:lineRule="auto"/>
        <w:rPr>
          <w:sz w:val="20"/>
          <w:szCs w:val="20"/>
          <w:color w:val="auto"/>
        </w:rPr>
      </w:pPr>
      <w:r>
        <w:rPr>
          <w:rFonts w:ascii="Arial" w:cs="Arial" w:eastAsia="Arial" w:hAnsi="Arial"/>
          <w:sz w:val="18"/>
          <w:szCs w:val="18"/>
          <w:color w:val="auto"/>
        </w:rPr>
        <w:t>As of December 31, 2022, due to a change in Orion's forecast, a triggering event occurred requiring Orion to evaluate the long-lived assets in its enterprise asset group for impairment. The enterprise asset group includes the corporate assets that support the revenue producing activities of other asset groups. Orion performed the recoverability test for the asset group by comparing its carrying value to the group’s expected future undiscounted cash flows. Orion concluded that the undiscounted cash flows of the long-lived asset group exceeded its carrying value. As such the asset group was deemed recoverable and no impairment was recorded.</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LEASES</w:t>
      </w:r>
    </w:p>
    <w:p>
      <w:pPr>
        <w:spacing w:after="0" w:line="17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From time to time, Orion leases assets from third parties. Orion also leases certain assets to third parties.</w:t>
      </w:r>
    </w:p>
    <w:p>
      <w:pPr>
        <w:spacing w:after="0" w:line="171" w:lineRule="exact"/>
        <w:rPr>
          <w:sz w:val="20"/>
          <w:szCs w:val="20"/>
          <w:color w:val="auto"/>
        </w:rPr>
      </w:pPr>
    </w:p>
    <w:p>
      <w:pPr>
        <w:jc w:val="both"/>
        <w:ind w:firstLine="464"/>
        <w:spacing w:after="0" w:line="311" w:lineRule="auto"/>
        <w:rPr>
          <w:sz w:val="20"/>
          <w:szCs w:val="20"/>
          <w:color w:val="auto"/>
        </w:rPr>
      </w:pPr>
      <w:r>
        <w:rPr>
          <w:rFonts w:ascii="Arial" w:cs="Arial" w:eastAsia="Arial" w:hAnsi="Arial"/>
          <w:sz w:val="16"/>
          <w:szCs w:val="16"/>
          <w:color w:val="auto"/>
        </w:rPr>
        <w:t>Orion accounts for leases in accordance with ASC 842. Under ASC 842, both finance and operating lease ROU assets and lease liabilities for leases with initial terms in excess of 12 months are recognized at the commencement date based on the present value of lease payments over the lease term. Orion recognizes lease expense for leases with an initial term of 12 months or less, referred to as short term leases, on a straight-line basis over the lease term.</w:t>
      </w:r>
    </w:p>
    <w:p>
      <w:pPr>
        <w:spacing w:after="0" w:line="9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 summary of Orion’s assets leased from third parties follows (dollars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480" w:type="dxa"/>
            <w:vAlign w:val="bottom"/>
          </w:tcPr>
          <w:p>
            <w:pPr>
              <w:spacing w:after="0"/>
              <w:rPr>
                <w:sz w:val="16"/>
                <w:szCs w:val="16"/>
                <w:color w:val="auto"/>
              </w:rPr>
            </w:pPr>
          </w:p>
        </w:tc>
        <w:tc>
          <w:tcPr>
            <w:tcW w:w="3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Balance sheet classification</w:t>
            </w: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w w:val="99"/>
              </w:rPr>
              <w:t>December 31, 2022</w:t>
            </w:r>
          </w:p>
        </w:tc>
        <w:tc>
          <w:tcPr>
            <w:tcW w:w="3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March 31, 2022</w:t>
            </w:r>
          </w:p>
        </w:tc>
        <w:tc>
          <w:tcPr>
            <w:tcW w:w="100" w:type="dxa"/>
            <w:vAlign w:val="bottom"/>
          </w:tcPr>
          <w:p>
            <w:pPr>
              <w:spacing w:after="0"/>
              <w:rPr>
                <w:sz w:val="16"/>
                <w:szCs w:val="16"/>
                <w:color w:val="auto"/>
              </w:rPr>
            </w:pPr>
          </w:p>
        </w:tc>
      </w:tr>
      <w:tr>
        <w:trPr>
          <w:trHeight w:val="236"/>
        </w:trPr>
        <w:tc>
          <w:tcPr>
            <w:tcW w:w="34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33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6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6"/>
        </w:trPr>
        <w:tc>
          <w:tcPr>
            <w:tcW w:w="3480" w:type="dxa"/>
            <w:vAlign w:val="bottom"/>
          </w:tcPr>
          <w:p>
            <w:pPr>
              <w:ind w:left="20"/>
              <w:spacing w:after="0"/>
              <w:rPr>
                <w:sz w:val="20"/>
                <w:szCs w:val="20"/>
                <w:color w:val="auto"/>
              </w:rPr>
            </w:pPr>
            <w:r>
              <w:rPr>
                <w:rFonts w:ascii="Arial" w:cs="Arial" w:eastAsia="Arial" w:hAnsi="Arial"/>
                <w:sz w:val="18"/>
                <w:szCs w:val="18"/>
                <w:color w:val="auto"/>
              </w:rPr>
              <w:t>Operating lease assets</w:t>
            </w:r>
          </w:p>
        </w:tc>
        <w:tc>
          <w:tcPr>
            <w:tcW w:w="3360" w:type="dxa"/>
            <w:vAlign w:val="bottom"/>
          </w:tcPr>
          <w:p>
            <w:pPr>
              <w:spacing w:after="0"/>
              <w:rPr>
                <w:sz w:val="20"/>
                <w:szCs w:val="20"/>
                <w:color w:val="auto"/>
              </w:rPr>
            </w:pPr>
            <w:r>
              <w:rPr>
                <w:rFonts w:ascii="Arial" w:cs="Arial" w:eastAsia="Arial" w:hAnsi="Arial"/>
                <w:sz w:val="18"/>
                <w:szCs w:val="18"/>
                <w:color w:val="auto"/>
              </w:rPr>
              <w:t>Other long-term assets</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2,366</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2,440</w:t>
            </w:r>
          </w:p>
        </w:tc>
        <w:tc>
          <w:tcPr>
            <w:tcW w:w="100" w:type="dxa"/>
            <w:vAlign w:val="bottom"/>
          </w:tcPr>
          <w:p>
            <w:pPr>
              <w:spacing w:after="0"/>
              <w:rPr>
                <w:sz w:val="20"/>
                <w:szCs w:val="20"/>
                <w:color w:val="auto"/>
              </w:rPr>
            </w:pPr>
          </w:p>
        </w:tc>
      </w:tr>
      <w:tr>
        <w:trPr>
          <w:trHeight w:val="249"/>
        </w:trPr>
        <w:tc>
          <w:tcPr>
            <w:tcW w:w="34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Liabilities</w:t>
            </w:r>
          </w:p>
        </w:tc>
        <w:tc>
          <w:tcPr>
            <w:tcW w:w="33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6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348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3480" w:type="dxa"/>
            <w:vAlign w:val="bottom"/>
            <w:shd w:val="clear" w:color="auto" w:fill="CFF0FC"/>
          </w:tcPr>
          <w:p>
            <w:pPr>
              <w:jc w:val="center"/>
              <w:ind w:right="1150"/>
              <w:spacing w:after="0"/>
              <w:rPr>
                <w:sz w:val="20"/>
                <w:szCs w:val="20"/>
                <w:color w:val="auto"/>
              </w:rPr>
            </w:pPr>
            <w:r>
              <w:rPr>
                <w:rFonts w:ascii="Arial" w:cs="Arial" w:eastAsia="Arial" w:hAnsi="Arial"/>
                <w:sz w:val="18"/>
                <w:szCs w:val="18"/>
                <w:color w:val="auto"/>
                <w:w w:val="91"/>
              </w:rPr>
              <w:t>Operating lease liabilities</w:t>
            </w:r>
          </w:p>
        </w:tc>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Accrued expenses and other</w:t>
            </w:r>
          </w:p>
        </w:tc>
        <w:tc>
          <w:tcPr>
            <w:tcW w:w="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830</w:t>
            </w:r>
          </w:p>
        </w:tc>
        <w:tc>
          <w:tcPr>
            <w:tcW w:w="6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768</w:t>
            </w:r>
          </w:p>
        </w:tc>
        <w:tc>
          <w:tcPr>
            <w:tcW w:w="100" w:type="dxa"/>
            <w:vAlign w:val="bottom"/>
            <w:shd w:val="clear" w:color="auto" w:fill="CFF0FC"/>
          </w:tcPr>
          <w:p>
            <w:pPr>
              <w:spacing w:after="0"/>
              <w:rPr>
                <w:sz w:val="21"/>
                <w:szCs w:val="21"/>
                <w:color w:val="auto"/>
              </w:rPr>
            </w:pPr>
          </w:p>
        </w:tc>
      </w:tr>
      <w:tr>
        <w:trPr>
          <w:trHeight w:val="236"/>
        </w:trPr>
        <w:tc>
          <w:tcPr>
            <w:tcW w:w="3480" w:type="dxa"/>
            <w:vAlign w:val="bottom"/>
          </w:tcPr>
          <w:p>
            <w:pPr>
              <w:ind w:left="20"/>
              <w:spacing w:after="0"/>
              <w:rPr>
                <w:sz w:val="20"/>
                <w:szCs w:val="20"/>
                <w:color w:val="auto"/>
              </w:rPr>
            </w:pPr>
            <w:r>
              <w:rPr>
                <w:rFonts w:ascii="Arial" w:cs="Arial" w:eastAsia="Arial" w:hAnsi="Arial"/>
                <w:sz w:val="18"/>
                <w:szCs w:val="18"/>
                <w:color w:val="auto"/>
              </w:rPr>
              <w:t>Non-current liabilities</w:t>
            </w:r>
          </w:p>
        </w:tc>
        <w:tc>
          <w:tcPr>
            <w:tcW w:w="3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3480" w:type="dxa"/>
            <w:vAlign w:val="bottom"/>
            <w:tcBorders>
              <w:bottom w:val="single" w:sz="8" w:color="CFF0FC"/>
            </w:tcBorders>
            <w:shd w:val="clear" w:color="auto" w:fill="CFF0FC"/>
          </w:tcPr>
          <w:p>
            <w:pPr>
              <w:jc w:val="center"/>
              <w:ind w:right="1150"/>
              <w:spacing w:after="0"/>
              <w:rPr>
                <w:sz w:val="20"/>
                <w:szCs w:val="20"/>
                <w:color w:val="auto"/>
              </w:rPr>
            </w:pPr>
            <w:r>
              <w:rPr>
                <w:rFonts w:ascii="Arial" w:cs="Arial" w:eastAsia="Arial" w:hAnsi="Arial"/>
                <w:sz w:val="18"/>
                <w:szCs w:val="18"/>
                <w:color w:val="auto"/>
                <w:w w:val="91"/>
              </w:rPr>
              <w:t>Operating lease liabilities</w:t>
            </w:r>
          </w:p>
        </w:tc>
        <w:tc>
          <w:tcPr>
            <w:tcW w:w="3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Other long-term liabilities</w:t>
            </w:r>
          </w:p>
        </w:tc>
        <w:tc>
          <w:tcPr>
            <w:tcW w:w="2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2,038</w:t>
            </w:r>
          </w:p>
        </w:tc>
        <w:tc>
          <w:tcPr>
            <w:tcW w:w="3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0"/>
        </w:trPr>
        <w:tc>
          <w:tcPr>
            <w:tcW w:w="3480" w:type="dxa"/>
            <w:vAlign w:val="bottom"/>
          </w:tcPr>
          <w:p>
            <w:pPr>
              <w:jc w:val="center"/>
              <w:ind w:right="1150"/>
              <w:spacing w:after="0"/>
              <w:rPr>
                <w:sz w:val="20"/>
                <w:szCs w:val="20"/>
                <w:color w:val="auto"/>
              </w:rPr>
            </w:pPr>
            <w:r>
              <w:rPr>
                <w:rFonts w:ascii="Arial" w:cs="Arial" w:eastAsia="Arial" w:hAnsi="Arial"/>
                <w:sz w:val="18"/>
                <w:szCs w:val="18"/>
                <w:color w:val="auto"/>
                <w:w w:val="91"/>
              </w:rPr>
              <w:t>Total lease liabilities</w:t>
            </w:r>
          </w:p>
        </w:tc>
        <w:tc>
          <w:tcPr>
            <w:tcW w:w="3360" w:type="dxa"/>
            <w:vAlign w:val="bottom"/>
          </w:tcPr>
          <w:p>
            <w:pPr>
              <w:spacing w:after="0"/>
              <w:rPr>
                <w:sz w:val="19"/>
                <w:szCs w:val="19"/>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2,868</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3,039</w:t>
            </w:r>
          </w:p>
        </w:tc>
        <w:tc>
          <w:tcPr>
            <w:tcW w:w="100" w:type="dxa"/>
            <w:vAlign w:val="bottom"/>
          </w:tcPr>
          <w:p>
            <w:pPr>
              <w:spacing w:after="0"/>
              <w:rPr>
                <w:sz w:val="19"/>
                <w:szCs w:val="19"/>
                <w:color w:val="auto"/>
              </w:rPr>
            </w:pPr>
          </w:p>
        </w:tc>
      </w:tr>
      <w:tr>
        <w:trPr>
          <w:trHeight w:val="20"/>
        </w:trPr>
        <w:tc>
          <w:tcPr>
            <w:tcW w:w="34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5673090</wp:posOffset>
            </wp:positionH>
            <wp:positionV relativeFrom="paragraph">
              <wp:posOffset>-187960</wp:posOffset>
            </wp:positionV>
            <wp:extent cx="68580" cy="18859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81" w:lineRule="exact"/>
        <w:rPr>
          <w:sz w:val="20"/>
          <w:szCs w:val="20"/>
          <w:color w:val="auto"/>
        </w:rPr>
      </w:pPr>
    </w:p>
    <w:p>
      <w:pPr>
        <w:jc w:val="both"/>
        <w:ind w:right="20" w:firstLine="469"/>
        <w:spacing w:after="0" w:line="277" w:lineRule="auto"/>
        <w:rPr>
          <w:sz w:val="20"/>
          <w:szCs w:val="20"/>
          <w:color w:val="auto"/>
        </w:rPr>
      </w:pPr>
      <w:r>
        <w:rPr>
          <w:rFonts w:ascii="Arial" w:cs="Arial" w:eastAsia="Arial" w:hAnsi="Arial"/>
          <w:sz w:val="18"/>
          <w:szCs w:val="18"/>
          <w:color w:val="auto"/>
        </w:rPr>
        <w:t>Orion had operating lease costs of $0.4 million and $1.2 million for the three and nine months ended December 31, 2022. Orion had operating lease costs of $0.2 million and $0.7 million for the three and nine months ended December 31, 2021.</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3"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0"/>
        </w:trPr>
        <w:tc>
          <w:tcPr>
            <w:tcW w:w="9220" w:type="dxa"/>
            <w:vAlign w:val="bottom"/>
          </w:tcPr>
          <w:p>
            <w:pPr>
              <w:ind w:left="480"/>
              <w:spacing w:after="0"/>
              <w:rPr>
                <w:sz w:val="20"/>
                <w:szCs w:val="20"/>
                <w:color w:val="auto"/>
              </w:rPr>
            </w:pPr>
            <w:r>
              <w:rPr>
                <w:rFonts w:ascii="Arial" w:cs="Arial" w:eastAsia="Arial" w:hAnsi="Arial"/>
                <w:sz w:val="18"/>
                <w:szCs w:val="18"/>
                <w:color w:val="auto"/>
                <w:w w:val="99"/>
              </w:rPr>
              <w:t>The estimated maturity of lease liabilities for each of the next five years is shown below (dollars in thousands):</w:t>
            </w:r>
          </w:p>
        </w:tc>
        <w:tc>
          <w:tcPr>
            <w:tcW w:w="1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2"/>
        </w:trPr>
        <w:tc>
          <w:tcPr>
            <w:tcW w:w="9220" w:type="dxa"/>
            <w:vAlign w:val="bottom"/>
          </w:tcPr>
          <w:p>
            <w:pPr>
              <w:ind w:left="20"/>
              <w:spacing w:after="0"/>
              <w:rPr>
                <w:sz w:val="20"/>
                <w:szCs w:val="20"/>
                <w:color w:val="auto"/>
              </w:rPr>
            </w:pPr>
            <w:r>
              <w:rPr>
                <w:rFonts w:ascii="Arial" w:cs="Arial" w:eastAsia="Arial" w:hAnsi="Arial"/>
                <w:sz w:val="18"/>
                <w:szCs w:val="18"/>
                <w:b w:val="1"/>
                <w:bCs w:val="1"/>
                <w:color w:val="auto"/>
              </w:rPr>
              <w:t>Maturity of Lease Liabilities</w:t>
            </w:r>
          </w:p>
        </w:tc>
        <w:tc>
          <w:tcPr>
            <w:tcW w:w="1420" w:type="dxa"/>
            <w:vAlign w:val="bottom"/>
          </w:tcPr>
          <w:p>
            <w:pPr>
              <w:ind w:left="20"/>
              <w:spacing w:after="0"/>
              <w:rPr>
                <w:sz w:val="20"/>
                <w:szCs w:val="20"/>
                <w:color w:val="auto"/>
              </w:rPr>
            </w:pPr>
            <w:r>
              <w:rPr>
                <w:rFonts w:ascii="Arial" w:cs="Arial" w:eastAsia="Arial" w:hAnsi="Arial"/>
                <w:sz w:val="18"/>
                <w:szCs w:val="18"/>
                <w:b w:val="1"/>
                <w:bCs w:val="1"/>
                <w:color w:val="auto"/>
                <w:w w:val="91"/>
              </w:rPr>
              <w:t>Operating Leases</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9"/>
        </w:trPr>
        <w:tc>
          <w:tcPr>
            <w:tcW w:w="9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Fiscal 2023</w:t>
            </w:r>
          </w:p>
        </w:tc>
        <w:tc>
          <w:tcPr>
            <w:tcW w:w="142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w:t>
            </w:r>
          </w:p>
        </w:tc>
        <w:tc>
          <w:tcPr>
            <w:tcW w:w="100" w:type="dxa"/>
            <w:vAlign w:val="bottom"/>
            <w:shd w:val="clear" w:color="auto" w:fill="CFF0FC"/>
          </w:tcPr>
          <w:p>
            <w:pPr>
              <w:spacing w:after="0"/>
              <w:rPr>
                <w:sz w:val="21"/>
                <w:szCs w:val="21"/>
                <w:color w:val="auto"/>
              </w:rPr>
            </w:pPr>
          </w:p>
        </w:tc>
      </w:tr>
      <w:tr>
        <w:trPr>
          <w:trHeight w:val="236"/>
        </w:trPr>
        <w:tc>
          <w:tcPr>
            <w:tcW w:w="9220" w:type="dxa"/>
            <w:vAlign w:val="bottom"/>
          </w:tcPr>
          <w:p>
            <w:pPr>
              <w:ind w:left="20"/>
              <w:spacing w:after="0"/>
              <w:rPr>
                <w:sz w:val="20"/>
                <w:szCs w:val="20"/>
                <w:color w:val="auto"/>
              </w:rPr>
            </w:pPr>
            <w:r>
              <w:rPr>
                <w:rFonts w:ascii="Arial" w:cs="Arial" w:eastAsia="Arial" w:hAnsi="Arial"/>
                <w:sz w:val="18"/>
                <w:szCs w:val="18"/>
                <w:color w:val="auto"/>
              </w:rPr>
              <w:t>Fiscal 2024</w:t>
            </w:r>
          </w:p>
        </w:tc>
        <w:tc>
          <w:tcPr>
            <w:tcW w:w="14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957</w:t>
            </w:r>
          </w:p>
        </w:tc>
        <w:tc>
          <w:tcPr>
            <w:tcW w:w="100" w:type="dxa"/>
            <w:vAlign w:val="bottom"/>
          </w:tcPr>
          <w:p>
            <w:pPr>
              <w:spacing w:after="0"/>
              <w:rPr>
                <w:sz w:val="20"/>
                <w:szCs w:val="20"/>
                <w:color w:val="auto"/>
              </w:rPr>
            </w:pPr>
          </w:p>
        </w:tc>
      </w:tr>
      <w:tr>
        <w:trPr>
          <w:trHeight w:val="249"/>
        </w:trPr>
        <w:tc>
          <w:tcPr>
            <w:tcW w:w="9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Fiscal 2025</w:t>
            </w:r>
          </w:p>
        </w:tc>
        <w:tc>
          <w:tcPr>
            <w:tcW w:w="1420" w:type="dxa"/>
            <w:vAlign w:val="bottom"/>
            <w:shd w:val="clear" w:color="auto" w:fill="CFF0FC"/>
          </w:tcPr>
          <w:p>
            <w:pPr>
              <w:spacing w:after="0"/>
              <w:rPr>
                <w:sz w:val="21"/>
                <w:szCs w:val="2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949</w:t>
            </w:r>
          </w:p>
        </w:tc>
        <w:tc>
          <w:tcPr>
            <w:tcW w:w="100" w:type="dxa"/>
            <w:vAlign w:val="bottom"/>
            <w:shd w:val="clear" w:color="auto" w:fill="CFF0FC"/>
          </w:tcPr>
          <w:p>
            <w:pPr>
              <w:spacing w:after="0"/>
              <w:rPr>
                <w:sz w:val="21"/>
                <w:szCs w:val="21"/>
                <w:color w:val="auto"/>
              </w:rPr>
            </w:pPr>
          </w:p>
        </w:tc>
      </w:tr>
      <w:tr>
        <w:trPr>
          <w:trHeight w:val="236"/>
        </w:trPr>
        <w:tc>
          <w:tcPr>
            <w:tcW w:w="9220" w:type="dxa"/>
            <w:vAlign w:val="bottom"/>
          </w:tcPr>
          <w:p>
            <w:pPr>
              <w:ind w:left="20"/>
              <w:spacing w:after="0"/>
              <w:rPr>
                <w:sz w:val="20"/>
                <w:szCs w:val="20"/>
                <w:color w:val="auto"/>
              </w:rPr>
            </w:pPr>
            <w:r>
              <w:rPr>
                <w:rFonts w:ascii="Arial" w:cs="Arial" w:eastAsia="Arial" w:hAnsi="Arial"/>
                <w:sz w:val="18"/>
                <w:szCs w:val="18"/>
                <w:color w:val="auto"/>
              </w:rPr>
              <w:t>Fiscal 2026</w:t>
            </w:r>
          </w:p>
        </w:tc>
        <w:tc>
          <w:tcPr>
            <w:tcW w:w="14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845</w:t>
            </w:r>
          </w:p>
        </w:tc>
        <w:tc>
          <w:tcPr>
            <w:tcW w:w="100" w:type="dxa"/>
            <w:vAlign w:val="bottom"/>
          </w:tcPr>
          <w:p>
            <w:pPr>
              <w:spacing w:after="0"/>
              <w:rPr>
                <w:sz w:val="20"/>
                <w:szCs w:val="20"/>
                <w:color w:val="auto"/>
              </w:rPr>
            </w:pPr>
          </w:p>
        </w:tc>
      </w:tr>
      <w:tr>
        <w:trPr>
          <w:trHeight w:val="249"/>
        </w:trPr>
        <w:tc>
          <w:tcPr>
            <w:tcW w:w="9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Fiscal 2027</w:t>
            </w:r>
          </w:p>
        </w:tc>
        <w:tc>
          <w:tcPr>
            <w:tcW w:w="1420" w:type="dxa"/>
            <w:vAlign w:val="bottom"/>
            <w:tcBorders>
              <w:bottom w:val="single" w:sz="8" w:color="auto"/>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FF0FC"/>
          </w:tcPr>
          <w:p>
            <w:pPr>
              <w:spacing w:after="0"/>
              <w:rPr>
                <w:sz w:val="21"/>
                <w:szCs w:val="21"/>
                <w:color w:val="auto"/>
              </w:rPr>
            </w:pPr>
          </w:p>
        </w:tc>
      </w:tr>
      <w:tr>
        <w:trPr>
          <w:trHeight w:val="230"/>
        </w:trPr>
        <w:tc>
          <w:tcPr>
            <w:tcW w:w="9220" w:type="dxa"/>
            <w:vAlign w:val="bottom"/>
          </w:tcPr>
          <w:p>
            <w:pPr>
              <w:ind w:left="20"/>
              <w:spacing w:after="0"/>
              <w:rPr>
                <w:sz w:val="20"/>
                <w:szCs w:val="20"/>
                <w:color w:val="auto"/>
              </w:rPr>
            </w:pPr>
            <w:r>
              <w:rPr>
                <w:rFonts w:ascii="Arial" w:cs="Arial" w:eastAsia="Arial" w:hAnsi="Arial"/>
                <w:sz w:val="18"/>
                <w:szCs w:val="18"/>
                <w:color w:val="auto"/>
              </w:rPr>
              <w:t>Total lease payments</w:t>
            </w:r>
          </w:p>
        </w:tc>
        <w:tc>
          <w:tcPr>
            <w:tcW w:w="1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3,148</w:t>
            </w:r>
          </w:p>
        </w:tc>
        <w:tc>
          <w:tcPr>
            <w:tcW w:w="100" w:type="dxa"/>
            <w:vAlign w:val="bottom"/>
          </w:tcPr>
          <w:p>
            <w:pPr>
              <w:spacing w:after="0"/>
              <w:rPr>
                <w:sz w:val="19"/>
                <w:szCs w:val="19"/>
                <w:color w:val="auto"/>
              </w:rPr>
            </w:pPr>
          </w:p>
        </w:tc>
      </w:tr>
      <w:tr>
        <w:trPr>
          <w:trHeight w:val="236"/>
        </w:trPr>
        <w:tc>
          <w:tcPr>
            <w:tcW w:w="92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Less: Interest</w:t>
            </w:r>
          </w:p>
        </w:tc>
        <w:tc>
          <w:tcPr>
            <w:tcW w:w="1420" w:type="dxa"/>
            <w:vAlign w:val="bottom"/>
            <w:tcBorders>
              <w:bottom w:val="single" w:sz="8" w:color="auto"/>
            </w:tcBorders>
            <w:shd w:val="clear" w:color="auto" w:fill="CFF0FC"/>
          </w:tcPr>
          <w:p>
            <w:pPr>
              <w:spacing w:after="0"/>
              <w:rPr>
                <w:sz w:val="20"/>
                <w:szCs w:val="20"/>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6"/>
        </w:trPr>
        <w:tc>
          <w:tcPr>
            <w:tcW w:w="9220" w:type="dxa"/>
            <w:vAlign w:val="bottom"/>
          </w:tcPr>
          <w:p>
            <w:pPr>
              <w:ind w:left="20"/>
              <w:spacing w:after="0"/>
              <w:rPr>
                <w:sz w:val="20"/>
                <w:szCs w:val="20"/>
                <w:color w:val="auto"/>
              </w:rPr>
            </w:pPr>
            <w:r>
              <w:rPr>
                <w:rFonts w:ascii="Arial" w:cs="Arial" w:eastAsia="Arial" w:hAnsi="Arial"/>
                <w:sz w:val="18"/>
                <w:szCs w:val="18"/>
                <w:color w:val="auto"/>
              </w:rPr>
              <w:t>Present value of lease liabilities</w:t>
            </w:r>
          </w:p>
        </w:tc>
        <w:tc>
          <w:tcPr>
            <w:tcW w:w="1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2,868</w:t>
            </w:r>
          </w:p>
        </w:tc>
        <w:tc>
          <w:tcPr>
            <w:tcW w:w="100" w:type="dxa"/>
            <w:vAlign w:val="bottom"/>
          </w:tcPr>
          <w:p>
            <w:pPr>
              <w:spacing w:after="0"/>
              <w:rPr>
                <w:sz w:val="20"/>
                <w:szCs w:val="20"/>
                <w:color w:val="auto"/>
              </w:rPr>
            </w:pPr>
          </w:p>
        </w:tc>
      </w:tr>
      <w:tr>
        <w:trPr>
          <w:trHeight w:val="20"/>
        </w:trPr>
        <w:tc>
          <w:tcPr>
            <w:tcW w:w="92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7056120</wp:posOffset>
            </wp:positionH>
            <wp:positionV relativeFrom="paragraph">
              <wp:posOffset>-525780</wp:posOffset>
            </wp:positionV>
            <wp:extent cx="93980" cy="1968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Orion Leases to Other Parties</w:t>
      </w:r>
    </w:p>
    <w:p>
      <w:pPr>
        <w:spacing w:after="0" w:line="171" w:lineRule="exact"/>
        <w:rPr>
          <w:sz w:val="20"/>
          <w:szCs w:val="20"/>
          <w:color w:val="auto"/>
        </w:rPr>
      </w:pPr>
    </w:p>
    <w:p>
      <w:pPr>
        <w:jc w:val="both"/>
        <w:ind w:firstLine="464"/>
        <w:spacing w:after="0" w:line="273" w:lineRule="auto"/>
        <w:rPr>
          <w:sz w:val="20"/>
          <w:szCs w:val="20"/>
          <w:color w:val="auto"/>
        </w:rPr>
      </w:pPr>
      <w:r>
        <w:rPr>
          <w:rFonts w:ascii="Arial" w:cs="Arial" w:eastAsia="Arial" w:hAnsi="Arial"/>
          <w:sz w:val="17"/>
          <w:szCs w:val="17"/>
          <w:color w:val="auto"/>
        </w:rPr>
        <w:t>One of Orion’s frequent customers purchases products and installation services under agreements that provide for monthly payments, at a fixed monthly amount, of the contract price, plus interest, typically over a five-year period. While Orion retains ownership of the light fixtures during the financing period, the transaction terms and the underlying economics associated with used lighting fixtures results in Orion essentially ceding ownership of the lighting fixtures to the customer after completion of the agreement. The portions of the transaction associated with the sale of the light fixtures is accounted for as a sales-type lease under ASC 842. The total transaction price in these contracts is allocated between the lease and non-lease components in the same manner as the total transaction price of other turnkey projects containing lighting fixtures and installation services.</w:t>
      </w:r>
    </w:p>
    <w:p>
      <w:pPr>
        <w:spacing w:after="0" w:line="122" w:lineRule="exact"/>
        <w:rPr>
          <w:sz w:val="20"/>
          <w:szCs w:val="20"/>
          <w:color w:val="auto"/>
        </w:rPr>
      </w:pPr>
    </w:p>
    <w:p>
      <w:pPr>
        <w:jc w:val="both"/>
        <w:ind w:right="20" w:firstLine="464"/>
        <w:spacing w:after="0" w:line="277" w:lineRule="auto"/>
        <w:rPr>
          <w:sz w:val="20"/>
          <w:szCs w:val="20"/>
          <w:color w:val="auto"/>
        </w:rPr>
      </w:pPr>
      <w:r>
        <w:rPr>
          <w:rFonts w:ascii="Arial" w:cs="Arial" w:eastAsia="Arial" w:hAnsi="Arial"/>
          <w:sz w:val="18"/>
          <w:szCs w:val="18"/>
          <w:color w:val="auto"/>
        </w:rPr>
        <w:t>Revenues, and production and acquisition costs, associated with sales-type leases are included in Product revenue and Costs of product revenues in the Condensed Consolidated Statement of Operations.</w:t>
      </w:r>
    </w:p>
    <w:p>
      <w:pPr>
        <w:spacing w:after="0" w:line="116" w:lineRule="exact"/>
        <w:rPr>
          <w:sz w:val="20"/>
          <w:szCs w:val="20"/>
          <w:color w:val="auto"/>
        </w:rPr>
      </w:pPr>
    </w:p>
    <w:p>
      <w:pPr>
        <w:jc w:val="both"/>
        <w:ind w:firstLine="464"/>
        <w:spacing w:after="0" w:line="277" w:lineRule="auto"/>
        <w:rPr>
          <w:sz w:val="20"/>
          <w:szCs w:val="20"/>
          <w:color w:val="auto"/>
        </w:rPr>
      </w:pPr>
      <w:r>
        <w:rPr>
          <w:rFonts w:ascii="Arial" w:cs="Arial" w:eastAsia="Arial" w:hAnsi="Arial"/>
          <w:sz w:val="18"/>
          <w:szCs w:val="18"/>
          <w:color w:val="auto"/>
        </w:rPr>
        <w:t>The following chart shows the amount of revenue and cost of sales arising from sales-type leases during the three and nine months ended December 31, 2022 and December 31, 2021 (dollars in thousands):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460" w:type="dxa"/>
            <w:vAlign w:val="bottom"/>
          </w:tcPr>
          <w:p>
            <w:pPr>
              <w:spacing w:after="0"/>
              <w:rPr>
                <w:sz w:val="16"/>
                <w:szCs w:val="16"/>
                <w:color w:val="auto"/>
              </w:rPr>
            </w:pPr>
          </w:p>
        </w:tc>
        <w:tc>
          <w:tcPr>
            <w:tcW w:w="284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4"/>
                <w:szCs w:val="14"/>
                <w:b w:val="1"/>
                <w:bCs w:val="1"/>
                <w:color w:val="auto"/>
              </w:rPr>
              <w:t>Three Months Ended December 31,</w:t>
            </w:r>
          </w:p>
        </w:tc>
        <w:tc>
          <w:tcPr>
            <w:tcW w:w="40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456"/>
              <w:spacing w:after="0"/>
              <w:rPr>
                <w:sz w:val="20"/>
                <w:szCs w:val="20"/>
                <w:color w:val="auto"/>
              </w:rPr>
            </w:pPr>
            <w:r>
              <w:rPr>
                <w:rFonts w:ascii="Arial" w:cs="Arial" w:eastAsia="Arial" w:hAnsi="Arial"/>
                <w:sz w:val="14"/>
                <w:szCs w:val="14"/>
                <w:b w:val="1"/>
                <w:bCs w:val="1"/>
                <w:color w:val="auto"/>
              </w:rPr>
              <w:t>Nine Months Ended December 31,</w:t>
            </w:r>
          </w:p>
        </w:tc>
        <w:tc>
          <w:tcPr>
            <w:tcW w:w="100" w:type="dxa"/>
            <w:vAlign w:val="bottom"/>
          </w:tcPr>
          <w:p>
            <w:pPr>
              <w:spacing w:after="0"/>
              <w:rPr>
                <w:sz w:val="16"/>
                <w:szCs w:val="16"/>
                <w:color w:val="auto"/>
              </w:rPr>
            </w:pPr>
          </w:p>
        </w:tc>
      </w:tr>
      <w:tr>
        <w:trPr>
          <w:trHeight w:val="169"/>
        </w:trPr>
        <w:tc>
          <w:tcPr>
            <w:tcW w:w="4460" w:type="dxa"/>
            <w:vAlign w:val="bottom"/>
          </w:tcPr>
          <w:p>
            <w:pPr>
              <w:spacing w:after="0"/>
              <w:rPr>
                <w:sz w:val="14"/>
                <w:szCs w:val="14"/>
                <w:color w:val="auto"/>
              </w:rPr>
            </w:pPr>
          </w:p>
        </w:tc>
        <w:tc>
          <w:tcPr>
            <w:tcW w:w="1040" w:type="dxa"/>
            <w:vAlign w:val="bottom"/>
          </w:tcPr>
          <w:p>
            <w:pPr>
              <w:jc w:val="right"/>
              <w:ind w:right="82"/>
              <w:spacing w:after="0"/>
              <w:rPr>
                <w:sz w:val="20"/>
                <w:szCs w:val="20"/>
                <w:color w:val="auto"/>
              </w:rPr>
            </w:pPr>
            <w:r>
              <w:rPr>
                <w:rFonts w:ascii="Arial" w:cs="Arial" w:eastAsia="Arial" w:hAnsi="Arial"/>
                <w:sz w:val="14"/>
                <w:szCs w:val="14"/>
                <w:b w:val="1"/>
                <w:bCs w:val="1"/>
                <w:color w:val="auto"/>
              </w:rPr>
              <w:t>2022</w:t>
            </w:r>
          </w:p>
        </w:tc>
        <w:tc>
          <w:tcPr>
            <w:tcW w:w="420" w:type="dxa"/>
            <w:vAlign w:val="bottom"/>
          </w:tcPr>
          <w:p>
            <w:pPr>
              <w:spacing w:after="0"/>
              <w:rPr>
                <w:sz w:val="14"/>
                <w:szCs w:val="14"/>
                <w:color w:val="auto"/>
              </w:rPr>
            </w:pPr>
          </w:p>
        </w:tc>
        <w:tc>
          <w:tcPr>
            <w:tcW w:w="138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2021</w:t>
            </w: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jc w:val="right"/>
              <w:ind w:right="499"/>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ind w:right="51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36"/>
        </w:trPr>
        <w:tc>
          <w:tcPr>
            <w:tcW w:w="4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Product revenue</w:t>
            </w:r>
          </w:p>
        </w:tc>
        <w:tc>
          <w:tcPr>
            <w:tcW w:w="1040" w:type="dxa"/>
            <w:vAlign w:val="bottom"/>
            <w:tcBorders>
              <w:top w:val="single" w:sz="8" w:color="auto"/>
            </w:tcBorders>
            <w:shd w:val="clear" w:color="auto" w:fill="CFF0FC"/>
          </w:tcPr>
          <w:p>
            <w:pPr>
              <w:jc w:val="right"/>
              <w:ind w:right="862"/>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936</w:t>
            </w:r>
          </w:p>
        </w:tc>
        <w:tc>
          <w:tcPr>
            <w:tcW w:w="280" w:type="dxa"/>
            <w:vAlign w:val="bottom"/>
            <w:shd w:val="clear" w:color="auto" w:fill="CFF0FC"/>
          </w:tcPr>
          <w:p>
            <w:pPr>
              <w:spacing w:after="0"/>
              <w:rPr>
                <w:sz w:val="20"/>
                <w:szCs w:val="20"/>
                <w:color w:val="auto"/>
              </w:rPr>
            </w:pPr>
          </w:p>
        </w:tc>
        <w:tc>
          <w:tcPr>
            <w:tcW w:w="1100" w:type="dxa"/>
            <w:vAlign w:val="bottom"/>
            <w:tcBorders>
              <w:top w:val="single" w:sz="8" w:color="auto"/>
            </w:tcBorders>
            <w:shd w:val="clear" w:color="auto" w:fill="CFF0FC"/>
          </w:tcPr>
          <w:p>
            <w:pPr>
              <w:jc w:val="right"/>
              <w:ind w:right="91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342</w:t>
            </w:r>
          </w:p>
        </w:tc>
        <w:tc>
          <w:tcPr>
            <w:tcW w:w="260" w:type="dxa"/>
            <w:vAlign w:val="bottom"/>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911</w:t>
            </w:r>
          </w:p>
        </w:tc>
        <w:tc>
          <w:tcPr>
            <w:tcW w:w="240" w:type="dxa"/>
            <w:vAlign w:val="bottom"/>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993</w:t>
            </w:r>
          </w:p>
        </w:tc>
        <w:tc>
          <w:tcPr>
            <w:tcW w:w="100" w:type="dxa"/>
            <w:vAlign w:val="bottom"/>
            <w:shd w:val="clear" w:color="auto" w:fill="CFF0FC"/>
          </w:tcPr>
          <w:p>
            <w:pPr>
              <w:spacing w:after="0"/>
              <w:rPr>
                <w:sz w:val="20"/>
                <w:szCs w:val="20"/>
                <w:color w:val="auto"/>
              </w:rPr>
            </w:pPr>
          </w:p>
        </w:tc>
      </w:tr>
      <w:tr>
        <w:trPr>
          <w:trHeight w:val="230"/>
        </w:trPr>
        <w:tc>
          <w:tcPr>
            <w:tcW w:w="4460" w:type="dxa"/>
            <w:vAlign w:val="bottom"/>
          </w:tcPr>
          <w:p>
            <w:pPr>
              <w:ind w:left="20"/>
              <w:spacing w:after="0"/>
              <w:rPr>
                <w:sz w:val="20"/>
                <w:szCs w:val="20"/>
                <w:color w:val="auto"/>
              </w:rPr>
            </w:pPr>
            <w:r>
              <w:rPr>
                <w:rFonts w:ascii="Arial" w:cs="Arial" w:eastAsia="Arial" w:hAnsi="Arial"/>
                <w:sz w:val="18"/>
                <w:szCs w:val="18"/>
                <w:color w:val="auto"/>
              </w:rPr>
              <w:t>Cost of product revenue</w:t>
            </w:r>
          </w:p>
        </w:tc>
        <w:tc>
          <w:tcPr>
            <w:tcW w:w="104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927</w:t>
            </w:r>
          </w:p>
        </w:tc>
        <w:tc>
          <w:tcPr>
            <w:tcW w:w="1380" w:type="dxa"/>
            <w:vAlign w:val="bottom"/>
            <w:gridSpan w:val="2"/>
          </w:tcPr>
          <w:p>
            <w:pPr>
              <w:jc w:val="right"/>
              <w:ind w:right="91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306</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927</w:t>
            </w:r>
          </w:p>
        </w:tc>
        <w:tc>
          <w:tcPr>
            <w:tcW w:w="6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889</w:t>
            </w:r>
          </w:p>
        </w:tc>
        <w:tc>
          <w:tcPr>
            <w:tcW w:w="100" w:type="dxa"/>
            <w:vAlign w:val="bottom"/>
          </w:tcPr>
          <w:p>
            <w:pPr>
              <w:spacing w:after="0"/>
              <w:rPr>
                <w:sz w:val="20"/>
                <w:szCs w:val="20"/>
                <w:color w:val="auto"/>
              </w:rPr>
            </w:pPr>
          </w:p>
        </w:tc>
      </w:tr>
    </w:tbl>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GOODWILL AND OTHER INTANGIBLE ASSETS, NET</w:t>
      </w:r>
    </w:p>
    <w:p>
      <w:pPr>
        <w:spacing w:after="0" w:line="175" w:lineRule="exact"/>
        <w:rPr>
          <w:sz w:val="20"/>
          <w:szCs w:val="20"/>
          <w:color w:val="auto"/>
        </w:rPr>
      </w:pPr>
    </w:p>
    <w:p>
      <w:pPr>
        <w:jc w:val="both"/>
        <w:ind w:firstLine="464"/>
        <w:spacing w:after="0" w:line="277" w:lineRule="auto"/>
        <w:rPr>
          <w:sz w:val="20"/>
          <w:szCs w:val="20"/>
          <w:color w:val="auto"/>
        </w:rPr>
      </w:pPr>
      <w:r>
        <w:rPr>
          <w:rFonts w:ascii="Arial" w:cs="Arial" w:eastAsia="Arial" w:hAnsi="Arial"/>
          <w:sz w:val="18"/>
          <w:szCs w:val="18"/>
          <w:color w:val="auto"/>
        </w:rPr>
        <w:t>Orion has $0.9 million of goodwill related to its purchase of Voltrek in the third quarter of fiscal 2023, which has an indefinite life, and is assigned to the EV Charging operating segment.</w:t>
      </w:r>
    </w:p>
    <w:p>
      <w:pPr>
        <w:spacing w:after="0" w:line="116" w:lineRule="exact"/>
        <w:rPr>
          <w:sz w:val="20"/>
          <w:szCs w:val="20"/>
          <w:color w:val="auto"/>
        </w:rPr>
      </w:pPr>
    </w:p>
    <w:p>
      <w:pPr>
        <w:jc w:val="both"/>
        <w:ind w:firstLine="464"/>
        <w:spacing w:after="0" w:line="263" w:lineRule="auto"/>
        <w:rPr>
          <w:sz w:val="20"/>
          <w:szCs w:val="20"/>
          <w:color w:val="auto"/>
        </w:rPr>
      </w:pPr>
      <w:r>
        <w:rPr>
          <w:rFonts w:ascii="Arial" w:cs="Arial" w:eastAsia="Arial" w:hAnsi="Arial"/>
          <w:sz w:val="18"/>
          <w:szCs w:val="18"/>
          <w:color w:val="auto"/>
        </w:rPr>
        <w:t>Orion has $0.6 million of goodwill related to its purchase of Stay-Light Lighting during fiscal year 2022, which has an indefinite life, and is assigned to the Orion Services Group operating segment. Goodwill related to the Stay-Light Lighting acquisition increased by $0.2 million to $0.6 million as compared to March 31, 2022. This increase was due to updates to purchase accounting within the measurement period.</w:t>
      </w:r>
    </w:p>
    <w:p>
      <w:pPr>
        <w:spacing w:after="0" w:line="12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See Note 18 – Acquisition for further discussion of the Stay-Lite Lighting and Voltrek acquisitions.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3" w:name="page14"/>
    <w:bookmarkEnd w:id="13"/>
    <w:p>
      <w:pPr>
        <w:ind w:firstLine="464"/>
        <w:spacing w:after="0" w:line="277" w:lineRule="auto"/>
        <w:rPr>
          <w:sz w:val="20"/>
          <w:szCs w:val="20"/>
          <w:color w:val="auto"/>
        </w:rPr>
      </w:pPr>
      <w:r>
        <w:rPr>
          <w:rFonts w:ascii="Arial" w:cs="Arial" w:eastAsia="Arial" w:hAnsi="Arial"/>
          <w:sz w:val="18"/>
          <w:szCs w:val="18"/>
          <w:color w:val="auto"/>
        </w:rPr>
        <w:t>As of December 31, 2022 and March 31, 2022, the components of, and changes in, the carrying amount of other intangible assets, net, were as follows (dollars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4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4"/>
                <w:szCs w:val="14"/>
                <w:b w:val="1"/>
                <w:bCs w:val="1"/>
                <w:color w:val="auto"/>
                <w:w w:val="95"/>
              </w:rPr>
              <w:t>December 31, 2022</w:t>
            </w: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March 31, 2022</w:t>
            </w:r>
          </w:p>
        </w:tc>
        <w:tc>
          <w:tcPr>
            <w:tcW w:w="2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400" w:type="dxa"/>
            <w:vAlign w:val="bottom"/>
          </w:tcPr>
          <w:p>
            <w:pPr>
              <w:spacing w:after="0"/>
              <w:rPr>
                <w:sz w:val="11"/>
                <w:szCs w:val="11"/>
                <w:color w:val="auto"/>
              </w:rPr>
            </w:pPr>
          </w:p>
        </w:tc>
        <w:tc>
          <w:tcPr>
            <w:tcW w:w="10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Gross Carrying</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0"/>
              </w:rPr>
              <w:t>Accumulated</w:t>
            </w: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center"/>
              <w:ind w:right="75"/>
              <w:spacing w:after="0" w:line="133" w:lineRule="exact"/>
              <w:rPr>
                <w:sz w:val="20"/>
                <w:szCs w:val="20"/>
                <w:color w:val="auto"/>
              </w:rPr>
            </w:pPr>
            <w:r>
              <w:rPr>
                <w:rFonts w:ascii="Arial" w:cs="Arial" w:eastAsia="Arial" w:hAnsi="Arial"/>
                <w:sz w:val="14"/>
                <w:szCs w:val="14"/>
                <w:b w:val="1"/>
                <w:bCs w:val="1"/>
                <w:color w:val="auto"/>
                <w:w w:val="88"/>
              </w:rPr>
              <w:t>Gross</w:t>
            </w:r>
          </w:p>
        </w:tc>
        <w:tc>
          <w:tcPr>
            <w:tcW w:w="200" w:type="dxa"/>
            <w:vAlign w:val="bottom"/>
          </w:tcPr>
          <w:p>
            <w:pPr>
              <w:spacing w:after="0"/>
              <w:rPr>
                <w:sz w:val="11"/>
                <w:szCs w:val="11"/>
                <w:color w:val="auto"/>
              </w:rPr>
            </w:pPr>
          </w:p>
        </w:tc>
        <w:tc>
          <w:tcPr>
            <w:tcW w:w="1200" w:type="dxa"/>
            <w:vAlign w:val="bottom"/>
            <w:gridSpan w:val="3"/>
            <w:vMerge w:val="restart"/>
          </w:tcPr>
          <w:p>
            <w:pPr>
              <w:jc w:val="right"/>
              <w:ind w:right="300"/>
              <w:spacing w:after="0"/>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4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Net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35"/>
              <w:spacing w:after="0" w:line="149" w:lineRule="exact"/>
              <w:rPr>
                <w:sz w:val="20"/>
                <w:szCs w:val="20"/>
                <w:color w:val="auto"/>
              </w:rPr>
            </w:pPr>
            <w:r>
              <w:rPr>
                <w:rFonts w:ascii="Arial" w:cs="Arial" w:eastAsia="Arial" w:hAnsi="Arial"/>
                <w:sz w:val="14"/>
                <w:szCs w:val="14"/>
                <w:b w:val="1"/>
                <w:bCs w:val="1"/>
                <w:color w:val="auto"/>
                <w:w w:val="97"/>
              </w:rPr>
              <w:t>Carrying</w:t>
            </w:r>
          </w:p>
        </w:tc>
        <w:tc>
          <w:tcPr>
            <w:tcW w:w="20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ind w:right="192"/>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3"/>
              </w:rPr>
              <w:t>Amortization</w:t>
            </w:r>
          </w:p>
        </w:tc>
        <w:tc>
          <w:tcPr>
            <w:tcW w:w="2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center"/>
              <w:ind w:right="15"/>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6"/>
                <w:szCs w:val="16"/>
                <w:color w:val="auto"/>
              </w:rPr>
            </w:pPr>
          </w:p>
        </w:tc>
        <w:tc>
          <w:tcPr>
            <w:tcW w:w="120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Amortization</w:t>
            </w:r>
          </w:p>
        </w:tc>
        <w:tc>
          <w:tcPr>
            <w:tcW w:w="2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400" w:type="dxa"/>
            <w:vAlign w:val="bottom"/>
          </w:tcPr>
          <w:p>
            <w:pPr>
              <w:ind w:left="20"/>
              <w:spacing w:after="0"/>
              <w:rPr>
                <w:sz w:val="20"/>
                <w:szCs w:val="20"/>
                <w:color w:val="auto"/>
              </w:rPr>
            </w:pPr>
            <w:r>
              <w:rPr>
                <w:rFonts w:ascii="Arial" w:cs="Arial" w:eastAsia="Arial" w:hAnsi="Arial"/>
                <w:sz w:val="18"/>
                <w:szCs w:val="18"/>
                <w:b w:val="1"/>
                <w:bCs w:val="1"/>
                <w:color w:val="auto"/>
              </w:rPr>
              <w:t>Amortized Intangible Assets</w:t>
            </w:r>
          </w:p>
        </w:tc>
        <w:tc>
          <w:tcPr>
            <w:tcW w:w="1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4400" w:type="dxa"/>
            <w:vAlign w:val="bottom"/>
          </w:tcPr>
          <w:p>
            <w:pPr>
              <w:ind w:left="120"/>
              <w:spacing w:after="0"/>
              <w:rPr>
                <w:sz w:val="20"/>
                <w:szCs w:val="20"/>
                <w:color w:val="auto"/>
              </w:rPr>
            </w:pPr>
            <w:r>
              <w:rPr>
                <w:rFonts w:ascii="Arial" w:cs="Arial" w:eastAsia="Arial" w:hAnsi="Arial"/>
                <w:sz w:val="18"/>
                <w:szCs w:val="18"/>
                <w:color w:val="auto"/>
              </w:rPr>
              <w:t>Patents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2,521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(1,905 )</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616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2,652</w:t>
            </w:r>
          </w:p>
        </w:tc>
        <w:tc>
          <w:tcPr>
            <w:tcW w:w="5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(1,932 )</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720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44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Licenses</w:t>
            </w:r>
          </w:p>
        </w:tc>
        <w:tc>
          <w:tcPr>
            <w:tcW w:w="1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(58 )</w:t>
            </w:r>
          </w:p>
        </w:tc>
        <w:tc>
          <w:tcPr>
            <w:tcW w:w="20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2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(58 )</w:t>
            </w:r>
          </w:p>
        </w:tc>
        <w:tc>
          <w:tcPr>
            <w:tcW w:w="22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400" w:type="dxa"/>
            <w:vAlign w:val="bottom"/>
          </w:tcPr>
          <w:p>
            <w:pPr>
              <w:ind w:left="120"/>
              <w:spacing w:after="0"/>
              <w:rPr>
                <w:sz w:val="20"/>
                <w:szCs w:val="20"/>
                <w:color w:val="auto"/>
              </w:rPr>
            </w:pPr>
            <w:r>
              <w:rPr>
                <w:rFonts w:ascii="Arial" w:cs="Arial" w:eastAsia="Arial" w:hAnsi="Arial"/>
                <w:sz w:val="18"/>
                <w:szCs w:val="18"/>
                <w:color w:val="auto"/>
              </w:rPr>
              <w:t>Trade name and trademarks</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564</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(52 )</w:t>
            </w: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512</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118</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(6 )</w:t>
            </w:r>
          </w:p>
        </w:tc>
        <w:tc>
          <w:tcPr>
            <w:tcW w:w="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4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Customer relationships</w:t>
            </w:r>
          </w:p>
        </w:tc>
        <w:tc>
          <w:tcPr>
            <w:tcW w:w="1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5,609</w:t>
            </w: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(3,784 )</w:t>
            </w:r>
          </w:p>
        </w:tc>
        <w:tc>
          <w:tcPr>
            <w:tcW w:w="20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1,825</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4,178</w:t>
            </w:r>
          </w:p>
        </w:tc>
        <w:tc>
          <w:tcPr>
            <w:tcW w:w="2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(3,618 )</w:t>
            </w:r>
          </w:p>
        </w:tc>
        <w:tc>
          <w:tcPr>
            <w:tcW w:w="22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400" w:type="dxa"/>
            <w:vAlign w:val="bottom"/>
          </w:tcPr>
          <w:p>
            <w:pPr>
              <w:ind w:left="120"/>
              <w:spacing w:after="0"/>
              <w:rPr>
                <w:sz w:val="20"/>
                <w:szCs w:val="20"/>
                <w:color w:val="auto"/>
              </w:rPr>
            </w:pPr>
            <w:r>
              <w:rPr>
                <w:rFonts w:ascii="Arial" w:cs="Arial" w:eastAsia="Arial" w:hAnsi="Arial"/>
                <w:sz w:val="18"/>
                <w:szCs w:val="18"/>
                <w:color w:val="auto"/>
              </w:rPr>
              <w:t>Vendor Relationship</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2,300</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(79 )</w:t>
            </w: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2,221</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4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Developed technology</w:t>
            </w:r>
          </w:p>
        </w:tc>
        <w:tc>
          <w:tcPr>
            <w:tcW w:w="1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900</w:t>
            </w: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(900 )</w:t>
            </w:r>
          </w:p>
        </w:tc>
        <w:tc>
          <w:tcPr>
            <w:tcW w:w="20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900</w:t>
            </w:r>
          </w:p>
        </w:tc>
        <w:tc>
          <w:tcPr>
            <w:tcW w:w="2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(900 )</w:t>
            </w:r>
          </w:p>
        </w:tc>
        <w:tc>
          <w:tcPr>
            <w:tcW w:w="22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4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400" w:type="dxa"/>
            <w:vAlign w:val="bottom"/>
          </w:tcPr>
          <w:p>
            <w:pPr>
              <w:ind w:left="200"/>
              <w:spacing w:after="0"/>
              <w:rPr>
                <w:sz w:val="20"/>
                <w:szCs w:val="20"/>
                <w:color w:val="auto"/>
              </w:rPr>
            </w:pPr>
            <w:r>
              <w:rPr>
                <w:rFonts w:ascii="Arial" w:cs="Arial" w:eastAsia="Arial" w:hAnsi="Arial"/>
                <w:sz w:val="18"/>
                <w:szCs w:val="18"/>
                <w:color w:val="auto"/>
              </w:rPr>
              <w:t>Total Amortized Intangible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11,952</w:t>
            </w:r>
          </w:p>
        </w:tc>
        <w:tc>
          <w:tcPr>
            <w:tcW w:w="2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(6,778 )</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5,174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7,906</w:t>
            </w:r>
          </w:p>
        </w:tc>
        <w:tc>
          <w:tcPr>
            <w:tcW w:w="5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(6,514 )</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1,392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4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400" w:type="dxa"/>
            <w:vAlign w:val="bottom"/>
          </w:tcPr>
          <w:p>
            <w:pPr>
              <w:ind w:left="20"/>
              <w:spacing w:after="0"/>
              <w:rPr>
                <w:sz w:val="20"/>
                <w:szCs w:val="20"/>
                <w:color w:val="auto"/>
              </w:rPr>
            </w:pPr>
            <w:r>
              <w:rPr>
                <w:rFonts w:ascii="Arial" w:cs="Arial" w:eastAsia="Arial" w:hAnsi="Arial"/>
                <w:sz w:val="18"/>
                <w:szCs w:val="18"/>
                <w:b w:val="1"/>
                <w:bCs w:val="1"/>
                <w:color w:val="auto"/>
              </w:rPr>
              <w:t>Indefinite-lived Intangible Assets</w:t>
            </w: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4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Trade name and trademarks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1,010</w:t>
            </w:r>
          </w:p>
        </w:tc>
        <w:tc>
          <w:tcPr>
            <w:tcW w:w="2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1,010</w:t>
            </w:r>
          </w:p>
        </w:tc>
        <w:tc>
          <w:tcPr>
            <w:tcW w:w="2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1,012</w:t>
            </w:r>
          </w:p>
        </w:tc>
        <w:tc>
          <w:tcPr>
            <w:tcW w:w="20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1,012</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200"/>
              <w:spacing w:after="0"/>
              <w:rPr>
                <w:sz w:val="20"/>
                <w:szCs w:val="20"/>
                <w:color w:val="auto"/>
              </w:rPr>
            </w:pPr>
            <w:r>
              <w:rPr>
                <w:rFonts w:ascii="Arial" w:cs="Arial" w:eastAsia="Arial" w:hAnsi="Arial"/>
                <w:sz w:val="18"/>
                <w:szCs w:val="18"/>
                <w:color w:val="auto"/>
              </w:rPr>
              <w:t>Total Non-Amortized Intangible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1,010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1,010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1,012</w:t>
            </w:r>
          </w:p>
        </w:tc>
        <w:tc>
          <w:tcPr>
            <w:tcW w:w="5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3455670</wp:posOffset>
            </wp:positionH>
            <wp:positionV relativeFrom="paragraph">
              <wp:posOffset>-779145</wp:posOffset>
            </wp:positionV>
            <wp:extent cx="76835" cy="1625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4251960</wp:posOffset>
            </wp:positionH>
            <wp:positionV relativeFrom="paragraph">
              <wp:posOffset>-779145</wp:posOffset>
            </wp:positionV>
            <wp:extent cx="76835" cy="1625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4945380</wp:posOffset>
            </wp:positionH>
            <wp:positionV relativeFrom="paragraph">
              <wp:posOffset>-779145</wp:posOffset>
            </wp:positionV>
            <wp:extent cx="68580" cy="16256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5630545</wp:posOffset>
            </wp:positionH>
            <wp:positionV relativeFrom="paragraph">
              <wp:posOffset>-779145</wp:posOffset>
            </wp:positionV>
            <wp:extent cx="68580" cy="1625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6392545</wp:posOffset>
            </wp:positionH>
            <wp:positionV relativeFrom="paragraph">
              <wp:posOffset>-779145</wp:posOffset>
            </wp:positionV>
            <wp:extent cx="68580" cy="16256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-779145</wp:posOffset>
            </wp:positionV>
            <wp:extent cx="68580" cy="1625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3455670</wp:posOffset>
            </wp:positionH>
            <wp:positionV relativeFrom="paragraph">
              <wp:posOffset>-154305</wp:posOffset>
            </wp:positionV>
            <wp:extent cx="76835" cy="1625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4251960</wp:posOffset>
            </wp:positionH>
            <wp:positionV relativeFrom="paragraph">
              <wp:posOffset>-154305</wp:posOffset>
            </wp:positionV>
            <wp:extent cx="76835" cy="1625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4945380</wp:posOffset>
            </wp:positionH>
            <wp:positionV relativeFrom="paragraph">
              <wp:posOffset>-154305</wp:posOffset>
            </wp:positionV>
            <wp:extent cx="68580" cy="1625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5630545</wp:posOffset>
            </wp:positionH>
            <wp:positionV relativeFrom="paragraph">
              <wp:posOffset>-154305</wp:posOffset>
            </wp:positionV>
            <wp:extent cx="68580" cy="1625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6392545</wp:posOffset>
            </wp:positionH>
            <wp:positionV relativeFrom="paragraph">
              <wp:posOffset>-154305</wp:posOffset>
            </wp:positionV>
            <wp:extent cx="68580" cy="1625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-154305</wp:posOffset>
            </wp:positionV>
            <wp:extent cx="68580" cy="1625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162560"/>
                    </a:xfrm>
                    <a:prstGeom prst="rect">
                      <a:avLst/>
                    </a:prstGeom>
                    <a:noFill/>
                  </pic:spPr>
                </pic:pic>
              </a:graphicData>
            </a:graphic>
          </wp:anchor>
        </w:drawing>
      </w:r>
    </w:p>
    <w:p>
      <w:pPr>
        <w:spacing w:after="0" w:line="15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Amortization expense on intangible assets was $0.3 million and $0.4 million for the three and nine months ended December 31, 2022, respectively.</w:t>
      </w:r>
    </w:p>
    <w:p>
      <w:pPr>
        <w:spacing w:after="0" w:line="194" w:lineRule="exact"/>
        <w:rPr>
          <w:sz w:val="20"/>
          <w:szCs w:val="20"/>
          <w:color w:val="auto"/>
        </w:rPr>
      </w:pPr>
    </w:p>
    <w:p>
      <w:pPr>
        <w:ind w:left="480"/>
        <w:spacing w:after="0"/>
        <w:rPr>
          <w:sz w:val="20"/>
          <w:szCs w:val="20"/>
          <w:color w:val="auto"/>
        </w:rPr>
      </w:pPr>
      <w:r>
        <w:rPr>
          <w:rFonts w:ascii="Arial" w:cs="Arial" w:eastAsia="Arial" w:hAnsi="Arial"/>
          <w:sz w:val="16"/>
          <w:szCs w:val="16"/>
          <w:color w:val="auto"/>
        </w:rPr>
        <w:t>Amortization expense on intangible assets was $0.1 million and $0.2 million for the three and nine months ended December 31, 2021, respectively.</w:t>
      </w:r>
    </w:p>
    <w:p>
      <w:pPr>
        <w:spacing w:after="0" w:line="19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As of December 31, 2022, the weighted average remaining useful life of intangible assets was 5.7 years.</w:t>
      </w:r>
    </w:p>
    <w:p>
      <w:pPr>
        <w:spacing w:after="0" w:line="171"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estimated amortization expense for the remainder of fiscal 2023, the next five fiscal years and beyond is shown below (dollars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Fiscal 2023 (period remaining)</w:t>
            </w:r>
          </w:p>
        </w:tc>
        <w:tc>
          <w:tcPr>
            <w:tcW w:w="800" w:type="dxa"/>
            <w:vAlign w:val="bottom"/>
            <w:shd w:val="clear" w:color="auto" w:fill="CFF0FC"/>
          </w:tcPr>
          <w:p>
            <w:pPr>
              <w:jc w:val="right"/>
              <w:ind w:right="6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w:t>
            </w:r>
          </w:p>
        </w:tc>
        <w:tc>
          <w:tcPr>
            <w:tcW w:w="100" w:type="dxa"/>
            <w:vAlign w:val="bottom"/>
            <w:shd w:val="clear" w:color="auto" w:fill="CFF0FC"/>
          </w:tcPr>
          <w:p>
            <w:pPr>
              <w:spacing w:after="0"/>
              <w:rPr>
                <w:sz w:val="21"/>
                <w:szCs w:val="21"/>
                <w:color w:val="auto"/>
              </w:rPr>
            </w:pPr>
          </w:p>
        </w:tc>
      </w:tr>
      <w:tr>
        <w:trPr>
          <w:trHeight w:val="236"/>
        </w:trPr>
        <w:tc>
          <w:tcPr>
            <w:tcW w:w="9240" w:type="dxa"/>
            <w:vAlign w:val="bottom"/>
          </w:tcPr>
          <w:p>
            <w:pPr>
              <w:ind w:left="20"/>
              <w:spacing w:after="0"/>
              <w:rPr>
                <w:sz w:val="20"/>
                <w:szCs w:val="20"/>
                <w:color w:val="auto"/>
              </w:rPr>
            </w:pPr>
            <w:r>
              <w:rPr>
                <w:rFonts w:ascii="Arial" w:cs="Arial" w:eastAsia="Arial" w:hAnsi="Arial"/>
                <w:sz w:val="18"/>
                <w:szCs w:val="18"/>
                <w:color w:val="auto"/>
              </w:rPr>
              <w:t>Fiscal 2024</w:t>
            </w:r>
          </w:p>
        </w:tc>
        <w:tc>
          <w:tcPr>
            <w:tcW w:w="8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1,105</w:t>
            </w:r>
          </w:p>
        </w:tc>
        <w:tc>
          <w:tcPr>
            <w:tcW w:w="100" w:type="dxa"/>
            <w:vAlign w:val="bottom"/>
          </w:tcPr>
          <w:p>
            <w:pPr>
              <w:spacing w:after="0"/>
              <w:rPr>
                <w:sz w:val="20"/>
                <w:szCs w:val="20"/>
                <w:color w:val="auto"/>
              </w:rPr>
            </w:pPr>
          </w:p>
        </w:tc>
      </w:tr>
      <w:tr>
        <w:trPr>
          <w:trHeight w:val="249"/>
        </w:trPr>
        <w:tc>
          <w:tcPr>
            <w:tcW w:w="9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Fiscal 2025</w:t>
            </w:r>
          </w:p>
        </w:tc>
        <w:tc>
          <w:tcPr>
            <w:tcW w:w="80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1,096</w:t>
            </w:r>
          </w:p>
        </w:tc>
        <w:tc>
          <w:tcPr>
            <w:tcW w:w="100" w:type="dxa"/>
            <w:vAlign w:val="bottom"/>
            <w:shd w:val="clear" w:color="auto" w:fill="CFF0FC"/>
          </w:tcPr>
          <w:p>
            <w:pPr>
              <w:spacing w:after="0"/>
              <w:rPr>
                <w:sz w:val="21"/>
                <w:szCs w:val="21"/>
                <w:color w:val="auto"/>
              </w:rPr>
            </w:pPr>
          </w:p>
        </w:tc>
      </w:tr>
      <w:tr>
        <w:trPr>
          <w:trHeight w:val="236"/>
        </w:trPr>
        <w:tc>
          <w:tcPr>
            <w:tcW w:w="9240" w:type="dxa"/>
            <w:vAlign w:val="bottom"/>
          </w:tcPr>
          <w:p>
            <w:pPr>
              <w:ind w:left="20"/>
              <w:spacing w:after="0"/>
              <w:rPr>
                <w:sz w:val="20"/>
                <w:szCs w:val="20"/>
                <w:color w:val="auto"/>
              </w:rPr>
            </w:pPr>
            <w:r>
              <w:rPr>
                <w:rFonts w:ascii="Arial" w:cs="Arial" w:eastAsia="Arial" w:hAnsi="Arial"/>
                <w:sz w:val="18"/>
                <w:szCs w:val="18"/>
                <w:color w:val="auto"/>
              </w:rPr>
              <w:t>Fiscal 2026</w:t>
            </w:r>
          </w:p>
        </w:tc>
        <w:tc>
          <w:tcPr>
            <w:tcW w:w="8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842</w:t>
            </w:r>
          </w:p>
        </w:tc>
        <w:tc>
          <w:tcPr>
            <w:tcW w:w="100" w:type="dxa"/>
            <w:vAlign w:val="bottom"/>
          </w:tcPr>
          <w:p>
            <w:pPr>
              <w:spacing w:after="0"/>
              <w:rPr>
                <w:sz w:val="20"/>
                <w:szCs w:val="20"/>
                <w:color w:val="auto"/>
              </w:rPr>
            </w:pPr>
          </w:p>
        </w:tc>
      </w:tr>
      <w:tr>
        <w:trPr>
          <w:trHeight w:val="249"/>
        </w:trPr>
        <w:tc>
          <w:tcPr>
            <w:tcW w:w="9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Fiscal 2027</w:t>
            </w:r>
          </w:p>
        </w:tc>
        <w:tc>
          <w:tcPr>
            <w:tcW w:w="80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566</w:t>
            </w:r>
          </w:p>
        </w:tc>
        <w:tc>
          <w:tcPr>
            <w:tcW w:w="100" w:type="dxa"/>
            <w:vAlign w:val="bottom"/>
            <w:shd w:val="clear" w:color="auto" w:fill="CFF0FC"/>
          </w:tcPr>
          <w:p>
            <w:pPr>
              <w:spacing w:after="0"/>
              <w:rPr>
                <w:sz w:val="21"/>
                <w:szCs w:val="21"/>
                <w:color w:val="auto"/>
              </w:rPr>
            </w:pPr>
          </w:p>
        </w:tc>
      </w:tr>
      <w:tr>
        <w:trPr>
          <w:trHeight w:val="236"/>
        </w:trPr>
        <w:tc>
          <w:tcPr>
            <w:tcW w:w="9240" w:type="dxa"/>
            <w:vAlign w:val="bottom"/>
          </w:tcPr>
          <w:p>
            <w:pPr>
              <w:ind w:left="20"/>
              <w:spacing w:after="0"/>
              <w:rPr>
                <w:sz w:val="20"/>
                <w:szCs w:val="20"/>
                <w:color w:val="auto"/>
              </w:rPr>
            </w:pPr>
            <w:r>
              <w:rPr>
                <w:rFonts w:ascii="Arial" w:cs="Arial" w:eastAsia="Arial" w:hAnsi="Arial"/>
                <w:sz w:val="18"/>
                <w:szCs w:val="18"/>
                <w:color w:val="auto"/>
              </w:rPr>
              <w:t>Fiscal 2028</w:t>
            </w:r>
          </w:p>
        </w:tc>
        <w:tc>
          <w:tcPr>
            <w:tcW w:w="8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486</w:t>
            </w:r>
          </w:p>
        </w:tc>
        <w:tc>
          <w:tcPr>
            <w:tcW w:w="100" w:type="dxa"/>
            <w:vAlign w:val="bottom"/>
          </w:tcPr>
          <w:p>
            <w:pPr>
              <w:spacing w:after="0"/>
              <w:rPr>
                <w:sz w:val="20"/>
                <w:szCs w:val="20"/>
                <w:color w:val="auto"/>
              </w:rPr>
            </w:pPr>
          </w:p>
        </w:tc>
      </w:tr>
      <w:tr>
        <w:trPr>
          <w:trHeight w:val="243"/>
        </w:trPr>
        <w:tc>
          <w:tcPr>
            <w:tcW w:w="9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Thereafter</w:t>
            </w:r>
          </w:p>
        </w:tc>
        <w:tc>
          <w:tcPr>
            <w:tcW w:w="80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9240" w:type="dxa"/>
            <w:vAlign w:val="bottom"/>
          </w:tcPr>
          <w:p>
            <w:pPr>
              <w:ind w:left="20"/>
              <w:spacing w:after="0"/>
              <w:rPr>
                <w:sz w:val="20"/>
                <w:szCs w:val="20"/>
                <w:color w:val="auto"/>
              </w:rPr>
            </w:pPr>
            <w:r>
              <w:rPr>
                <w:rFonts w:ascii="Arial" w:cs="Arial" w:eastAsia="Arial" w:hAnsi="Arial"/>
                <w:sz w:val="18"/>
                <w:szCs w:val="18"/>
                <w:color w:val="auto"/>
              </w:rPr>
              <w:t>Total</w:t>
            </w:r>
          </w:p>
        </w:tc>
        <w:tc>
          <w:tcPr>
            <w:tcW w:w="8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5,174</w:t>
            </w:r>
          </w:p>
        </w:tc>
        <w:tc>
          <w:tcPr>
            <w:tcW w:w="100" w:type="dxa"/>
            <w:vAlign w:val="bottom"/>
          </w:tcPr>
          <w:p>
            <w:pPr>
              <w:spacing w:after="0"/>
              <w:rPr>
                <w:sz w:val="20"/>
                <w:szCs w:val="20"/>
                <w:color w:val="auto"/>
              </w:rPr>
            </w:pPr>
          </w:p>
        </w:tc>
      </w:tr>
      <w:tr>
        <w:trPr>
          <w:trHeight w:val="20"/>
        </w:trPr>
        <w:tc>
          <w:tcPr>
            <w:tcW w:w="9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ACCRUED EXPENSES AND OTHER</w:t>
      </w:r>
    </w:p>
    <w:p>
      <w:pPr>
        <w:spacing w:after="0" w:line="17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As of December 31, 2022 and March 31, 2022, accrued expenses and other included the following (dollars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jc w:val="right"/>
              <w:ind w:right="293"/>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jc w:val="right"/>
              <w:ind w:right="393"/>
              <w:spacing w:after="0"/>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76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earnout</w:t>
            </w:r>
          </w:p>
        </w:tc>
        <w:tc>
          <w:tcPr>
            <w:tcW w:w="392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1,750</w:t>
            </w: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760" w:type="dxa"/>
            <w:vAlign w:val="bottom"/>
          </w:tcPr>
          <w:p>
            <w:pPr>
              <w:ind w:left="20"/>
              <w:spacing w:after="0"/>
              <w:rPr>
                <w:sz w:val="20"/>
                <w:szCs w:val="20"/>
                <w:color w:val="auto"/>
              </w:rPr>
            </w:pPr>
            <w:r>
              <w:rPr>
                <w:rFonts w:ascii="Arial" w:cs="Arial" w:eastAsia="Arial" w:hAnsi="Arial"/>
                <w:sz w:val="18"/>
                <w:szCs w:val="18"/>
                <w:color w:val="auto"/>
              </w:rPr>
              <w:t>Other accruals</w:t>
            </w:r>
          </w:p>
        </w:tc>
        <w:tc>
          <w:tcPr>
            <w:tcW w:w="3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1,633</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2,221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Compensation and benefits</w:t>
            </w:r>
          </w:p>
        </w:tc>
        <w:tc>
          <w:tcPr>
            <w:tcW w:w="39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1,552</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760" w:type="dxa"/>
            <w:vAlign w:val="bottom"/>
          </w:tcPr>
          <w:p>
            <w:pPr>
              <w:ind w:left="20"/>
              <w:spacing w:after="0"/>
              <w:rPr>
                <w:sz w:val="20"/>
                <w:szCs w:val="20"/>
                <w:color w:val="auto"/>
              </w:rPr>
            </w:pPr>
            <w:r>
              <w:rPr>
                <w:rFonts w:ascii="Arial" w:cs="Arial" w:eastAsia="Arial" w:hAnsi="Arial"/>
                <w:sz w:val="18"/>
                <w:szCs w:val="18"/>
                <w:color w:val="auto"/>
              </w:rPr>
              <w:t>Credits due to customers</w:t>
            </w:r>
          </w:p>
        </w:tc>
        <w:tc>
          <w:tcPr>
            <w:tcW w:w="3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1,399</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project costs</w:t>
            </w:r>
          </w:p>
        </w:tc>
        <w:tc>
          <w:tcPr>
            <w:tcW w:w="39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852</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760" w:type="dxa"/>
            <w:vAlign w:val="bottom"/>
          </w:tcPr>
          <w:p>
            <w:pPr>
              <w:ind w:left="20"/>
              <w:spacing w:after="0"/>
              <w:rPr>
                <w:sz w:val="20"/>
                <w:szCs w:val="20"/>
                <w:color w:val="auto"/>
              </w:rPr>
            </w:pPr>
            <w:r>
              <w:rPr>
                <w:rFonts w:ascii="Arial" w:cs="Arial" w:eastAsia="Arial" w:hAnsi="Arial"/>
                <w:sz w:val="18"/>
                <w:szCs w:val="18"/>
                <w:color w:val="auto"/>
              </w:rPr>
              <w:t>Warranty</w:t>
            </w:r>
          </w:p>
        </w:tc>
        <w:tc>
          <w:tcPr>
            <w:tcW w:w="3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482</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Sales returns reserve</w:t>
            </w:r>
          </w:p>
        </w:tc>
        <w:tc>
          <w:tcPr>
            <w:tcW w:w="39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760" w:type="dxa"/>
            <w:vAlign w:val="bottom"/>
          </w:tcPr>
          <w:p>
            <w:pPr>
              <w:ind w:left="20"/>
              <w:spacing w:after="0"/>
              <w:rPr>
                <w:sz w:val="20"/>
                <w:szCs w:val="20"/>
                <w:color w:val="auto"/>
              </w:rPr>
            </w:pPr>
            <w:r>
              <w:rPr>
                <w:rFonts w:ascii="Arial" w:cs="Arial" w:eastAsia="Arial" w:hAnsi="Arial"/>
                <w:sz w:val="18"/>
                <w:szCs w:val="18"/>
                <w:color w:val="auto"/>
              </w:rPr>
              <w:t>Sales tax</w:t>
            </w:r>
          </w:p>
        </w:tc>
        <w:tc>
          <w:tcPr>
            <w:tcW w:w="3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239</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Legal and professional fees</w:t>
            </w:r>
          </w:p>
        </w:tc>
        <w:tc>
          <w:tcPr>
            <w:tcW w:w="39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w:t>
            </w:r>
          </w:p>
        </w:tc>
        <w:tc>
          <w:tcPr>
            <w:tcW w:w="2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760" w:type="dxa"/>
            <w:vAlign w:val="bottom"/>
          </w:tcPr>
          <w:p>
            <w:pPr>
              <w:ind w:left="200"/>
              <w:spacing w:after="0"/>
              <w:rPr>
                <w:sz w:val="20"/>
                <w:szCs w:val="20"/>
                <w:color w:val="auto"/>
              </w:rPr>
            </w:pPr>
            <w:r>
              <w:rPr>
                <w:rFonts w:ascii="Arial" w:cs="Arial" w:eastAsia="Arial" w:hAnsi="Arial"/>
                <w:sz w:val="18"/>
                <w:szCs w:val="18"/>
                <w:color w:val="auto"/>
              </w:rPr>
              <w:t>Total</w:t>
            </w:r>
          </w:p>
        </w:tc>
        <w:tc>
          <w:tcPr>
            <w:tcW w:w="41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8,415</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8,427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3920" w:type="dxa"/>
            <w:vAlign w:val="bottom"/>
            <w:vMerge w:val="restart"/>
          </w:tcPr>
          <w:p>
            <w:pPr>
              <w:jc w:val="right"/>
              <w:ind w:right="1870"/>
              <w:spacing w:after="0"/>
              <w:rPr>
                <w:sz w:val="20"/>
                <w:szCs w:val="20"/>
                <w:color w:val="auto"/>
              </w:rPr>
            </w:pPr>
            <w:r>
              <w:rPr>
                <w:rFonts w:ascii="Arial" w:cs="Arial" w:eastAsia="Arial" w:hAnsi="Arial"/>
                <w:sz w:val="18"/>
                <w:szCs w:val="18"/>
                <w:color w:val="auto"/>
              </w:rPr>
              <w:t>14</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4"/>
        </w:trPr>
        <w:tc>
          <w:tcPr>
            <w:tcW w:w="3760" w:type="dxa"/>
            <w:vAlign w:val="bottom"/>
          </w:tcPr>
          <w:p>
            <w:pPr>
              <w:spacing w:after="0"/>
              <w:rPr>
                <w:sz w:val="24"/>
                <w:szCs w:val="24"/>
                <w:color w:val="auto"/>
              </w:rPr>
            </w:pPr>
          </w:p>
        </w:tc>
        <w:tc>
          <w:tcPr>
            <w:tcW w:w="39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3760" w:type="dxa"/>
            <w:vAlign w:val="bottom"/>
            <w:tcBorders>
              <w:bottom w:val="single" w:sz="8" w:color="9A9A9A"/>
            </w:tcBorders>
          </w:tcPr>
          <w:p>
            <w:pPr>
              <w:spacing w:after="0"/>
              <w:rPr>
                <w:sz w:val="7"/>
                <w:szCs w:val="7"/>
                <w:color w:val="auto"/>
              </w:rPr>
            </w:pPr>
          </w:p>
        </w:tc>
        <w:tc>
          <w:tcPr>
            <w:tcW w:w="392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36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2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5887085</wp:posOffset>
            </wp:positionH>
            <wp:positionV relativeFrom="paragraph">
              <wp:posOffset>-667385</wp:posOffset>
            </wp:positionV>
            <wp:extent cx="76835" cy="18859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-667385</wp:posOffset>
            </wp:positionV>
            <wp:extent cx="68580" cy="18859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14" w:name="page15"/>
    <w:bookmarkEnd w:id="14"/>
    <w:p>
      <w:pPr>
        <w:ind w:left="480"/>
        <w:spacing w:after="0"/>
        <w:rPr>
          <w:sz w:val="20"/>
          <w:szCs w:val="20"/>
          <w:color w:val="auto"/>
        </w:rPr>
      </w:pPr>
      <w:r>
        <w:rPr>
          <w:rFonts w:ascii="Arial" w:cs="Arial" w:eastAsia="Arial" w:hAnsi="Arial"/>
          <w:sz w:val="18"/>
          <w:szCs w:val="18"/>
          <w:color w:val="auto"/>
        </w:rPr>
        <w:t>Accrued earnout is related to recent acquisitions. Refer to discussion of acquisitions at Note 18 - Acquisitions.</w:t>
      </w:r>
    </w:p>
    <w:p>
      <w:pPr>
        <w:spacing w:after="0" w:line="117" w:lineRule="exact"/>
        <w:rPr>
          <w:sz w:val="20"/>
          <w:szCs w:val="20"/>
          <w:color w:val="auto"/>
        </w:rPr>
      </w:pPr>
    </w:p>
    <w:p>
      <w:pPr>
        <w:jc w:val="both"/>
        <w:ind w:firstLine="464"/>
        <w:spacing w:after="0" w:line="263" w:lineRule="auto"/>
        <w:rPr>
          <w:sz w:val="20"/>
          <w:szCs w:val="20"/>
          <w:color w:val="auto"/>
        </w:rPr>
      </w:pPr>
      <w:r>
        <w:rPr>
          <w:rFonts w:ascii="Arial" w:cs="Arial" w:eastAsia="Arial" w:hAnsi="Arial"/>
          <w:sz w:val="18"/>
          <w:szCs w:val="18"/>
          <w:color w:val="auto"/>
        </w:rPr>
        <w:t>Orion generally offers a limited warranty of one to ten years on its lighting products, including the pass through of standard warranties offered by major original equipment component manufacturers. The manufacturers’ warranties cover lamps, power supplies, LED modules, chips and drivers, control devices, and other fixture related items, which are significant components in Orion's lighting products.</w:t>
      </w:r>
    </w:p>
    <w:p>
      <w:pPr>
        <w:spacing w:after="0" w:line="12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Changes in Orion’s warranty accrual (both current and long-term) were as follows (dollars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4"/>
                <w:szCs w:val="14"/>
                <w:color w:val="auto"/>
              </w:rPr>
            </w:pPr>
          </w:p>
        </w:tc>
        <w:tc>
          <w:tcPr>
            <w:tcW w:w="282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For the Three Months Ended</w:t>
            </w:r>
          </w:p>
        </w:tc>
        <w:tc>
          <w:tcPr>
            <w:tcW w:w="240" w:type="dxa"/>
            <w:vAlign w:val="bottom"/>
          </w:tcPr>
          <w:p>
            <w:pPr>
              <w:spacing w:after="0"/>
              <w:rPr>
                <w:sz w:val="14"/>
                <w:szCs w:val="14"/>
                <w:color w:val="auto"/>
              </w:rPr>
            </w:pPr>
          </w:p>
        </w:tc>
        <w:tc>
          <w:tcPr>
            <w:tcW w:w="238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For the Nine Months Ended</w:t>
            </w:r>
          </w:p>
        </w:tc>
      </w:tr>
      <w:tr>
        <w:trPr>
          <w:trHeight w:val="185"/>
        </w:trPr>
        <w:tc>
          <w:tcPr>
            <w:tcW w:w="580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80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36"/>
        </w:trPr>
        <w:tc>
          <w:tcPr>
            <w:tcW w:w="5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Beginning of period</w:t>
            </w:r>
          </w:p>
        </w:tc>
        <w:tc>
          <w:tcPr>
            <w:tcW w:w="760" w:type="dxa"/>
            <w:vAlign w:val="bottom"/>
            <w:shd w:val="clear" w:color="auto" w:fill="CFF0FC"/>
          </w:tcPr>
          <w:p>
            <w:pPr>
              <w:jc w:val="right"/>
              <w:ind w:right="579"/>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698</w:t>
            </w:r>
          </w:p>
        </w:tc>
        <w:tc>
          <w:tcPr>
            <w:tcW w:w="26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1,014</w:t>
            </w: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860</w:t>
            </w:r>
          </w:p>
        </w:tc>
        <w:tc>
          <w:tcPr>
            <w:tcW w:w="240" w:type="dxa"/>
            <w:vAlign w:val="bottom"/>
            <w:shd w:val="clear" w:color="auto" w:fill="CFF0FC"/>
          </w:tcPr>
          <w:p>
            <w:pPr>
              <w:spacing w:after="0"/>
              <w:rPr>
                <w:sz w:val="20"/>
                <w:szCs w:val="20"/>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1,009</w:t>
            </w:r>
          </w:p>
        </w:tc>
        <w:tc>
          <w:tcPr>
            <w:tcW w:w="100" w:type="dxa"/>
            <w:vAlign w:val="bottom"/>
            <w:shd w:val="clear" w:color="auto" w:fill="CFF0FC"/>
          </w:tcPr>
          <w:p>
            <w:pPr>
              <w:spacing w:after="0"/>
              <w:rPr>
                <w:sz w:val="20"/>
                <w:szCs w:val="20"/>
                <w:color w:val="auto"/>
              </w:rPr>
            </w:pPr>
          </w:p>
        </w:tc>
      </w:tr>
      <w:tr>
        <w:trPr>
          <w:trHeight w:val="236"/>
        </w:trPr>
        <w:tc>
          <w:tcPr>
            <w:tcW w:w="5800" w:type="dxa"/>
            <w:vAlign w:val="bottom"/>
          </w:tcPr>
          <w:p>
            <w:pPr>
              <w:ind w:left="20"/>
              <w:spacing w:after="0"/>
              <w:rPr>
                <w:sz w:val="20"/>
                <w:szCs w:val="20"/>
                <w:color w:val="auto"/>
              </w:rPr>
            </w:pPr>
            <w:r>
              <w:rPr>
                <w:rFonts w:ascii="Arial" w:cs="Arial" w:eastAsia="Arial" w:hAnsi="Arial"/>
                <w:sz w:val="18"/>
                <w:szCs w:val="18"/>
                <w:color w:val="auto"/>
              </w:rPr>
              <w:t>Accruals</w:t>
            </w:r>
          </w:p>
        </w:tc>
        <w:tc>
          <w:tcPr>
            <w:tcW w:w="76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75</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123</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271</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20"/>
                <w:szCs w:val="20"/>
                <w:color w:val="auto"/>
              </w:rPr>
            </w:pPr>
          </w:p>
        </w:tc>
      </w:tr>
      <w:tr>
        <w:trPr>
          <w:trHeight w:val="243"/>
        </w:trPr>
        <w:tc>
          <w:tcPr>
            <w:tcW w:w="5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Warranty claims (net of vendor reimbursements)</w:t>
            </w:r>
          </w:p>
        </w:tc>
        <w:tc>
          <w:tcPr>
            <w:tcW w:w="760" w:type="dxa"/>
            <w:vAlign w:val="bottom"/>
            <w:shd w:val="clear" w:color="auto" w:fill="CFF0FC"/>
          </w:tcPr>
          <w:p>
            <w:pPr>
              <w:spacing w:after="0"/>
              <w:rPr>
                <w:sz w:val="21"/>
                <w:szCs w:val="21"/>
                <w:color w:val="auto"/>
              </w:rPr>
            </w:pPr>
          </w:p>
        </w:tc>
        <w:tc>
          <w:tcPr>
            <w:tcW w:w="6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w w:val="93"/>
              </w:rPr>
              <w:t>(149 )</w:t>
            </w:r>
          </w:p>
        </w:tc>
        <w:tc>
          <w:tcPr>
            <w:tcW w:w="36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(186 )</w:t>
            </w:r>
          </w:p>
        </w:tc>
        <w:tc>
          <w:tcPr>
            <w:tcW w:w="24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(507 )</w:t>
            </w:r>
          </w:p>
        </w:tc>
        <w:tc>
          <w:tcPr>
            <w:tcW w:w="38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(386 )</w:t>
            </w:r>
          </w:p>
        </w:tc>
      </w:tr>
      <w:tr>
        <w:trPr>
          <w:trHeight w:val="236"/>
        </w:trPr>
        <w:tc>
          <w:tcPr>
            <w:tcW w:w="580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End of period</w:t>
            </w:r>
          </w:p>
        </w:tc>
        <w:tc>
          <w:tcPr>
            <w:tcW w:w="76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624</w:t>
            </w:r>
          </w:p>
        </w:tc>
        <w:tc>
          <w:tcPr>
            <w:tcW w:w="260" w:type="dxa"/>
            <w:vAlign w:val="bottom"/>
            <w:tcBorders>
              <w:top w:val="single" w:sz="8" w:color="CFF0FC"/>
            </w:tcBorders>
          </w:tcPr>
          <w:p>
            <w:pPr>
              <w:spacing w:after="0"/>
              <w:rPr>
                <w:sz w:val="20"/>
                <w:szCs w:val="20"/>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951</w:t>
            </w:r>
          </w:p>
        </w:tc>
        <w:tc>
          <w:tcPr>
            <w:tcW w:w="260" w:type="dxa"/>
            <w:vAlign w:val="bottom"/>
            <w:tcBorders>
              <w:top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624</w:t>
            </w:r>
          </w:p>
        </w:tc>
        <w:tc>
          <w:tcPr>
            <w:tcW w:w="240" w:type="dxa"/>
            <w:vAlign w:val="bottom"/>
            <w:tcBorders>
              <w:top w:val="single" w:sz="8" w:color="CFF0FC"/>
            </w:tcBorders>
          </w:tcPr>
          <w:p>
            <w:pPr>
              <w:spacing w:after="0"/>
              <w:rPr>
                <w:sz w:val="20"/>
                <w:szCs w:val="20"/>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951</w:t>
            </w:r>
          </w:p>
        </w:tc>
        <w:tc>
          <w:tcPr>
            <w:tcW w:w="100" w:type="dxa"/>
            <w:vAlign w:val="bottom"/>
            <w:tcBorders>
              <w:top w:val="single" w:sz="8" w:color="CFF0FC"/>
            </w:tcBorders>
          </w:tcPr>
          <w:p>
            <w:pPr>
              <w:spacing w:after="0"/>
              <w:rPr>
                <w:sz w:val="20"/>
                <w:szCs w:val="20"/>
                <w:color w:val="auto"/>
              </w:rPr>
            </w:pPr>
          </w:p>
        </w:tc>
      </w:tr>
      <w:tr>
        <w:trPr>
          <w:trHeight w:val="20"/>
        </w:trPr>
        <w:tc>
          <w:tcPr>
            <w:tcW w:w="58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4414520</wp:posOffset>
            </wp:positionH>
            <wp:positionV relativeFrom="paragraph">
              <wp:posOffset>-187960</wp:posOffset>
            </wp:positionV>
            <wp:extent cx="76835" cy="18859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-187960</wp:posOffset>
            </wp:positionV>
            <wp:extent cx="68580" cy="18859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-187960</wp:posOffset>
            </wp:positionV>
            <wp:extent cx="68580" cy="18859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NET (LOSS) INCOME PER COMMON SHARE</w:t>
      </w:r>
    </w:p>
    <w:p>
      <w:pPr>
        <w:spacing w:after="0" w:line="175" w:lineRule="exact"/>
        <w:rPr>
          <w:sz w:val="20"/>
          <w:szCs w:val="20"/>
          <w:color w:val="auto"/>
        </w:rPr>
      </w:pPr>
    </w:p>
    <w:p>
      <w:pPr>
        <w:jc w:val="both"/>
        <w:ind w:right="20" w:firstLine="469"/>
        <w:spacing w:after="0" w:line="277" w:lineRule="auto"/>
        <w:rPr>
          <w:sz w:val="20"/>
          <w:szCs w:val="20"/>
          <w:color w:val="auto"/>
        </w:rPr>
      </w:pPr>
      <w:r>
        <w:rPr>
          <w:rFonts w:ascii="Arial" w:cs="Arial" w:eastAsia="Arial" w:hAnsi="Arial"/>
          <w:sz w:val="18"/>
          <w:szCs w:val="18"/>
          <w:color w:val="auto"/>
        </w:rPr>
        <w:t>Basic net income per common share is computed by dividing net income attributable to common shareholders by the weighted-average number of common shares outstanding for the period and does not consider common stock equivalents.</w:t>
      </w:r>
    </w:p>
    <w:p>
      <w:pPr>
        <w:spacing w:after="0" w:line="116" w:lineRule="exact"/>
        <w:rPr>
          <w:sz w:val="20"/>
          <w:szCs w:val="20"/>
          <w:color w:val="auto"/>
        </w:rPr>
      </w:pPr>
    </w:p>
    <w:p>
      <w:pPr>
        <w:jc w:val="both"/>
        <w:ind w:firstLine="469"/>
        <w:spacing w:after="0" w:line="301" w:lineRule="auto"/>
        <w:rPr>
          <w:sz w:val="20"/>
          <w:szCs w:val="20"/>
          <w:color w:val="auto"/>
        </w:rPr>
      </w:pPr>
      <w:r>
        <w:rPr>
          <w:rFonts w:ascii="Arial" w:cs="Arial" w:eastAsia="Arial" w:hAnsi="Arial"/>
          <w:sz w:val="16"/>
          <w:szCs w:val="16"/>
          <w:color w:val="auto"/>
        </w:rPr>
        <w:t>Diluted net income per common share reflects the dilution that would occur if stock options were exercised and restricted shares vested. In the computation of diluted net income per common share, Orion uses the treasury stock method for outstanding options and restricted shares. For the three and nine months ended December 31, 2022, Orion was in a net loss position; therefore, the Basic and Diluted weighted-average shares outstanding are equal because any increase to the basic shares would be anti-dilutive. Net income per common share is calculated based upon the following shares: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40" w:type="dxa"/>
            <w:vAlign w:val="bottom"/>
            <w:gridSpan w:val="4"/>
          </w:tcPr>
          <w:p>
            <w:pPr>
              <w:jc w:val="right"/>
              <w:ind w:right="293"/>
              <w:spacing w:after="0"/>
              <w:rPr>
                <w:sz w:val="20"/>
                <w:szCs w:val="20"/>
                <w:color w:val="auto"/>
              </w:rPr>
            </w:pPr>
            <w:r>
              <w:rPr>
                <w:rFonts w:ascii="Arial" w:cs="Arial" w:eastAsia="Arial" w:hAnsi="Arial"/>
                <w:sz w:val="14"/>
                <w:szCs w:val="14"/>
                <w:b w:val="1"/>
                <w:bCs w:val="1"/>
                <w:color w:val="auto"/>
              </w:rPr>
              <w:t>For the Three Months Ended</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20" w:type="dxa"/>
            <w:vAlign w:val="bottom"/>
            <w:gridSpan w:val="4"/>
          </w:tcPr>
          <w:p>
            <w:pPr>
              <w:jc w:val="right"/>
              <w:ind w:right="333"/>
              <w:spacing w:after="0"/>
              <w:rPr>
                <w:sz w:val="20"/>
                <w:szCs w:val="20"/>
                <w:color w:val="auto"/>
              </w:rPr>
            </w:pPr>
            <w:r>
              <w:rPr>
                <w:rFonts w:ascii="Arial" w:cs="Arial" w:eastAsia="Arial" w:hAnsi="Arial"/>
                <w:sz w:val="14"/>
                <w:szCs w:val="14"/>
                <w:b w:val="1"/>
                <w:bCs w:val="1"/>
                <w:color w:val="auto"/>
              </w:rPr>
              <w:t>For the Nine Months Ended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8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8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5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Numerator:</w:t>
            </w:r>
          </w:p>
        </w:tc>
        <w:tc>
          <w:tcPr>
            <w:tcW w:w="22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800" w:type="dxa"/>
            <w:vAlign w:val="bottom"/>
          </w:tcPr>
          <w:p>
            <w:pPr>
              <w:ind w:left="20"/>
              <w:spacing w:after="0"/>
              <w:rPr>
                <w:sz w:val="20"/>
                <w:szCs w:val="20"/>
                <w:color w:val="auto"/>
              </w:rPr>
            </w:pPr>
            <w:r>
              <w:rPr>
                <w:rFonts w:ascii="Arial" w:cs="Arial" w:eastAsia="Arial" w:hAnsi="Arial"/>
                <w:sz w:val="18"/>
                <w:szCs w:val="18"/>
                <w:color w:val="auto"/>
              </w:rPr>
              <w:t>Net (loss) income (in thousands)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(24,059 )</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1,102</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(29,225 )</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7,271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Denominator:</w:t>
            </w: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800" w:type="dxa"/>
            <w:vAlign w:val="bottom"/>
          </w:tcPr>
          <w:p>
            <w:pPr>
              <w:ind w:left="20"/>
              <w:spacing w:after="0"/>
              <w:rPr>
                <w:sz w:val="20"/>
                <w:szCs w:val="20"/>
                <w:color w:val="auto"/>
              </w:rPr>
            </w:pPr>
            <w:r>
              <w:rPr>
                <w:rFonts w:ascii="Arial" w:cs="Arial" w:eastAsia="Arial" w:hAnsi="Arial"/>
                <w:sz w:val="18"/>
                <w:szCs w:val="18"/>
                <w:color w:val="auto"/>
              </w:rPr>
              <w:t>Weighted-average common shares outstanding</w:t>
            </w: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32,047,755</w:t>
            </w: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31,084,710</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31,510,547</w:t>
            </w: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30,992,475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Weighted-average common shares and common share</w:t>
            </w:r>
          </w:p>
        </w:tc>
        <w:tc>
          <w:tcPr>
            <w:tcW w:w="220" w:type="dxa"/>
            <w:vAlign w:val="bottom"/>
            <w:shd w:val="clear" w:color="auto" w:fill="CFF0FC"/>
          </w:tcPr>
          <w:p>
            <w:pPr>
              <w:spacing w:after="0"/>
              <w:rPr>
                <w:sz w:val="18"/>
                <w:szCs w:val="18"/>
                <w:color w:val="auto"/>
              </w:rPr>
            </w:pPr>
          </w:p>
        </w:tc>
        <w:tc>
          <w:tcPr>
            <w:tcW w:w="9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99"/>
              </w:rPr>
              <w:t>32,047,755</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90"/>
              </w:rPr>
              <w:t>31,234,925</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99"/>
              </w:rPr>
              <w:t>31,510,547</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88"/>
              </w:rPr>
              <w:t>31,273,703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800" w:type="dxa"/>
            <w:vAlign w:val="bottom"/>
            <w:tcBorders>
              <w:bottom w:val="single" w:sz="8" w:color="CFF0FC"/>
            </w:tcBorders>
            <w:shd w:val="clear" w:color="auto" w:fill="CFF0FC"/>
          </w:tcPr>
          <w:p>
            <w:pPr>
              <w:ind w:left="160"/>
              <w:spacing w:after="0" w:line="203" w:lineRule="exact"/>
              <w:rPr>
                <w:sz w:val="20"/>
                <w:szCs w:val="20"/>
                <w:color w:val="auto"/>
              </w:rPr>
            </w:pPr>
            <w:r>
              <w:rPr>
                <w:rFonts w:ascii="Arial" w:cs="Arial" w:eastAsia="Arial" w:hAnsi="Arial"/>
                <w:sz w:val="18"/>
                <w:szCs w:val="18"/>
                <w:color w:val="auto"/>
              </w:rPr>
              <w:t>equivalents outstanding</w:t>
            </w:r>
          </w:p>
        </w:tc>
        <w:tc>
          <w:tcPr>
            <w:tcW w:w="22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vMerge w:val="continue"/>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vMerge w:val="continue"/>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vMerge w:val="continue"/>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vMerge w:val="continue"/>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5800" w:type="dxa"/>
            <w:vAlign w:val="bottom"/>
          </w:tcPr>
          <w:p>
            <w:pPr>
              <w:ind w:left="20"/>
              <w:spacing w:after="0"/>
              <w:rPr>
                <w:sz w:val="20"/>
                <w:szCs w:val="20"/>
                <w:color w:val="auto"/>
              </w:rPr>
            </w:pPr>
            <w:r>
              <w:rPr>
                <w:rFonts w:ascii="Arial" w:cs="Arial" w:eastAsia="Arial" w:hAnsi="Arial"/>
                <w:sz w:val="18"/>
                <w:szCs w:val="18"/>
                <w:color w:val="auto"/>
              </w:rPr>
              <w:t>Net (loss) income per common share:</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8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(0.75 )</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0.04</w:t>
            </w:r>
          </w:p>
        </w:tc>
        <w:tc>
          <w:tcPr>
            <w:tcW w:w="4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(0.93 )</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800" w:type="dxa"/>
            <w:vAlign w:val="bottom"/>
          </w:tcPr>
          <w:p>
            <w:pPr>
              <w:ind w:left="200"/>
              <w:spacing w:after="0"/>
              <w:rPr>
                <w:sz w:val="20"/>
                <w:szCs w:val="20"/>
                <w:color w:val="auto"/>
              </w:rPr>
            </w:pPr>
            <w:r>
              <w:rPr>
                <w:rFonts w:ascii="Arial" w:cs="Arial" w:eastAsia="Arial" w:hAnsi="Arial"/>
                <w:sz w:val="18"/>
                <w:szCs w:val="18"/>
                <w:color w:val="auto"/>
              </w:rPr>
              <w:t>Diluted</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(0.75 )</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0.04</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(0.93 )</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4414520</wp:posOffset>
            </wp:positionH>
            <wp:positionV relativeFrom="paragraph">
              <wp:posOffset>-479425</wp:posOffset>
            </wp:positionV>
            <wp:extent cx="2722880" cy="1797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722880" cy="179705"/>
                    </a:xfrm>
                    <a:prstGeom prst="rect">
                      <a:avLst/>
                    </a:prstGeom>
                    <a:noFill/>
                  </pic:spPr>
                </pic:pic>
              </a:graphicData>
            </a:graphic>
          </wp:anchor>
        </w:drawing>
      </w:r>
    </w:p>
    <w:p>
      <w:pPr>
        <w:spacing w:after="0" w:line="356" w:lineRule="exact"/>
        <w:rPr>
          <w:sz w:val="20"/>
          <w:szCs w:val="20"/>
          <w:color w:val="auto"/>
        </w:rPr>
      </w:pPr>
    </w:p>
    <w:p>
      <w:pPr>
        <w:jc w:val="both"/>
        <w:ind w:right="20" w:firstLine="464"/>
        <w:spacing w:after="0" w:line="277" w:lineRule="auto"/>
        <w:rPr>
          <w:sz w:val="20"/>
          <w:szCs w:val="20"/>
          <w:color w:val="auto"/>
        </w:rPr>
      </w:pPr>
      <w:r>
        <w:rPr>
          <w:rFonts w:ascii="Arial" w:cs="Arial" w:eastAsia="Arial" w:hAnsi="Arial"/>
          <w:sz w:val="18"/>
          <w:szCs w:val="18"/>
          <w:color w:val="auto"/>
        </w:rPr>
        <w:t>The following table indicates the number of potentially dilutive securities excluded from the calculation of Diluted net income per common share because their inclusion would have been anti-dilutive. The number of shares is as of the end of each period: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80" w:type="dxa"/>
            <w:vAlign w:val="bottom"/>
          </w:tcPr>
          <w:p>
            <w:pPr>
              <w:spacing w:after="0"/>
              <w:rPr>
                <w:sz w:val="14"/>
                <w:szCs w:val="14"/>
                <w:color w:val="auto"/>
              </w:rPr>
            </w:pPr>
          </w:p>
        </w:tc>
        <w:tc>
          <w:tcPr>
            <w:tcW w:w="2540" w:type="dxa"/>
            <w:vAlign w:val="bottom"/>
            <w:gridSpan w:val="5"/>
          </w:tcPr>
          <w:p>
            <w:pPr>
              <w:jc w:val="center"/>
              <w:spacing w:after="0"/>
              <w:rPr>
                <w:sz w:val="20"/>
                <w:szCs w:val="20"/>
                <w:color w:val="auto"/>
              </w:rPr>
            </w:pPr>
            <w:r>
              <w:rPr>
                <w:rFonts w:ascii="Arial" w:cs="Arial" w:eastAsia="Arial" w:hAnsi="Arial"/>
                <w:sz w:val="14"/>
                <w:szCs w:val="14"/>
                <w:b w:val="1"/>
                <w:bCs w:val="1"/>
                <w:color w:val="auto"/>
                <w:w w:val="94"/>
              </w:rPr>
              <w:t>For the Three Months Ended</w:t>
            </w:r>
          </w:p>
        </w:tc>
        <w:tc>
          <w:tcPr>
            <w:tcW w:w="220" w:type="dxa"/>
            <w:vAlign w:val="bottom"/>
          </w:tcPr>
          <w:p>
            <w:pPr>
              <w:spacing w:after="0"/>
              <w:rPr>
                <w:sz w:val="14"/>
                <w:szCs w:val="14"/>
                <w:color w:val="auto"/>
              </w:rPr>
            </w:pPr>
          </w:p>
        </w:tc>
        <w:tc>
          <w:tcPr>
            <w:tcW w:w="2500" w:type="dxa"/>
            <w:vAlign w:val="bottom"/>
            <w:gridSpan w:val="4"/>
          </w:tcPr>
          <w:p>
            <w:pPr>
              <w:ind w:left="380"/>
              <w:spacing w:after="0"/>
              <w:rPr>
                <w:sz w:val="20"/>
                <w:szCs w:val="20"/>
                <w:color w:val="auto"/>
              </w:rPr>
            </w:pPr>
            <w:r>
              <w:rPr>
                <w:rFonts w:ascii="Arial" w:cs="Arial" w:eastAsia="Arial" w:hAnsi="Arial"/>
                <w:sz w:val="14"/>
                <w:szCs w:val="14"/>
                <w:b w:val="1"/>
                <w:bCs w:val="1"/>
                <w:color w:val="auto"/>
              </w:rPr>
              <w:t>For the Nine Months Ended</w:t>
            </w:r>
          </w:p>
        </w:tc>
        <w:tc>
          <w:tcPr>
            <w:tcW w:w="100" w:type="dxa"/>
            <w:vAlign w:val="bottom"/>
          </w:tcPr>
          <w:p>
            <w:pPr>
              <w:spacing w:after="0"/>
              <w:rPr>
                <w:sz w:val="14"/>
                <w:szCs w:val="14"/>
                <w:color w:val="auto"/>
              </w:rPr>
            </w:pPr>
          </w:p>
        </w:tc>
      </w:tr>
      <w:tr>
        <w:trPr>
          <w:trHeight w:val="185"/>
        </w:trPr>
        <w:tc>
          <w:tcPr>
            <w:tcW w:w="588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7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tcBorders>
              <w:bottom w:val="single" w:sz="8" w:color="auto"/>
            </w:tcBorders>
            <w:gridSpan w:val="3"/>
          </w:tcPr>
          <w:p>
            <w:pPr>
              <w:ind w:left="820"/>
              <w:spacing w:after="0"/>
              <w:rPr>
                <w:sz w:val="20"/>
                <w:szCs w:val="20"/>
                <w:color w:val="auto"/>
              </w:rPr>
            </w:pPr>
            <w:r>
              <w:rPr>
                <w:rFonts w:ascii="Arial" w:cs="Arial" w:eastAsia="Arial" w:hAnsi="Arial"/>
                <w:sz w:val="14"/>
                <w:szCs w:val="14"/>
                <w:b w:val="1"/>
                <w:bCs w:val="1"/>
                <w:color w:val="auto"/>
                <w:w w:val="96"/>
              </w:rPr>
              <w:t>December 31,</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880" w:type="dxa"/>
            <w:vAlign w:val="bottom"/>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3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110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Pr>
          <w:p>
            <w:pPr>
              <w:spacing w:after="0"/>
              <w:rPr>
                <w:sz w:val="14"/>
                <w:szCs w:val="14"/>
                <w:color w:val="auto"/>
              </w:rPr>
            </w:pPr>
          </w:p>
        </w:tc>
      </w:tr>
      <w:tr>
        <w:trPr>
          <w:trHeight w:val="236"/>
        </w:trPr>
        <w:tc>
          <w:tcPr>
            <w:tcW w:w="5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Common stock options</w:t>
            </w:r>
          </w:p>
        </w:tc>
        <w:tc>
          <w:tcPr>
            <w:tcW w:w="780" w:type="dxa"/>
            <w:vAlign w:val="bottom"/>
            <w:shd w:val="clear" w:color="auto" w:fill="CFF0FC"/>
          </w:tcPr>
          <w:p>
            <w:pPr>
              <w:spacing w:after="0"/>
              <w:rPr>
                <w:sz w:val="20"/>
                <w:szCs w:val="20"/>
                <w:color w:val="auto"/>
              </w:rPr>
            </w:pPr>
          </w:p>
        </w:tc>
        <w:tc>
          <w:tcPr>
            <w:tcW w:w="360" w:type="dxa"/>
            <w:vAlign w:val="bottom"/>
            <w:shd w:val="clear" w:color="auto" w:fill="CFF0FC"/>
          </w:tcPr>
          <w:p>
            <w:pPr>
              <w:ind w:left="16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100" w:type="dxa"/>
            <w:vAlign w:val="bottom"/>
            <w:shd w:val="clear" w:color="auto" w:fill="CFF0FC"/>
          </w:tcPr>
          <w:p>
            <w:pPr>
              <w:ind w:left="92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r>
      <w:tr>
        <w:trPr>
          <w:trHeight w:val="243"/>
        </w:trPr>
        <w:tc>
          <w:tcPr>
            <w:tcW w:w="5880" w:type="dxa"/>
            <w:vAlign w:val="bottom"/>
          </w:tcPr>
          <w:p>
            <w:pPr>
              <w:ind w:left="20"/>
              <w:spacing w:after="0"/>
              <w:rPr>
                <w:sz w:val="20"/>
                <w:szCs w:val="20"/>
                <w:color w:val="auto"/>
              </w:rPr>
            </w:pPr>
            <w:r>
              <w:rPr>
                <w:rFonts w:ascii="Arial" w:cs="Arial" w:eastAsia="Arial" w:hAnsi="Arial"/>
                <w:sz w:val="18"/>
                <w:szCs w:val="18"/>
                <w:color w:val="auto"/>
              </w:rPr>
              <w:t>Restricted shares</w:t>
            </w:r>
          </w:p>
        </w:tc>
        <w:tc>
          <w:tcPr>
            <w:tcW w:w="78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203,636</w:t>
            </w:r>
          </w:p>
        </w:tc>
        <w:tc>
          <w:tcPr>
            <w:tcW w:w="220" w:type="dxa"/>
            <w:vAlign w:val="bottom"/>
          </w:tcPr>
          <w:p>
            <w:pPr>
              <w:spacing w:after="0"/>
              <w:rPr>
                <w:sz w:val="21"/>
                <w:szCs w:val="21"/>
                <w:color w:val="auto"/>
              </w:rPr>
            </w:pPr>
          </w:p>
        </w:tc>
        <w:tc>
          <w:tcPr>
            <w:tcW w:w="1100" w:type="dxa"/>
            <w:vAlign w:val="bottom"/>
            <w:tcBorders>
              <w:bottom w:val="single" w:sz="8" w:color="auto"/>
            </w:tcBorders>
          </w:tcPr>
          <w:p>
            <w:pPr>
              <w:ind w:left="92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17,803</w:t>
            </w:r>
          </w:p>
        </w:tc>
        <w:tc>
          <w:tcPr>
            <w:tcW w:w="100" w:type="dxa"/>
            <w:vAlign w:val="bottom"/>
          </w:tcPr>
          <w:p>
            <w:pPr>
              <w:spacing w:after="0"/>
              <w:rPr>
                <w:sz w:val="21"/>
                <w:szCs w:val="21"/>
                <w:color w:val="auto"/>
              </w:rPr>
            </w:pPr>
          </w:p>
        </w:tc>
      </w:tr>
      <w:tr>
        <w:trPr>
          <w:trHeight w:val="276"/>
        </w:trPr>
        <w:tc>
          <w:tcPr>
            <w:tcW w:w="66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360" w:type="dxa"/>
            <w:vAlign w:val="bottom"/>
            <w:shd w:val="clear" w:color="auto" w:fill="CFF0FC"/>
          </w:tcPr>
          <w:p>
            <w:pPr>
              <w:ind w:left="16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24"/>
                <w:szCs w:val="24"/>
                <w:color w:val="auto"/>
              </w:rPr>
            </w:pPr>
          </w:p>
        </w:tc>
        <w:tc>
          <w:tcPr>
            <w:tcW w:w="380" w:type="dxa"/>
            <w:vAlign w:val="bottom"/>
            <w:shd w:val="clear" w:color="auto" w:fill="CFF0FC"/>
          </w:tcPr>
          <w:p>
            <w:pPr>
              <w:spacing w:after="0"/>
              <w:rPr>
                <w:sz w:val="24"/>
                <w:szCs w:val="2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203,636</w:t>
            </w:r>
          </w:p>
        </w:tc>
        <w:tc>
          <w:tcPr>
            <w:tcW w:w="220" w:type="dxa"/>
            <w:vAlign w:val="bottom"/>
            <w:shd w:val="clear" w:color="auto" w:fill="CFF0FC"/>
          </w:tcPr>
          <w:p>
            <w:pPr>
              <w:spacing w:after="0"/>
              <w:rPr>
                <w:sz w:val="24"/>
                <w:szCs w:val="24"/>
                <w:color w:val="auto"/>
              </w:rPr>
            </w:pPr>
          </w:p>
        </w:tc>
        <w:tc>
          <w:tcPr>
            <w:tcW w:w="1100" w:type="dxa"/>
            <w:vAlign w:val="bottom"/>
            <w:shd w:val="clear" w:color="auto" w:fill="CFF0FC"/>
          </w:tcPr>
          <w:p>
            <w:pPr>
              <w:ind w:left="92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FF0FC"/>
          </w:tcPr>
          <w:p>
            <w:pPr>
              <w:spacing w:after="0"/>
              <w:rPr>
                <w:sz w:val="24"/>
                <w:szCs w:val="24"/>
                <w:color w:val="auto"/>
              </w:rPr>
            </w:pPr>
          </w:p>
        </w:tc>
        <w:tc>
          <w:tcPr>
            <w:tcW w:w="400" w:type="dxa"/>
            <w:vAlign w:val="bottom"/>
            <w:shd w:val="clear" w:color="auto" w:fill="CFF0FC"/>
          </w:tcPr>
          <w:p>
            <w:pPr>
              <w:spacing w:after="0"/>
              <w:rPr>
                <w:sz w:val="24"/>
                <w:szCs w:val="2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17,803</w:t>
            </w:r>
          </w:p>
        </w:tc>
        <w:tc>
          <w:tcPr>
            <w:tcW w:w="100" w:type="dxa"/>
            <w:vAlign w:val="bottom"/>
            <w:shd w:val="clear" w:color="auto" w:fill="CFF0FC"/>
          </w:tcPr>
          <w:p>
            <w:pPr>
              <w:spacing w:after="0"/>
              <w:rPr>
                <w:sz w:val="24"/>
                <w:szCs w:val="24"/>
                <w:color w:val="auto"/>
              </w:rPr>
            </w:pPr>
          </w:p>
        </w:tc>
      </w:tr>
      <w:tr>
        <w:trPr>
          <w:trHeight w:val="628"/>
        </w:trPr>
        <w:tc>
          <w:tcPr>
            <w:tcW w:w="5880" w:type="dxa"/>
            <w:vAlign w:val="bottom"/>
            <w:tcBorders>
              <w:top w:val="single" w:sz="8" w:color="CFF0FC"/>
            </w:tcBorders>
          </w:tcPr>
          <w:p>
            <w:pPr>
              <w:jc w:val="right"/>
              <w:ind w:right="70"/>
              <w:spacing w:after="0"/>
              <w:rPr>
                <w:sz w:val="20"/>
                <w:szCs w:val="20"/>
                <w:color w:val="auto"/>
              </w:rPr>
            </w:pPr>
            <w:r>
              <w:rPr>
                <w:rFonts w:ascii="Arial" w:cs="Arial" w:eastAsia="Arial" w:hAnsi="Arial"/>
                <w:sz w:val="18"/>
                <w:szCs w:val="18"/>
                <w:color w:val="auto"/>
              </w:rPr>
              <w:t>15</w:t>
            </w:r>
          </w:p>
        </w:tc>
        <w:tc>
          <w:tcPr>
            <w:tcW w:w="78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115"/>
        </w:trPr>
        <w:tc>
          <w:tcPr>
            <w:tcW w:w="588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4457700</wp:posOffset>
            </wp:positionH>
            <wp:positionV relativeFrom="paragraph">
              <wp:posOffset>-521970</wp:posOffset>
            </wp:positionV>
            <wp:extent cx="7683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4457700</wp:posOffset>
            </wp:positionH>
            <wp:positionV relativeFrom="paragraph">
              <wp:posOffset>-504825</wp:posOffset>
            </wp:positionV>
            <wp:extent cx="7683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5347970</wp:posOffset>
            </wp:positionH>
            <wp:positionV relativeFrom="paragraph">
              <wp:posOffset>-521970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5347970</wp:posOffset>
            </wp:positionH>
            <wp:positionV relativeFrom="paragraph">
              <wp:posOffset>-504825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-521970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-504825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-521970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NOTE 12 — LONG-TERM DEBT</w:t>
      </w:r>
    </w:p>
    <w:p>
      <w:pPr>
        <w:spacing w:after="0" w:line="17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Long-term debt consisted of the following (dollars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4"/>
                <w:szCs w:val="14"/>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March 31,</w:t>
            </w:r>
          </w:p>
        </w:tc>
      </w:tr>
      <w:tr>
        <w:trPr>
          <w:trHeight w:val="185"/>
        </w:trPr>
        <w:tc>
          <w:tcPr>
            <w:tcW w:w="77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r>
      <w:tr>
        <w:trPr>
          <w:trHeight w:val="236"/>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Revolving credit facility</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28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r>
      <w:tr>
        <w:trPr>
          <w:trHeight w:val="236"/>
        </w:trPr>
        <w:tc>
          <w:tcPr>
            <w:tcW w:w="7700" w:type="dxa"/>
            <w:vAlign w:val="bottom"/>
          </w:tcPr>
          <w:p>
            <w:pPr>
              <w:ind w:left="20"/>
              <w:spacing w:after="0"/>
              <w:rPr>
                <w:sz w:val="20"/>
                <w:szCs w:val="20"/>
                <w:color w:val="auto"/>
              </w:rPr>
            </w:pPr>
            <w:r>
              <w:rPr>
                <w:rFonts w:ascii="Arial" w:cs="Arial" w:eastAsia="Arial" w:hAnsi="Arial"/>
                <w:sz w:val="18"/>
                <w:szCs w:val="18"/>
                <w:color w:val="auto"/>
              </w:rPr>
              <w:t>Equipment debt obligations</w:t>
            </w: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2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0"/>
                <w:szCs w:val="20"/>
                <w:color w:val="auto"/>
              </w:rPr>
            </w:pPr>
          </w:p>
        </w:tc>
      </w:tr>
      <w:tr>
        <w:trPr>
          <w:trHeight w:val="242"/>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long-term debt</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5,023</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FF0FC"/>
          </w:tcPr>
          <w:p>
            <w:pPr>
              <w:spacing w:after="0"/>
              <w:rPr>
                <w:sz w:val="21"/>
                <w:szCs w:val="21"/>
                <w:color w:val="auto"/>
              </w:rPr>
            </w:pPr>
          </w:p>
        </w:tc>
      </w:tr>
      <w:tr>
        <w:trPr>
          <w:trHeight w:val="236"/>
        </w:trPr>
        <w:tc>
          <w:tcPr>
            <w:tcW w:w="7700" w:type="dxa"/>
            <w:vAlign w:val="bottom"/>
          </w:tcPr>
          <w:p>
            <w:pPr>
              <w:ind w:left="20"/>
              <w:spacing w:after="0"/>
              <w:rPr>
                <w:sz w:val="20"/>
                <w:szCs w:val="20"/>
                <w:color w:val="auto"/>
              </w:rPr>
            </w:pPr>
            <w:r>
              <w:rPr>
                <w:rFonts w:ascii="Arial" w:cs="Arial" w:eastAsia="Arial" w:hAnsi="Arial"/>
                <w:sz w:val="18"/>
                <w:szCs w:val="18"/>
                <w:color w:val="auto"/>
              </w:rPr>
              <w:t>Less current maturities</w:t>
            </w:r>
          </w:p>
        </w:tc>
        <w:tc>
          <w:tcPr>
            <w:tcW w:w="240" w:type="dxa"/>
            <w:vAlign w:val="bottom"/>
          </w:tcPr>
          <w:p>
            <w:pPr>
              <w:spacing w:after="0"/>
              <w:rPr>
                <w:sz w:val="20"/>
                <w:szCs w:val="20"/>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(16 )</w:t>
            </w:r>
          </w:p>
        </w:tc>
        <w:tc>
          <w:tcPr>
            <w:tcW w:w="280" w:type="dxa"/>
            <w:vAlign w:val="bottom"/>
          </w:tcPr>
          <w:p>
            <w:pPr>
              <w:spacing w:after="0"/>
              <w:rPr>
                <w:sz w:val="20"/>
                <w:szCs w:val="20"/>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(16 )</w:t>
            </w:r>
          </w:p>
        </w:tc>
      </w:tr>
      <w:tr>
        <w:trPr>
          <w:trHeight w:val="276"/>
        </w:trPr>
        <w:tc>
          <w:tcPr>
            <w:tcW w:w="7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Long-term debt, less current maturities</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5,007</w:t>
            </w:r>
          </w:p>
        </w:tc>
        <w:tc>
          <w:tcPr>
            <w:tcW w:w="28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5887085</wp:posOffset>
            </wp:positionH>
            <wp:positionV relativeFrom="paragraph">
              <wp:posOffset>-24765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-7620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Agreement</w:t>
      </w:r>
    </w:p>
    <w:p>
      <w:pPr>
        <w:spacing w:after="0" w:line="171" w:lineRule="exact"/>
        <w:rPr>
          <w:sz w:val="20"/>
          <w:szCs w:val="20"/>
          <w:color w:val="auto"/>
        </w:rPr>
      </w:pPr>
    </w:p>
    <w:p>
      <w:pPr>
        <w:jc w:val="both"/>
        <w:ind w:firstLine="464"/>
        <w:spacing w:after="0" w:line="341" w:lineRule="auto"/>
        <w:rPr>
          <w:sz w:val="20"/>
          <w:szCs w:val="20"/>
          <w:color w:val="auto"/>
        </w:rPr>
      </w:pPr>
      <w:r>
        <w:rPr>
          <w:rFonts w:ascii="Arial" w:cs="Arial" w:eastAsia="Arial" w:hAnsi="Arial"/>
          <w:sz w:val="16"/>
          <w:szCs w:val="16"/>
          <w:color w:val="auto"/>
        </w:rPr>
        <w:t>On December 29, 2020, Orion entered into a new $25 million Loan and Security Agreement with Bank of America, N.A., as lender (the “Credit Agreement”). The Credit Agreement replaced Orion’s prior $20.15 million secured revolving credit and security agreement (the “Prior Credit Agreement”).</w:t>
      </w:r>
    </w:p>
    <w:p>
      <w:pPr>
        <w:spacing w:after="0" w:line="70" w:lineRule="exact"/>
        <w:rPr>
          <w:sz w:val="20"/>
          <w:szCs w:val="20"/>
          <w:color w:val="auto"/>
        </w:rPr>
      </w:pPr>
    </w:p>
    <w:p>
      <w:pPr>
        <w:jc w:val="both"/>
        <w:ind w:firstLine="464"/>
        <w:spacing w:after="0" w:line="277" w:lineRule="auto"/>
        <w:rPr>
          <w:sz w:val="20"/>
          <w:szCs w:val="20"/>
          <w:color w:val="auto"/>
        </w:rPr>
      </w:pPr>
      <w:r>
        <w:rPr>
          <w:rFonts w:ascii="Arial" w:cs="Arial" w:eastAsia="Arial" w:hAnsi="Arial"/>
          <w:sz w:val="18"/>
          <w:szCs w:val="18"/>
          <w:color w:val="auto"/>
        </w:rPr>
        <w:t>The replacement of the Prior Credit Agreement with the Credit Agreement provides Orion with increased financing capacity and liquidity to fund its operations and implement its strategic plans.</w:t>
      </w:r>
    </w:p>
    <w:p>
      <w:pPr>
        <w:spacing w:after="0" w:line="116" w:lineRule="exact"/>
        <w:rPr>
          <w:sz w:val="20"/>
          <w:szCs w:val="20"/>
          <w:color w:val="auto"/>
        </w:rPr>
      </w:pPr>
    </w:p>
    <w:p>
      <w:pPr>
        <w:jc w:val="both"/>
        <w:ind w:firstLine="464"/>
        <w:spacing w:after="0" w:line="259" w:lineRule="auto"/>
        <w:rPr>
          <w:sz w:val="20"/>
          <w:szCs w:val="20"/>
          <w:color w:val="auto"/>
        </w:rPr>
      </w:pPr>
      <w:r>
        <w:rPr>
          <w:rFonts w:ascii="Arial" w:cs="Arial" w:eastAsia="Arial" w:hAnsi="Arial"/>
          <w:sz w:val="18"/>
          <w:szCs w:val="18"/>
          <w:color w:val="auto"/>
        </w:rPr>
        <w:t>The Credit Agreement provides for a five-year $25.0 million revolving credit facility (the “Credit Facility”) that matures on December 29, 2025. Borrowings under the Credit Facility are subject to a borrowing base requirement based on eligible receivables, inventory and cash. As of December 31, 2022, the borrowing base supported $16.3 million of availability under the Credit Facility. As of December 31, 2022, $5.0 million was borrowed under the Credit Facility.</w:t>
      </w:r>
    </w:p>
    <w:p>
      <w:pPr>
        <w:spacing w:after="0" w:line="131" w:lineRule="exact"/>
        <w:rPr>
          <w:sz w:val="20"/>
          <w:szCs w:val="20"/>
          <w:color w:val="auto"/>
        </w:rPr>
      </w:pPr>
    </w:p>
    <w:p>
      <w:pPr>
        <w:jc w:val="both"/>
        <w:ind w:firstLine="464"/>
        <w:spacing w:after="0" w:line="255" w:lineRule="auto"/>
        <w:rPr>
          <w:sz w:val="20"/>
          <w:szCs w:val="20"/>
          <w:color w:val="auto"/>
        </w:rPr>
      </w:pPr>
      <w:r>
        <w:rPr>
          <w:rFonts w:ascii="Arial" w:cs="Arial" w:eastAsia="Arial" w:hAnsi="Arial"/>
          <w:sz w:val="18"/>
          <w:szCs w:val="18"/>
          <w:color w:val="auto"/>
        </w:rPr>
        <w:t>Effective November 4, 2022, Orion, with Bank of America, N.A. as lender, executed Amendment No. 1 to its Credit Agreement. The primary purpose of the amendment was to include the assets of the acquired subsidiaries, Stay-Lite Lighting and Voltrek, as secured collateral under the Credit Agreement. Accordingly, eligible assets of Stay-Lite and Voltrek will be included in the borrowing base calculation for the purpose of establishing the monthly borrowing availability under the Credit Agreement. The amendment also clarifies that the earnout liabilities associated with the Stay-Lite and Voltrek transactions are permitted under the Credit Agreement and that the expenses recognized in connection with those earnouts should be added back in the computation of EBITDA, as defined, under the Credit Agreement.</w:t>
      </w:r>
    </w:p>
    <w:p>
      <w:pPr>
        <w:spacing w:after="0" w:line="13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As of December 31, 2022, Orion was in compliance with all debt covenants.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Equipment Debt Obligations</w:t>
      </w:r>
    </w:p>
    <w:p>
      <w:pPr>
        <w:spacing w:after="0" w:line="171" w:lineRule="exact"/>
        <w:rPr>
          <w:sz w:val="20"/>
          <w:szCs w:val="20"/>
          <w:color w:val="auto"/>
        </w:rPr>
      </w:pPr>
    </w:p>
    <w:p>
      <w:pPr>
        <w:jc w:val="both"/>
        <w:ind w:right="20" w:firstLine="469"/>
        <w:spacing w:after="0" w:line="263" w:lineRule="auto"/>
        <w:rPr>
          <w:sz w:val="20"/>
          <w:szCs w:val="20"/>
          <w:color w:val="auto"/>
        </w:rPr>
      </w:pPr>
      <w:r>
        <w:rPr>
          <w:rFonts w:ascii="Arial" w:cs="Arial" w:eastAsia="Arial" w:hAnsi="Arial"/>
          <w:sz w:val="18"/>
          <w:szCs w:val="18"/>
          <w:color w:val="auto"/>
        </w:rPr>
        <w:t>In February 2019, Orion entered into additional debt agreements with a financing company in the principal amount of $44 thousand and $30 thousand to fund the purchase of certain equipment. The debts are secured by the related equipment. The debts bear interest at a rate of 6.43% and 8.77% per annum, respectively, and both debts mature in January 2024.</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INCOME TAXES</w:t>
      </w:r>
    </w:p>
    <w:p>
      <w:pPr>
        <w:spacing w:after="0" w:line="175" w:lineRule="exact"/>
        <w:rPr>
          <w:sz w:val="20"/>
          <w:szCs w:val="20"/>
          <w:color w:val="auto"/>
        </w:rPr>
      </w:pPr>
    </w:p>
    <w:p>
      <w:pPr>
        <w:jc w:val="both"/>
        <w:ind w:firstLine="469"/>
        <w:spacing w:after="0" w:line="293" w:lineRule="auto"/>
        <w:rPr>
          <w:sz w:val="20"/>
          <w:szCs w:val="20"/>
          <w:color w:val="auto"/>
        </w:rPr>
      </w:pPr>
      <w:r>
        <w:rPr>
          <w:rFonts w:ascii="Arial" w:cs="Arial" w:eastAsia="Arial" w:hAnsi="Arial"/>
          <w:sz w:val="16"/>
          <w:szCs w:val="16"/>
          <w:color w:val="auto"/>
        </w:rPr>
        <w:t>Orion’s income tax provision was determined by applying an estimated annual effective tax rate, based upon the facts and circumstances known, to book income (loss) before income tax, adjusting for discrete items. Orion’s actual effective tax rate is adjusted each interim period, as appropriate, for changes in facts and circumstances. For the three months ended December 31, 2022 and 2021, Orion recorded income tax expense of $19.4 million and $0.2 million, respectively, using this methodology. For the nine months ended December 31, 2022 and 2021, Orion recorded income tax expense of $17.9 million and $2.4 million, respectively, using this methodology. The increase in the Company’s tax expense relates primarily to a non-cash charge of $17.8 million in relation to recording a valuation allowance associated with the Company’s domestic federal and state deferred tax assets.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sectPr>
      </w:pPr>
    </w:p>
    <w:bookmarkStart w:id="16" w:name="page17"/>
    <w:bookmarkEnd w:id="16"/>
    <w:p>
      <w:pPr>
        <w:jc w:val="both"/>
        <w:ind w:firstLine="464"/>
        <w:spacing w:after="0" w:line="301" w:lineRule="auto"/>
        <w:rPr>
          <w:sz w:val="20"/>
          <w:szCs w:val="20"/>
          <w:color w:val="auto"/>
        </w:rPr>
      </w:pPr>
      <w:r>
        <w:rPr>
          <w:rFonts w:ascii="Arial" w:cs="Arial" w:eastAsia="Arial" w:hAnsi="Arial"/>
          <w:sz w:val="16"/>
          <w:szCs w:val="16"/>
          <w:color w:val="auto"/>
        </w:rPr>
        <w:t>As of December 31, 2022 and March 31, 2022, Orion has a recorded valuation allowance of $19.1 million and $1.2 million, respectively, against its net deferred tax asset balance. The accounting forecasts, as revised in the current quarter, projects losses in the near term. Orion now projects a 36-month cumulative loss starting from fiscal year 2023. As such, Orion management has concluded that it is more likely than not that the domestic deferred tax assets will not be realized and an increase to the valuation allowance has been recorded in the third quarter, which increased tax expense by $17.8 million.</w:t>
      </w:r>
    </w:p>
    <w:p>
      <w:pPr>
        <w:spacing w:after="0" w:line="102" w:lineRule="exact"/>
        <w:rPr>
          <w:sz w:val="20"/>
          <w:szCs w:val="20"/>
          <w:color w:val="auto"/>
        </w:rPr>
      </w:pPr>
    </w:p>
    <w:p>
      <w:pPr>
        <w:jc w:val="both"/>
        <w:ind w:firstLine="464"/>
        <w:spacing w:after="0" w:line="259" w:lineRule="auto"/>
        <w:rPr>
          <w:sz w:val="20"/>
          <w:szCs w:val="20"/>
          <w:color w:val="auto"/>
        </w:rPr>
      </w:pPr>
      <w:r>
        <w:rPr>
          <w:rFonts w:ascii="Arial" w:cs="Arial" w:eastAsia="Arial" w:hAnsi="Arial"/>
          <w:sz w:val="18"/>
          <w:szCs w:val="18"/>
          <w:color w:val="auto"/>
        </w:rPr>
        <w:t>As of each reporting date, management considers new evidence, both positive and negative, that could affect its view of the future realization of deferred tax assets. Orion considers future taxable income and ongoing prudent and feasible tax planning strategies in assessing the need for the valuation allowance. In the event that Orion determines that the more or less of its deferred tax assets are able to be realized, an adjustment to the valuation allowance would be reflected in the company’s provision for income taxes.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 Tax Positions</w:t>
      </w:r>
    </w:p>
    <w:p>
      <w:pPr>
        <w:spacing w:after="0" w:line="171" w:lineRule="exact"/>
        <w:rPr>
          <w:sz w:val="20"/>
          <w:szCs w:val="20"/>
          <w:color w:val="auto"/>
        </w:rPr>
      </w:pPr>
    </w:p>
    <w:p>
      <w:pPr>
        <w:jc w:val="both"/>
        <w:ind w:firstLine="464"/>
        <w:spacing w:after="0" w:line="277" w:lineRule="auto"/>
        <w:rPr>
          <w:sz w:val="20"/>
          <w:szCs w:val="20"/>
          <w:color w:val="auto"/>
        </w:rPr>
      </w:pPr>
      <w:r>
        <w:rPr>
          <w:rFonts w:ascii="Arial" w:cs="Arial" w:eastAsia="Arial" w:hAnsi="Arial"/>
          <w:sz w:val="18"/>
          <w:szCs w:val="18"/>
          <w:color w:val="auto"/>
        </w:rPr>
        <w:t>As of December 31, 2022, Orion’s balance of gross unrecognized tax benefits was approximately $0.2 million, all of which would reduce Orion’s effective tax rate if recognized.</w:t>
      </w:r>
    </w:p>
    <w:p>
      <w:pPr>
        <w:spacing w:after="0" w:line="116" w:lineRule="exact"/>
        <w:rPr>
          <w:sz w:val="20"/>
          <w:szCs w:val="20"/>
          <w:color w:val="auto"/>
        </w:rPr>
      </w:pPr>
    </w:p>
    <w:p>
      <w:pPr>
        <w:jc w:val="both"/>
        <w:ind w:firstLine="464"/>
        <w:spacing w:after="0" w:line="263" w:lineRule="auto"/>
        <w:rPr>
          <w:sz w:val="20"/>
          <w:szCs w:val="20"/>
          <w:color w:val="auto"/>
        </w:rPr>
      </w:pPr>
      <w:r>
        <w:rPr>
          <w:rFonts w:ascii="Arial" w:cs="Arial" w:eastAsia="Arial" w:hAnsi="Arial"/>
          <w:sz w:val="18"/>
          <w:szCs w:val="18"/>
          <w:color w:val="auto"/>
        </w:rPr>
        <w:t>Orion has classified the amounts recorded for uncertain tax benefits in the balance sheet as Other long-term liabilities to the extent that payment is not anticipated within one year. Orion recognizes penalties and interest related to uncertain tax liabilities in income tax (benefit) expense. Penalties and interest are included in the unrecognized tax benefits.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COMMITMENTS AND CONTINGENCIES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71" w:lineRule="exact"/>
        <w:rPr>
          <w:sz w:val="20"/>
          <w:szCs w:val="20"/>
          <w:color w:val="auto"/>
        </w:rPr>
      </w:pPr>
    </w:p>
    <w:p>
      <w:pPr>
        <w:jc w:val="both"/>
        <w:ind w:firstLine="469"/>
        <w:spacing w:after="0" w:line="307" w:lineRule="auto"/>
        <w:rPr>
          <w:sz w:val="20"/>
          <w:szCs w:val="20"/>
          <w:color w:val="auto"/>
        </w:rPr>
      </w:pPr>
      <w:r>
        <w:rPr>
          <w:rFonts w:ascii="Arial" w:cs="Arial" w:eastAsia="Arial" w:hAnsi="Arial"/>
          <w:sz w:val="17"/>
          <w:szCs w:val="17"/>
          <w:color w:val="auto"/>
        </w:rPr>
        <w:t>Orion is subject to various claims and legal proceedings arising in the ordinary course of business. Orion does not believe the final resolution of any of such claims or legal proceedings will have a material adverse effect on Orion’s future results of operations or financial condition.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 Tax Assessment</w:t>
      </w:r>
    </w:p>
    <w:p>
      <w:pPr>
        <w:spacing w:after="0" w:line="171" w:lineRule="exact"/>
        <w:rPr>
          <w:sz w:val="20"/>
          <w:szCs w:val="20"/>
          <w:color w:val="auto"/>
        </w:rPr>
      </w:pPr>
    </w:p>
    <w:p>
      <w:pPr>
        <w:jc w:val="both"/>
        <w:ind w:firstLine="469"/>
        <w:spacing w:after="0" w:line="341" w:lineRule="auto"/>
        <w:rPr>
          <w:sz w:val="20"/>
          <w:szCs w:val="20"/>
          <w:color w:val="auto"/>
        </w:rPr>
      </w:pPr>
      <w:r>
        <w:rPr>
          <w:rFonts w:ascii="Arial" w:cs="Arial" w:eastAsia="Arial" w:hAnsi="Arial"/>
          <w:sz w:val="16"/>
          <w:szCs w:val="16"/>
          <w:color w:val="auto"/>
        </w:rPr>
        <w:t>During fiscal year 2018, Orion was notified of a pending sales and use tax audit by the Wisconsin Department of Revenue for the period covering April 1, 2013 through March 31, 2017. This sales and use tax audit was settled during the quarter ended June 30, 2022 with no tax adjustment.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SHAREHOLDERS’ EQUITY</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71" w:lineRule="exact"/>
        <w:rPr>
          <w:sz w:val="20"/>
          <w:szCs w:val="20"/>
          <w:color w:val="auto"/>
        </w:rPr>
      </w:pPr>
    </w:p>
    <w:p>
      <w:pPr>
        <w:jc w:val="both"/>
        <w:ind w:firstLine="464"/>
        <w:spacing w:after="0" w:line="277" w:lineRule="auto"/>
        <w:rPr>
          <w:sz w:val="20"/>
          <w:szCs w:val="20"/>
          <w:color w:val="auto"/>
        </w:rPr>
      </w:pPr>
      <w:r>
        <w:rPr>
          <w:rFonts w:ascii="Arial" w:cs="Arial" w:eastAsia="Arial" w:hAnsi="Arial"/>
          <w:sz w:val="18"/>
          <w:szCs w:val="18"/>
          <w:color w:val="auto"/>
        </w:rPr>
        <w:t>In August 2010, Orion’s Board of Directors approved a non-compensatory employee stock purchase plan, or “ESPP”. In the three months ended December 31, 2022, Orion issued 621shares under the ESPP plan at a closing market price of $1.82.</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88"/>
              </w:rPr>
              <w:t>Shares Issued</w:t>
            </w:r>
          </w:p>
        </w:tc>
        <w:tc>
          <w:tcPr>
            <w:tcW w:w="280" w:type="dxa"/>
            <w:vAlign w:val="bottom"/>
          </w:tcPr>
          <w:p>
            <w:pPr>
              <w:spacing w:after="0"/>
              <w:rPr>
                <w:sz w:val="14"/>
                <w:szCs w:val="14"/>
                <w:color w:val="auto"/>
              </w:rPr>
            </w:pPr>
          </w:p>
        </w:tc>
        <w:tc>
          <w:tcPr>
            <w:tcW w:w="1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Closing Market</w:t>
            </w:r>
          </w:p>
        </w:tc>
        <w:tc>
          <w:tcPr>
            <w:tcW w:w="0" w:type="dxa"/>
            <w:vAlign w:val="bottom"/>
          </w:tcPr>
          <w:p>
            <w:pPr>
              <w:spacing w:after="0"/>
              <w:rPr>
                <w:sz w:val="1"/>
                <w:szCs w:val="1"/>
                <w:color w:val="auto"/>
              </w:rPr>
            </w:pPr>
          </w:p>
        </w:tc>
      </w:tr>
      <w:tr>
        <w:trPr>
          <w:trHeight w:val="148"/>
        </w:trPr>
        <w:tc>
          <w:tcPr>
            <w:tcW w:w="770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 ESPP</w:t>
            </w:r>
          </w:p>
        </w:tc>
        <w:tc>
          <w:tcPr>
            <w:tcW w:w="280" w:type="dxa"/>
            <w:vAlign w:val="bottom"/>
          </w:tcPr>
          <w:p>
            <w:pPr>
              <w:spacing w:after="0"/>
              <w:rPr>
                <w:sz w:val="12"/>
                <w:szCs w:val="12"/>
                <w:color w:val="auto"/>
              </w:rPr>
            </w:pPr>
          </w:p>
        </w:tc>
        <w:tc>
          <w:tcPr>
            <w:tcW w:w="1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7700" w:type="dxa"/>
            <w:vAlign w:val="bottom"/>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Plan</w:t>
            </w:r>
          </w:p>
        </w:tc>
        <w:tc>
          <w:tcPr>
            <w:tcW w:w="28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36"/>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Quarter Ended June 30, 2022</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443</w:t>
            </w:r>
          </w:p>
        </w:tc>
        <w:tc>
          <w:tcPr>
            <w:tcW w:w="280" w:type="dxa"/>
            <w:vAlign w:val="bottom"/>
            <w:shd w:val="clear" w:color="auto" w:fill="CFF0FC"/>
          </w:tcPr>
          <w:p>
            <w:pPr>
              <w:spacing w:after="0"/>
              <w:rPr>
                <w:sz w:val="20"/>
                <w:szCs w:val="20"/>
                <w:color w:val="auto"/>
              </w:rPr>
            </w:pPr>
          </w:p>
        </w:tc>
        <w:tc>
          <w:tcPr>
            <w:tcW w:w="16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2.01</w:t>
            </w:r>
          </w:p>
        </w:tc>
        <w:tc>
          <w:tcPr>
            <w:tcW w:w="0" w:type="dxa"/>
            <w:vAlign w:val="bottom"/>
          </w:tcPr>
          <w:p>
            <w:pPr>
              <w:spacing w:after="0"/>
              <w:rPr>
                <w:sz w:val="1"/>
                <w:szCs w:val="1"/>
                <w:color w:val="auto"/>
              </w:rPr>
            </w:pPr>
          </w:p>
        </w:tc>
      </w:tr>
      <w:tr>
        <w:trPr>
          <w:trHeight w:val="236"/>
        </w:trPr>
        <w:tc>
          <w:tcPr>
            <w:tcW w:w="7700" w:type="dxa"/>
            <w:vAlign w:val="bottom"/>
          </w:tcPr>
          <w:p>
            <w:pPr>
              <w:ind w:left="20"/>
              <w:spacing w:after="0"/>
              <w:rPr>
                <w:sz w:val="20"/>
                <w:szCs w:val="20"/>
                <w:color w:val="auto"/>
              </w:rPr>
            </w:pPr>
            <w:r>
              <w:rPr>
                <w:rFonts w:ascii="Arial" w:cs="Arial" w:eastAsia="Arial" w:hAnsi="Arial"/>
                <w:sz w:val="18"/>
                <w:szCs w:val="18"/>
                <w:color w:val="auto"/>
              </w:rPr>
              <w:t>Quarter Ended September 30, 2022</w:t>
            </w:r>
          </w:p>
        </w:tc>
        <w:tc>
          <w:tcPr>
            <w:tcW w:w="1580" w:type="dxa"/>
            <w:vAlign w:val="bottom"/>
          </w:tcPr>
          <w:p>
            <w:pPr>
              <w:jc w:val="right"/>
              <w:spacing w:after="0"/>
              <w:rPr>
                <w:sz w:val="20"/>
                <w:szCs w:val="20"/>
                <w:color w:val="auto"/>
              </w:rPr>
            </w:pPr>
            <w:r>
              <w:rPr>
                <w:rFonts w:ascii="Arial" w:cs="Arial" w:eastAsia="Arial" w:hAnsi="Arial"/>
                <w:sz w:val="18"/>
                <w:szCs w:val="18"/>
                <w:color w:val="auto"/>
              </w:rPr>
              <w:t>648</w:t>
            </w:r>
          </w:p>
        </w:tc>
        <w:tc>
          <w:tcPr>
            <w:tcW w:w="1960" w:type="dxa"/>
            <w:vAlign w:val="bottom"/>
            <w:gridSpan w:val="2"/>
          </w:tcPr>
          <w:p>
            <w:pPr>
              <w:jc w:val="center"/>
              <w:ind w:left="190"/>
              <w:spacing w:after="0"/>
              <w:rPr>
                <w:sz w:val="20"/>
                <w:szCs w:val="20"/>
                <w:color w:val="auto"/>
              </w:rPr>
            </w:pPr>
            <w:r>
              <w:rPr>
                <w:rFonts w:ascii="Arial" w:cs="Arial" w:eastAsia="Arial" w:hAnsi="Arial"/>
                <w:sz w:val="18"/>
                <w:szCs w:val="18"/>
                <w:color w:val="auto"/>
                <w:w w:val="91"/>
              </w:rPr>
              <w:t>1.56</w:t>
            </w:r>
          </w:p>
        </w:tc>
        <w:tc>
          <w:tcPr>
            <w:tcW w:w="0" w:type="dxa"/>
            <w:vAlign w:val="bottom"/>
          </w:tcPr>
          <w:p>
            <w:pPr>
              <w:spacing w:after="0"/>
              <w:rPr>
                <w:sz w:val="1"/>
                <w:szCs w:val="1"/>
                <w:color w:val="auto"/>
              </w:rPr>
            </w:pPr>
          </w:p>
        </w:tc>
      </w:tr>
      <w:tr>
        <w:trPr>
          <w:trHeight w:val="243"/>
        </w:trPr>
        <w:tc>
          <w:tcPr>
            <w:tcW w:w="7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Quarter Ended December 31, 2022</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621</w:t>
            </w:r>
          </w:p>
        </w:tc>
        <w:tc>
          <w:tcPr>
            <w:tcW w:w="280" w:type="dxa"/>
            <w:vAlign w:val="bottom"/>
            <w:tcBorders>
              <w:bottom w:val="single" w:sz="8" w:color="CFF0FC"/>
            </w:tcBorders>
            <w:shd w:val="clear" w:color="auto" w:fill="CFF0FC"/>
          </w:tcPr>
          <w:p>
            <w:pPr>
              <w:spacing w:after="0"/>
              <w:rPr>
                <w:sz w:val="21"/>
                <w:szCs w:val="21"/>
                <w:color w:val="auto"/>
              </w:rPr>
            </w:pPr>
          </w:p>
        </w:tc>
        <w:tc>
          <w:tcPr>
            <w:tcW w:w="168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1"/>
              </w:rPr>
              <w:t>1.82</w:t>
            </w:r>
          </w:p>
        </w:tc>
        <w:tc>
          <w:tcPr>
            <w:tcW w:w="0" w:type="dxa"/>
            <w:vAlign w:val="bottom"/>
          </w:tcPr>
          <w:p>
            <w:pPr>
              <w:spacing w:after="0"/>
              <w:rPr>
                <w:sz w:val="1"/>
                <w:szCs w:val="1"/>
                <w:color w:val="auto"/>
              </w:rPr>
            </w:pPr>
          </w:p>
        </w:tc>
      </w:tr>
      <w:tr>
        <w:trPr>
          <w:trHeight w:val="236"/>
        </w:trPr>
        <w:tc>
          <w:tcPr>
            <w:tcW w:w="7700" w:type="dxa"/>
            <w:vAlign w:val="bottom"/>
          </w:tcPr>
          <w:p>
            <w:pPr>
              <w:ind w:left="20"/>
              <w:spacing w:after="0"/>
              <w:rPr>
                <w:sz w:val="20"/>
                <w:szCs w:val="20"/>
                <w:color w:val="auto"/>
              </w:rPr>
            </w:pPr>
            <w:r>
              <w:rPr>
                <w:rFonts w:ascii="Arial" w:cs="Arial" w:eastAsia="Arial" w:hAnsi="Arial"/>
                <w:sz w:val="18"/>
                <w:szCs w:val="18"/>
                <w:color w:val="auto"/>
              </w:rPr>
              <w:t>Total issued in fiscal 2022</w:t>
            </w:r>
          </w:p>
        </w:tc>
        <w:tc>
          <w:tcPr>
            <w:tcW w:w="1580" w:type="dxa"/>
            <w:vAlign w:val="bottom"/>
          </w:tcPr>
          <w:p>
            <w:pPr>
              <w:jc w:val="right"/>
              <w:spacing w:after="0"/>
              <w:rPr>
                <w:sz w:val="20"/>
                <w:szCs w:val="20"/>
                <w:color w:val="auto"/>
              </w:rPr>
            </w:pPr>
            <w:r>
              <w:rPr>
                <w:rFonts w:ascii="Arial" w:cs="Arial" w:eastAsia="Arial" w:hAnsi="Arial"/>
                <w:sz w:val="18"/>
                <w:szCs w:val="18"/>
                <w:color w:val="auto"/>
              </w:rPr>
              <w:t>1,712</w:t>
            </w:r>
          </w:p>
        </w:tc>
        <w:tc>
          <w:tcPr>
            <w:tcW w:w="1960" w:type="dxa"/>
            <w:vAlign w:val="bottom"/>
            <w:gridSpan w:val="2"/>
          </w:tcPr>
          <w:p>
            <w:pPr>
              <w:jc w:val="center"/>
              <w:ind w:left="190"/>
              <w:spacing w:after="0"/>
              <w:rPr>
                <w:sz w:val="20"/>
                <w:szCs w:val="20"/>
                <w:color w:val="auto"/>
              </w:rPr>
            </w:pPr>
            <w:r>
              <w:rPr>
                <w:rFonts w:ascii="Arial" w:cs="Arial" w:eastAsia="Arial" w:hAnsi="Arial"/>
                <w:sz w:val="18"/>
                <w:szCs w:val="18"/>
                <w:color w:val="auto"/>
                <w:w w:val="90"/>
              </w:rPr>
              <w:t>$ 1.56 - 2.01</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5895975</wp:posOffset>
            </wp:positionH>
            <wp:positionV relativeFrom="paragraph">
              <wp:posOffset>-187960</wp:posOffset>
            </wp:positionV>
            <wp:extent cx="68580" cy="18859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of shares</w:t>
      </w:r>
    </w:p>
    <w:p>
      <w:pPr>
        <w:spacing w:after="0" w:line="117" w:lineRule="exact"/>
        <w:rPr>
          <w:sz w:val="20"/>
          <w:szCs w:val="20"/>
          <w:color w:val="auto"/>
        </w:rPr>
      </w:pPr>
    </w:p>
    <w:p>
      <w:pPr>
        <w:jc w:val="both"/>
        <w:ind w:firstLine="464"/>
        <w:spacing w:after="0" w:line="277" w:lineRule="auto"/>
        <w:rPr>
          <w:sz w:val="20"/>
          <w:szCs w:val="20"/>
          <w:color w:val="auto"/>
        </w:rPr>
      </w:pPr>
      <w:r>
        <w:rPr>
          <w:rFonts w:ascii="Arial" w:cs="Arial" w:eastAsia="Arial" w:hAnsi="Arial"/>
          <w:sz w:val="18"/>
          <w:szCs w:val="18"/>
          <w:color w:val="auto"/>
        </w:rPr>
        <w:t>In March 2020, Orion filed a universal shelf registration statement with the Securities and Exchange Commission. Under the shelf registration statement, Orion currently has the flexibility to publicly offer and sell from time to time up to $100 million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17" w:name="page18"/>
    <w:bookmarkEnd w:id="17"/>
    <w:p>
      <w:pPr>
        <w:jc w:val="both"/>
        <w:spacing w:after="0" w:line="341" w:lineRule="auto"/>
        <w:rPr>
          <w:sz w:val="20"/>
          <w:szCs w:val="20"/>
          <w:color w:val="auto"/>
        </w:rPr>
      </w:pPr>
      <w:r>
        <w:rPr>
          <w:rFonts w:ascii="Arial" w:cs="Arial" w:eastAsia="Arial" w:hAnsi="Arial"/>
          <w:sz w:val="16"/>
          <w:szCs w:val="16"/>
          <w:color w:val="auto"/>
        </w:rPr>
        <w:t>of debt and/or equity securities. The filing of the shelf registration statement may help facilitate Orion’s ability to raise public equity or debt capital to expand existing businesses, fund potential acquisitions, invest in other growth opportunities, repay existing debt, or for other general corporate purposes.</w:t>
      </w:r>
    </w:p>
    <w:p>
      <w:pPr>
        <w:spacing w:after="0" w:line="70" w:lineRule="exact"/>
        <w:rPr>
          <w:sz w:val="20"/>
          <w:szCs w:val="20"/>
          <w:color w:val="auto"/>
        </w:rPr>
      </w:pPr>
    </w:p>
    <w:p>
      <w:pPr>
        <w:jc w:val="both"/>
        <w:ind w:firstLine="464"/>
        <w:spacing w:after="0" w:line="263" w:lineRule="auto"/>
        <w:rPr>
          <w:sz w:val="20"/>
          <w:szCs w:val="20"/>
          <w:color w:val="auto"/>
        </w:rPr>
      </w:pPr>
      <w:r>
        <w:rPr>
          <w:rFonts w:ascii="Arial" w:cs="Arial" w:eastAsia="Arial" w:hAnsi="Arial"/>
          <w:sz w:val="18"/>
          <w:szCs w:val="18"/>
          <w:color w:val="auto"/>
        </w:rPr>
        <w:t>In March 2021, Orion entered into an At Market Issuance Sales Agreement to undertake an “at the market” (ATM) public equity capital raising program pursuant to which Orion may offer and sell shares of common stock from time to time, having an aggregate offering price of up to $50 million. No share sales have been effected pursuant to the ATM program through December 31, 2022.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STOCK OPTIONS AND RESTRICTED SHARES</w:t>
      </w:r>
    </w:p>
    <w:p>
      <w:pPr>
        <w:spacing w:after="0" w:line="175" w:lineRule="exact"/>
        <w:rPr>
          <w:sz w:val="20"/>
          <w:szCs w:val="20"/>
          <w:color w:val="auto"/>
        </w:rPr>
      </w:pPr>
    </w:p>
    <w:p>
      <w:pPr>
        <w:jc w:val="both"/>
        <w:ind w:firstLine="469"/>
        <w:spacing w:after="0" w:line="256" w:lineRule="auto"/>
        <w:rPr>
          <w:sz w:val="20"/>
          <w:szCs w:val="20"/>
          <w:color w:val="auto"/>
        </w:rPr>
      </w:pPr>
      <w:r>
        <w:rPr>
          <w:rFonts w:ascii="Arial" w:cs="Arial" w:eastAsia="Arial" w:hAnsi="Arial"/>
          <w:sz w:val="18"/>
          <w:szCs w:val="18"/>
          <w:color w:val="auto"/>
        </w:rPr>
        <w:t>At Orion’s 2019 annual meeting of shareholders held on August 7, 2019, Orion’s shareholders approved the Orion Energy Systems, Inc. 2016 Omnibus Incentive Plan, as amended and restated (the “Amended 2016 Plan”). The Amended 2016 Plan increased the number of shares of Orion’s common stock available for issuance under the Amended 2016 Plan from 1,750,000 shares to 3,500,000 shares (an increase of 1,750,000 shares); added a minimum vesting period for all awards granted under the Amended 2016 Plan (with limited exceptions); and added a specific prohibition on the payment of dividends and dividend equivalents on unvested awards.</w:t>
      </w:r>
    </w:p>
    <w:p>
      <w:pPr>
        <w:spacing w:after="0" w:line="137" w:lineRule="exact"/>
        <w:rPr>
          <w:sz w:val="20"/>
          <w:szCs w:val="20"/>
          <w:color w:val="auto"/>
        </w:rPr>
      </w:pPr>
    </w:p>
    <w:p>
      <w:pPr>
        <w:jc w:val="both"/>
        <w:ind w:firstLine="469"/>
        <w:spacing w:after="0" w:line="263" w:lineRule="auto"/>
        <w:rPr>
          <w:sz w:val="20"/>
          <w:szCs w:val="20"/>
          <w:color w:val="auto"/>
        </w:rPr>
      </w:pPr>
      <w:r>
        <w:rPr>
          <w:rFonts w:ascii="Arial" w:cs="Arial" w:eastAsia="Arial" w:hAnsi="Arial"/>
          <w:sz w:val="18"/>
          <w:szCs w:val="18"/>
          <w:color w:val="auto"/>
        </w:rPr>
        <w:t>The Amended 2016 Plan authorizes grants of equity-based and incentive cash awards to eligible participants designated by the Plan's administrator. Awards under the Amended 2016 Plan may consist of stock options, stock appreciation rights, performance shares, performance units, common stock, restricted stock, restricted stock units, incentive awards or dividend equivalent units.</w:t>
      </w:r>
    </w:p>
    <w:p>
      <w:pPr>
        <w:spacing w:after="0" w:line="129" w:lineRule="exact"/>
        <w:rPr>
          <w:sz w:val="20"/>
          <w:szCs w:val="20"/>
          <w:color w:val="auto"/>
        </w:rPr>
      </w:pPr>
    </w:p>
    <w:p>
      <w:pPr>
        <w:jc w:val="both"/>
        <w:ind w:firstLine="469"/>
        <w:spacing w:after="0" w:line="275" w:lineRule="auto"/>
        <w:rPr>
          <w:sz w:val="20"/>
          <w:szCs w:val="20"/>
          <w:color w:val="auto"/>
        </w:rPr>
      </w:pPr>
      <w:r>
        <w:rPr>
          <w:rFonts w:ascii="Arial" w:cs="Arial" w:eastAsia="Arial" w:hAnsi="Arial"/>
          <w:sz w:val="17"/>
          <w:szCs w:val="17"/>
          <w:color w:val="auto"/>
        </w:rPr>
        <w:t>Prior to the 2016 Omnibus Incentive Plan, Orion maintained its 2004 Stock and Incentive Awards Plan, as amended, which authorized the grant of cash and equity awards to employees (the “2004 Plan”). No new awards are being granted under the 2004 Plan; however, all awards granted under the 2004 Plan that are outstanding will continue to be governed by the 2004 Plan. Forfeited awards originally issued under the 2004 Plan are canceled and are not available for subsequent issuance under the 2004 Plan or under the Amended 2016 Plan. The Amended 2016 Plan and the 2004 Plan also permit accelerated vesting in the event of certain changes of control of Orion as well as under other special circumstances.</w:t>
      </w:r>
    </w:p>
    <w:p>
      <w:pPr>
        <w:spacing w:after="0" w:line="121" w:lineRule="exact"/>
        <w:rPr>
          <w:sz w:val="20"/>
          <w:szCs w:val="20"/>
          <w:color w:val="auto"/>
        </w:rPr>
      </w:pPr>
    </w:p>
    <w:p>
      <w:pPr>
        <w:jc w:val="both"/>
        <w:ind w:firstLine="464"/>
        <w:spacing w:after="0" w:line="277" w:lineRule="auto"/>
        <w:rPr>
          <w:sz w:val="20"/>
          <w:szCs w:val="20"/>
          <w:color w:val="auto"/>
        </w:rPr>
      </w:pPr>
      <w:r>
        <w:rPr>
          <w:rFonts w:ascii="Arial" w:cs="Arial" w:eastAsia="Arial" w:hAnsi="Arial"/>
          <w:sz w:val="18"/>
          <w:szCs w:val="18"/>
          <w:color w:val="auto"/>
        </w:rPr>
        <w:t>Certain non-employee directors have from time to time elected to receive stock awards in lieu of cash compensation pursuant to elections made under Orion’s non-employee director compensation program.</w:t>
      </w:r>
    </w:p>
    <w:p>
      <w:pPr>
        <w:spacing w:after="0" w:line="11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amounts of stock-based compensation were recorded (dollars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2220" w:type="dxa"/>
            <w:vAlign w:val="bottom"/>
            <w:gridSpan w:val="4"/>
          </w:tcPr>
          <w:p>
            <w:pPr>
              <w:jc w:val="right"/>
              <w:spacing w:after="0"/>
              <w:rPr>
                <w:sz w:val="20"/>
                <w:szCs w:val="20"/>
                <w:color w:val="auto"/>
              </w:rPr>
            </w:pPr>
            <w:r>
              <w:rPr>
                <w:rFonts w:ascii="Arial" w:cs="Arial" w:eastAsia="Arial" w:hAnsi="Arial"/>
                <w:sz w:val="14"/>
                <w:szCs w:val="14"/>
                <w:b w:val="1"/>
                <w:bCs w:val="1"/>
                <w:color w:val="auto"/>
              </w:rPr>
              <w:t>For the Three Months Ended</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80" w:type="dxa"/>
            <w:vAlign w:val="bottom"/>
            <w:gridSpan w:val="4"/>
          </w:tcPr>
          <w:p>
            <w:pPr>
              <w:jc w:val="right"/>
              <w:ind w:right="333"/>
              <w:spacing w:after="0"/>
              <w:rPr>
                <w:sz w:val="20"/>
                <w:szCs w:val="20"/>
                <w:color w:val="auto"/>
              </w:rPr>
            </w:pPr>
            <w:r>
              <w:rPr>
                <w:rFonts w:ascii="Arial" w:cs="Arial" w:eastAsia="Arial" w:hAnsi="Arial"/>
                <w:sz w:val="14"/>
                <w:szCs w:val="14"/>
                <w:b w:val="1"/>
                <w:bCs w:val="1"/>
                <w:color w:val="auto"/>
              </w:rPr>
              <w:t>For the Nine Months Ended</w:t>
            </w:r>
          </w:p>
        </w:tc>
        <w:tc>
          <w:tcPr>
            <w:tcW w:w="100" w:type="dxa"/>
            <w:vAlign w:val="bottom"/>
          </w:tcPr>
          <w:p>
            <w:pPr>
              <w:spacing w:after="0"/>
              <w:rPr>
                <w:sz w:val="14"/>
                <w:szCs w:val="14"/>
                <w:color w:val="auto"/>
              </w:rPr>
            </w:pPr>
          </w:p>
        </w:tc>
      </w:tr>
      <w:tr>
        <w:trPr>
          <w:trHeight w:val="185"/>
        </w:trPr>
        <w:tc>
          <w:tcPr>
            <w:tcW w:w="582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430"/>
              <w:spacing w:after="0"/>
              <w:rPr>
                <w:sz w:val="20"/>
                <w:szCs w:val="20"/>
                <w:color w:val="auto"/>
              </w:rPr>
            </w:pPr>
            <w:r>
              <w:rPr>
                <w:rFonts w:ascii="Arial" w:cs="Arial" w:eastAsia="Arial" w:hAnsi="Arial"/>
                <w:sz w:val="14"/>
                <w:szCs w:val="14"/>
                <w:b w:val="1"/>
                <w:bCs w:val="1"/>
                <w:color w:val="auto"/>
                <w:w w:val="98"/>
              </w:rPr>
              <w:t>December 31,</w:t>
            </w:r>
          </w:p>
        </w:tc>
        <w:tc>
          <w:tcPr>
            <w:tcW w:w="32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8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360" w:type="dxa"/>
            <w:vAlign w:val="bottom"/>
          </w:tcPr>
          <w:p>
            <w:pPr>
              <w:spacing w:after="0"/>
              <w:rPr>
                <w:sz w:val="14"/>
                <w:szCs w:val="14"/>
                <w:color w:val="auto"/>
              </w:rPr>
            </w:pPr>
          </w:p>
        </w:tc>
        <w:tc>
          <w:tcPr>
            <w:tcW w:w="108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2021</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ind w:right="317"/>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jc w:val="right"/>
              <w:ind w:right="35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36"/>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 of product revenue</w:t>
            </w:r>
          </w:p>
        </w:tc>
        <w:tc>
          <w:tcPr>
            <w:tcW w:w="780" w:type="dxa"/>
            <w:vAlign w:val="bottom"/>
            <w:tcBorders>
              <w:top w:val="single" w:sz="8" w:color="auto"/>
            </w:tcBorders>
            <w:shd w:val="clear" w:color="auto" w:fill="CFF0FC"/>
          </w:tcPr>
          <w:p>
            <w:pPr>
              <w:jc w:val="right"/>
              <w:ind w:right="599"/>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jc w:val="right"/>
              <w:ind w:right="630"/>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6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60" w:type="dxa"/>
            <w:vAlign w:val="bottom"/>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FF0FC"/>
          </w:tcPr>
          <w:p>
            <w:pPr>
              <w:spacing w:after="0"/>
              <w:rPr>
                <w:sz w:val="20"/>
                <w:szCs w:val="20"/>
                <w:color w:val="auto"/>
              </w:rPr>
            </w:pPr>
          </w:p>
        </w:tc>
      </w:tr>
      <w:tr>
        <w:trPr>
          <w:trHeight w:val="236"/>
        </w:trPr>
        <w:tc>
          <w:tcPr>
            <w:tcW w:w="582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78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444</w:t>
            </w: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214</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1,425</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574</w:t>
            </w:r>
          </w:p>
        </w:tc>
        <w:tc>
          <w:tcPr>
            <w:tcW w:w="100" w:type="dxa"/>
            <w:vAlign w:val="bottom"/>
          </w:tcPr>
          <w:p>
            <w:pPr>
              <w:spacing w:after="0"/>
              <w:rPr>
                <w:sz w:val="20"/>
                <w:szCs w:val="20"/>
                <w:color w:val="auto"/>
              </w:rPr>
            </w:pPr>
          </w:p>
        </w:tc>
      </w:tr>
      <w:tr>
        <w:trPr>
          <w:trHeight w:val="249"/>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Sales and marketing</w:t>
            </w:r>
          </w:p>
        </w:tc>
        <w:tc>
          <w:tcPr>
            <w:tcW w:w="780" w:type="dxa"/>
            <w:vAlign w:val="bottom"/>
            <w:shd w:val="clear" w:color="auto" w:fill="CFF0FC"/>
          </w:tcPr>
          <w:p>
            <w:pPr>
              <w:spacing w:after="0"/>
              <w:rPr>
                <w:sz w:val="21"/>
                <w:szCs w:val="21"/>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FF0FC"/>
          </w:tcPr>
          <w:p>
            <w:pPr>
              <w:spacing w:after="0"/>
              <w:rPr>
                <w:sz w:val="21"/>
                <w:szCs w:val="21"/>
                <w:color w:val="auto"/>
              </w:rPr>
            </w:pPr>
          </w:p>
        </w:tc>
      </w:tr>
      <w:tr>
        <w:trPr>
          <w:trHeight w:val="236"/>
        </w:trPr>
        <w:tc>
          <w:tcPr>
            <w:tcW w:w="582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7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r>
      <w:tr>
        <w:trPr>
          <w:trHeight w:val="276"/>
        </w:trPr>
        <w:tc>
          <w:tcPr>
            <w:tcW w:w="5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780" w:type="dxa"/>
            <w:vAlign w:val="bottom"/>
            <w:tcBorders>
              <w:bottom w:val="single" w:sz="8" w:color="auto"/>
            </w:tcBorders>
            <w:shd w:val="clear" w:color="auto" w:fill="CFF0FC"/>
          </w:tcPr>
          <w:p>
            <w:pPr>
              <w:jc w:val="right"/>
              <w:ind w:right="599"/>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448</w:t>
            </w:r>
          </w:p>
        </w:tc>
        <w:tc>
          <w:tcPr>
            <w:tcW w:w="24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auto"/>
            </w:tcBorders>
            <w:shd w:val="clear" w:color="auto" w:fill="CFF0FC"/>
          </w:tcPr>
          <w:p>
            <w:pPr>
              <w:jc w:val="right"/>
              <w:ind w:right="630"/>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219</w:t>
            </w:r>
          </w:p>
        </w:tc>
        <w:tc>
          <w:tcPr>
            <w:tcW w:w="26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1,435</w:t>
            </w:r>
          </w:p>
        </w:tc>
        <w:tc>
          <w:tcPr>
            <w:tcW w:w="26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591</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4423410</wp:posOffset>
            </wp:positionH>
            <wp:positionV relativeFrom="paragraph">
              <wp:posOffset>-24765</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4423410</wp:posOffset>
            </wp:positionH>
            <wp:positionV relativeFrom="paragraph">
              <wp:posOffset>-7620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-24765</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-7620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-24765</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-7620</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During the first three months of fiscal 2022, Orion had the following activity related to its stock-based compensation: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46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5"/>
              </w:rPr>
              <w:t>Restricted Shares</w:t>
            </w:r>
          </w:p>
        </w:tc>
        <w:tc>
          <w:tcPr>
            <w:tcW w:w="16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Stock Options</w:t>
            </w:r>
          </w:p>
        </w:tc>
      </w:tr>
      <w:tr>
        <w:trPr>
          <w:trHeight w:val="236"/>
        </w:trPr>
        <w:tc>
          <w:tcPr>
            <w:tcW w:w="4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Awards outstanding at March 31, 2022</w:t>
            </w:r>
          </w:p>
        </w:tc>
        <w:tc>
          <w:tcPr>
            <w:tcW w:w="328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450,458</w:t>
            </w:r>
          </w:p>
        </w:tc>
        <w:tc>
          <w:tcPr>
            <w:tcW w:w="280" w:type="dxa"/>
            <w:vAlign w:val="bottom"/>
            <w:shd w:val="clear" w:color="auto" w:fill="CFF0FC"/>
          </w:tcPr>
          <w:p>
            <w:pPr>
              <w:spacing w:after="0"/>
              <w:rPr>
                <w:sz w:val="20"/>
                <w:szCs w:val="20"/>
                <w:color w:val="auto"/>
              </w:rPr>
            </w:pP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142,428</w:t>
            </w:r>
          </w:p>
        </w:tc>
        <w:tc>
          <w:tcPr>
            <w:tcW w:w="100" w:type="dxa"/>
            <w:vAlign w:val="bottom"/>
            <w:shd w:val="clear" w:color="auto" w:fill="CFF0FC"/>
          </w:tcPr>
          <w:p>
            <w:pPr>
              <w:spacing w:after="0"/>
              <w:rPr>
                <w:sz w:val="20"/>
                <w:szCs w:val="20"/>
                <w:color w:val="auto"/>
              </w:rPr>
            </w:pPr>
          </w:p>
        </w:tc>
      </w:tr>
      <w:tr>
        <w:trPr>
          <w:trHeight w:val="236"/>
        </w:trPr>
        <w:tc>
          <w:tcPr>
            <w:tcW w:w="4460" w:type="dxa"/>
            <w:vAlign w:val="bottom"/>
          </w:tcPr>
          <w:p>
            <w:pPr>
              <w:ind w:left="20"/>
              <w:spacing w:after="0"/>
              <w:rPr>
                <w:sz w:val="20"/>
                <w:szCs w:val="20"/>
                <w:color w:val="auto"/>
              </w:rPr>
            </w:pPr>
            <w:r>
              <w:rPr>
                <w:rFonts w:ascii="Arial" w:cs="Arial" w:eastAsia="Arial" w:hAnsi="Arial"/>
                <w:sz w:val="18"/>
                <w:szCs w:val="18"/>
                <w:color w:val="auto"/>
              </w:rPr>
              <w:t>Awards granted</w:t>
            </w:r>
          </w:p>
        </w:tc>
        <w:tc>
          <w:tcPr>
            <w:tcW w:w="3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806,738</w:t>
            </w:r>
          </w:p>
        </w:tc>
        <w:tc>
          <w:tcPr>
            <w:tcW w:w="280" w:type="dxa"/>
            <w:vAlign w:val="bottom"/>
          </w:tcPr>
          <w:p>
            <w:pPr>
              <w:spacing w:after="0"/>
              <w:rPr>
                <w:sz w:val="20"/>
                <w:szCs w:val="20"/>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49"/>
        </w:trPr>
        <w:tc>
          <w:tcPr>
            <w:tcW w:w="4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Awards vested or exercised</w:t>
            </w:r>
          </w:p>
        </w:tc>
        <w:tc>
          <w:tcPr>
            <w:tcW w:w="3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7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(535,622 )</w:t>
            </w:r>
          </w:p>
        </w:tc>
        <w:tc>
          <w:tcPr>
            <w:tcW w:w="16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(26,646 )</w:t>
            </w:r>
          </w:p>
        </w:tc>
      </w:tr>
      <w:tr>
        <w:trPr>
          <w:trHeight w:val="236"/>
        </w:trPr>
        <w:tc>
          <w:tcPr>
            <w:tcW w:w="4460" w:type="dxa"/>
            <w:vAlign w:val="bottom"/>
          </w:tcPr>
          <w:p>
            <w:pPr>
              <w:ind w:left="20"/>
              <w:spacing w:after="0"/>
              <w:rPr>
                <w:sz w:val="20"/>
                <w:szCs w:val="20"/>
                <w:color w:val="auto"/>
              </w:rPr>
            </w:pPr>
            <w:r>
              <w:rPr>
                <w:rFonts w:ascii="Arial" w:cs="Arial" w:eastAsia="Arial" w:hAnsi="Arial"/>
                <w:sz w:val="18"/>
                <w:szCs w:val="18"/>
                <w:color w:val="auto"/>
              </w:rPr>
              <w:t>Awards forfeited</w:t>
            </w:r>
          </w:p>
        </w:tc>
        <w:tc>
          <w:tcPr>
            <w:tcW w:w="3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(23,120 )</w:t>
            </w:r>
          </w:p>
        </w:tc>
        <w:tc>
          <w:tcPr>
            <w:tcW w:w="1620" w:type="dxa"/>
            <w:vAlign w:val="bottom"/>
            <w:gridSpan w:val="2"/>
          </w:tcPr>
          <w:p>
            <w:pPr>
              <w:jc w:val="right"/>
              <w:ind w:right="40"/>
              <w:spacing w:after="0"/>
              <w:rPr>
                <w:sz w:val="20"/>
                <w:szCs w:val="20"/>
                <w:color w:val="auto"/>
              </w:rPr>
            </w:pPr>
            <w:r>
              <w:rPr>
                <w:rFonts w:ascii="Arial" w:cs="Arial" w:eastAsia="Arial" w:hAnsi="Arial"/>
                <w:sz w:val="18"/>
                <w:szCs w:val="18"/>
                <w:color w:val="auto"/>
              </w:rPr>
              <w:t>(30,646 )</w:t>
            </w:r>
          </w:p>
        </w:tc>
      </w:tr>
      <w:tr>
        <w:trPr>
          <w:trHeight w:val="242"/>
        </w:trPr>
        <w:tc>
          <w:tcPr>
            <w:tcW w:w="4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Awards outstanding at December 31, 2022</w:t>
            </w:r>
          </w:p>
        </w:tc>
        <w:tc>
          <w:tcPr>
            <w:tcW w:w="3280" w:type="dxa"/>
            <w:vAlign w:val="bottom"/>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spacing w:after="0"/>
              <w:rPr>
                <w:sz w:val="21"/>
                <w:szCs w:val="21"/>
                <w:color w:val="auto"/>
              </w:rPr>
            </w:pP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698,454</w:t>
            </w:r>
          </w:p>
        </w:tc>
        <w:tc>
          <w:tcPr>
            <w:tcW w:w="280" w:type="dxa"/>
            <w:vAlign w:val="bottom"/>
            <w:shd w:val="clear" w:color="auto" w:fill="CFF0FC"/>
          </w:tcPr>
          <w:p>
            <w:pPr>
              <w:spacing w:after="0"/>
              <w:rPr>
                <w:sz w:val="21"/>
                <w:szCs w:val="21"/>
                <w:color w:val="auto"/>
              </w:rPr>
            </w:pP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85,136</w:t>
            </w:r>
          </w:p>
        </w:tc>
        <w:tc>
          <w:tcPr>
            <w:tcW w:w="100" w:type="dxa"/>
            <w:vAlign w:val="bottom"/>
            <w:shd w:val="clear" w:color="auto" w:fill="CFF0FC"/>
          </w:tcPr>
          <w:p>
            <w:pPr>
              <w:spacing w:after="0"/>
              <w:rPr>
                <w:sz w:val="21"/>
                <w:szCs w:val="21"/>
                <w:color w:val="auto"/>
              </w:rPr>
            </w:pPr>
          </w:p>
        </w:tc>
      </w:tr>
      <w:tr>
        <w:trPr>
          <w:trHeight w:val="230"/>
        </w:trPr>
        <w:tc>
          <w:tcPr>
            <w:tcW w:w="4460" w:type="dxa"/>
            <w:vAlign w:val="bottom"/>
          </w:tcPr>
          <w:p>
            <w:pPr>
              <w:ind w:left="20"/>
              <w:spacing w:after="0"/>
              <w:rPr>
                <w:sz w:val="20"/>
                <w:szCs w:val="20"/>
                <w:color w:val="auto"/>
              </w:rPr>
            </w:pPr>
            <w:r>
              <w:rPr>
                <w:rFonts w:ascii="Arial" w:cs="Arial" w:eastAsia="Arial" w:hAnsi="Arial"/>
                <w:sz w:val="18"/>
                <w:szCs w:val="18"/>
                <w:color w:val="auto"/>
              </w:rPr>
              <w:t>Per share weighted average price on grant date</w:t>
            </w:r>
          </w:p>
        </w:tc>
        <w:tc>
          <w:tcPr>
            <w:tcW w:w="3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2.18</w:t>
            </w:r>
          </w:p>
        </w:tc>
        <w:tc>
          <w:tcPr>
            <w:tcW w:w="280" w:type="dxa"/>
            <w:vAlign w:val="bottom"/>
          </w:tcPr>
          <w:p>
            <w:pPr>
              <w:spacing w:after="0"/>
              <w:rPr>
                <w:sz w:val="20"/>
                <w:szCs w:val="20"/>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660"/>
        </w:trPr>
        <w:tc>
          <w:tcPr>
            <w:tcW w:w="4460" w:type="dxa"/>
            <w:vAlign w:val="bottom"/>
          </w:tcPr>
          <w:p>
            <w:pPr>
              <w:spacing w:after="0"/>
              <w:rPr>
                <w:sz w:val="24"/>
                <w:szCs w:val="24"/>
                <w:color w:val="auto"/>
              </w:rPr>
            </w:pPr>
          </w:p>
        </w:tc>
        <w:tc>
          <w:tcPr>
            <w:tcW w:w="3280" w:type="dxa"/>
            <w:vAlign w:val="bottom"/>
          </w:tcPr>
          <w:p>
            <w:pPr>
              <w:jc w:val="right"/>
              <w:ind w:right="1930"/>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88"/>
        </w:trPr>
        <w:tc>
          <w:tcPr>
            <w:tcW w:w="4460" w:type="dxa"/>
            <w:vAlign w:val="bottom"/>
            <w:tcBorders>
              <w:bottom w:val="single" w:sz="8" w:color="9A9A9A"/>
            </w:tcBorders>
          </w:tcPr>
          <w:p>
            <w:pPr>
              <w:spacing w:after="0"/>
              <w:rPr>
                <w:sz w:val="7"/>
                <w:szCs w:val="7"/>
                <w:color w:val="auto"/>
              </w:rPr>
            </w:pPr>
          </w:p>
        </w:tc>
        <w:tc>
          <w:tcPr>
            <w:tcW w:w="32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42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5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8" w:name="page19"/>
    <w:bookmarkEnd w:id="18"/>
    <w:p>
      <w:pPr>
        <w:jc w:val="both"/>
        <w:ind w:firstLine="469"/>
        <w:spacing w:after="0" w:line="277" w:lineRule="auto"/>
        <w:rPr>
          <w:sz w:val="20"/>
          <w:szCs w:val="20"/>
          <w:color w:val="auto"/>
        </w:rPr>
      </w:pPr>
      <w:r>
        <w:rPr>
          <w:rFonts w:ascii="Arial" w:cs="Arial" w:eastAsia="Arial" w:hAnsi="Arial"/>
          <w:sz w:val="18"/>
          <w:szCs w:val="18"/>
          <w:color w:val="auto"/>
        </w:rPr>
        <w:t>As of December 31, 2022, the amount of deferred stock-based compensation expense to be recognized, over a remaining period of 2.9 years, was approximately $1.3 million.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SEGMENTS</w:t>
      </w:r>
    </w:p>
    <w:p>
      <w:pPr>
        <w:spacing w:after="0" w:line="175" w:lineRule="exact"/>
        <w:rPr>
          <w:sz w:val="20"/>
          <w:szCs w:val="20"/>
          <w:color w:val="auto"/>
        </w:rPr>
      </w:pPr>
    </w:p>
    <w:p>
      <w:pPr>
        <w:jc w:val="both"/>
        <w:ind w:firstLine="469"/>
        <w:spacing w:after="0" w:line="259" w:lineRule="auto"/>
        <w:rPr>
          <w:sz w:val="20"/>
          <w:szCs w:val="20"/>
          <w:color w:val="auto"/>
        </w:rPr>
      </w:pPr>
      <w:r>
        <w:rPr>
          <w:rFonts w:ascii="Arial" w:cs="Arial" w:eastAsia="Arial" w:hAnsi="Arial"/>
          <w:sz w:val="18"/>
          <w:szCs w:val="18"/>
          <w:color w:val="auto"/>
        </w:rPr>
        <w:t>Orion has historically reported the following business segments: Orion Services Group Division ("OSG"), Orion Distribution Services Division ("ODS"), and Orion U.S. Markets Division ("USM"). With Orion’s acquisition of Voltrek on October 5, 2022, Orion has now added a fourth reporting segment, Orion Electric Vehicle Charging Division (“EV”). The accounting policies are the same for each business segment as they are on a consolidated basis.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Orion Services Group Division</w:t>
      </w:r>
    </w:p>
    <w:p>
      <w:pPr>
        <w:spacing w:after="0" w:line="171" w:lineRule="exact"/>
        <w:rPr>
          <w:sz w:val="20"/>
          <w:szCs w:val="20"/>
          <w:color w:val="auto"/>
        </w:rPr>
      </w:pPr>
    </w:p>
    <w:p>
      <w:pPr>
        <w:jc w:val="both"/>
        <w:ind w:firstLine="469"/>
        <w:spacing w:after="0" w:line="263" w:lineRule="auto"/>
        <w:rPr>
          <w:sz w:val="20"/>
          <w:szCs w:val="20"/>
          <w:color w:val="auto"/>
        </w:rPr>
      </w:pPr>
      <w:r>
        <w:rPr>
          <w:rFonts w:ascii="Arial" w:cs="Arial" w:eastAsia="Arial" w:hAnsi="Arial"/>
          <w:sz w:val="18"/>
          <w:szCs w:val="18"/>
          <w:color w:val="auto"/>
        </w:rPr>
        <w:t>The OSG segment develops and sells lighting products and provides construction, engineering along with installation and maintenance services for Orion's commercial lighting and energy management systems. OSG provides engineering, design, lighting products and in many cases turnkey solutions for large national accounts, governments, municipalities, schools and other customers.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Orion Distribution Services Division</w:t>
      </w:r>
    </w:p>
    <w:p>
      <w:pPr>
        <w:spacing w:after="0" w:line="171" w:lineRule="exact"/>
        <w:rPr>
          <w:sz w:val="20"/>
          <w:szCs w:val="20"/>
          <w:color w:val="auto"/>
        </w:rPr>
      </w:pPr>
    </w:p>
    <w:p>
      <w:pPr>
        <w:jc w:val="both"/>
        <w:ind w:right="20" w:firstLine="469"/>
        <w:spacing w:after="0" w:line="277" w:lineRule="auto"/>
        <w:rPr>
          <w:sz w:val="20"/>
          <w:szCs w:val="20"/>
          <w:color w:val="auto"/>
        </w:rPr>
      </w:pPr>
      <w:r>
        <w:rPr>
          <w:rFonts w:ascii="Arial" w:cs="Arial" w:eastAsia="Arial" w:hAnsi="Arial"/>
          <w:sz w:val="18"/>
          <w:szCs w:val="18"/>
          <w:color w:val="auto"/>
        </w:rPr>
        <w:t>The ODS segment sells lighting products through manufacturer representative agencies and a network of North American broadline electrical distributors and contractors.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Orion U.S. Markets Division</w:t>
      </w:r>
    </w:p>
    <w:p>
      <w:pPr>
        <w:spacing w:after="0" w:line="171"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USM segment sells commercial lighting systems and energy management systems to contractors and energy service companies ("ESCOs").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Orion Electric Vehicle Charging Division</w:t>
      </w:r>
    </w:p>
    <w:p>
      <w:pPr>
        <w:spacing w:after="0" w:line="171"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EV segment offers leading electric vehicle charging expertise and provides turnkey solutions with ongoing support to all commercial verticals.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and Other</w:t>
      </w:r>
    </w:p>
    <w:p>
      <w:pPr>
        <w:spacing w:after="0" w:line="171" w:lineRule="exact"/>
        <w:rPr>
          <w:sz w:val="20"/>
          <w:szCs w:val="20"/>
          <w:color w:val="auto"/>
        </w:rPr>
      </w:pPr>
    </w:p>
    <w:p>
      <w:pPr>
        <w:jc w:val="both"/>
        <w:ind w:firstLine="464"/>
        <w:spacing w:after="0" w:line="277" w:lineRule="auto"/>
        <w:rPr>
          <w:sz w:val="20"/>
          <w:szCs w:val="20"/>
          <w:color w:val="auto"/>
        </w:rPr>
      </w:pPr>
      <w:r>
        <w:rPr>
          <w:rFonts w:ascii="Arial" w:cs="Arial" w:eastAsia="Arial" w:hAnsi="Arial"/>
          <w:sz w:val="18"/>
          <w:szCs w:val="18"/>
          <w:color w:val="auto"/>
        </w:rPr>
        <w:t>Corporate and Other is comprised of operating expenses not allocated to Orion’s segments and adjustments to reconcile to consolidated results (dollars in thousands).</w:t>
      </w:r>
    </w:p>
    <w:p>
      <w:pPr>
        <w:sectPr>
          <w:pgSz w:w="11900" w:h="16838" w:orient="portrait"/>
          <w:cols w:equalWidth="0" w:num="1">
            <w:col w:w="11240"/>
          </w:cols>
          <w:pgMar w:left="320" w:top="341" w:right="339" w:bottom="1440" w:gutter="0" w:footer="0" w:header="0"/>
        </w:sectPr>
      </w:pPr>
    </w:p>
    <w:p>
      <w:pPr>
        <w:spacing w:after="0" w:line="175" w:lineRule="exact"/>
        <w:rPr>
          <w:sz w:val="20"/>
          <w:szCs w:val="20"/>
          <w:color w:val="auto"/>
        </w:rPr>
      </w:pPr>
    </w:p>
    <w:p>
      <w:pPr>
        <w:ind w:left="6800"/>
        <w:spacing w:after="0"/>
        <w:rPr>
          <w:sz w:val="20"/>
          <w:szCs w:val="20"/>
          <w:color w:val="auto"/>
        </w:rPr>
      </w:pPr>
      <w:r>
        <w:rPr>
          <w:rFonts w:ascii="Arial" w:cs="Arial" w:eastAsia="Arial" w:hAnsi="Arial"/>
          <w:sz w:val="14"/>
          <w:szCs w:val="14"/>
          <w:b w:val="1"/>
          <w:bCs w:val="1"/>
          <w:color w:val="auto"/>
        </w:rPr>
        <w:t>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3686810</wp:posOffset>
            </wp:positionH>
            <wp:positionV relativeFrom="paragraph">
              <wp:posOffset>15240</wp:posOffset>
            </wp:positionV>
            <wp:extent cx="162687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626870" cy="8255"/>
                    </a:xfrm>
                    <a:prstGeom prst="rect">
                      <a:avLst/>
                    </a:prstGeom>
                    <a:noFill/>
                  </pic:spPr>
                </pic:pic>
              </a:graphicData>
            </a:graphic>
          </wp:anchor>
        </w:drawing>
      </w:r>
    </w:p>
    <w:p>
      <w:pPr>
        <w:spacing w:after="0" w:line="8" w:lineRule="exact"/>
        <w:rPr>
          <w:sz w:val="20"/>
          <w:szCs w:val="20"/>
          <w:color w:val="auto"/>
        </w:rPr>
      </w:pPr>
    </w:p>
    <w:p>
      <w:pPr>
        <w:ind w:left="6200"/>
        <w:spacing w:after="0"/>
        <w:rPr>
          <w:sz w:val="20"/>
          <w:szCs w:val="20"/>
          <w:color w:val="auto"/>
        </w:rPr>
      </w:pPr>
      <w:r>
        <w:rPr>
          <w:rFonts w:ascii="Arial" w:cs="Arial" w:eastAsia="Arial" w:hAnsi="Arial"/>
          <w:sz w:val="13"/>
          <w:szCs w:val="13"/>
          <w:b w:val="1"/>
          <w:bCs w:val="1"/>
          <w:color w:val="auto"/>
        </w:rPr>
        <w:t>For the Three Months Ended</w:t>
      </w:r>
    </w:p>
    <w:p>
      <w:pPr>
        <w:spacing w:after="0" w:line="15" w:lineRule="exact"/>
        <w:rPr>
          <w:sz w:val="20"/>
          <w:szCs w:val="20"/>
          <w:color w:val="auto"/>
        </w:rPr>
      </w:pPr>
    </w:p>
    <w:p>
      <w:pPr>
        <w:jc w:val="center"/>
        <w:ind w:left="592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3686810</wp:posOffset>
            </wp:positionH>
            <wp:positionV relativeFrom="paragraph">
              <wp:posOffset>5080</wp:posOffset>
            </wp:positionV>
            <wp:extent cx="162687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626870" cy="8255"/>
                    </a:xfrm>
                    <a:prstGeom prst="rect">
                      <a:avLst/>
                    </a:prstGeom>
                    <a:noFill/>
                  </pic:spPr>
                </pic:pic>
              </a:graphicData>
            </a:graphic>
          </wp:anchor>
        </w:drawing>
      </w:r>
    </w:p>
    <w:p>
      <w:pPr>
        <w:ind w:left="6220"/>
        <w:spacing w:after="0"/>
        <w:tabs>
          <w:tab w:leader="none" w:pos="7620" w:val="left"/>
        </w:tabs>
        <w:rPr>
          <w:sz w:val="20"/>
          <w:szCs w:val="20"/>
          <w:color w:val="auto"/>
        </w:rPr>
      </w:pP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Operating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15240</wp:posOffset>
            </wp:positionV>
            <wp:extent cx="160147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601470"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For the Three Months Ended</w:t>
      </w:r>
    </w:p>
    <w:p>
      <w:pPr>
        <w:spacing w:after="0" w:line="15" w:lineRule="exact"/>
        <w:rPr>
          <w:sz w:val="20"/>
          <w:szCs w:val="20"/>
          <w:color w:val="auto"/>
        </w:rPr>
      </w:pPr>
    </w:p>
    <w:p>
      <w:pPr>
        <w:jc w:val="center"/>
        <w:ind w:right="48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5080</wp:posOffset>
            </wp:positionV>
            <wp:extent cx="160147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601470" cy="8255"/>
                    </a:xfrm>
                    <a:prstGeom prst="rect">
                      <a:avLst/>
                    </a:prstGeom>
                    <a:noFill/>
                  </pic:spPr>
                </pic:pic>
              </a:graphicData>
            </a:graphic>
          </wp:anchor>
        </w:drawing>
      </w:r>
    </w:p>
    <w:p>
      <w:pPr>
        <w:ind w:left="60"/>
        <w:spacing w:after="0"/>
        <w:tabs>
          <w:tab w:leader="none" w:pos="1420" w:val="left"/>
        </w:tabs>
        <w:rPr>
          <w:sz w:val="20"/>
          <w:szCs w:val="20"/>
          <w:color w:val="auto"/>
        </w:rPr>
      </w:pP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2021</w:t>
      </w:r>
    </w:p>
    <w:p>
      <w:pPr>
        <w:spacing w:after="0" w:line="24" w:lineRule="exact"/>
        <w:rPr>
          <w:sz w:val="20"/>
          <w:szCs w:val="20"/>
          <w:color w:val="auto"/>
        </w:rPr>
      </w:pPr>
    </w:p>
    <w:p>
      <w:pPr>
        <w:sectPr>
          <w:pgSz w:w="11900" w:h="16838" w:orient="portrait"/>
          <w:cols w:equalWidth="0" w:num="2">
            <w:col w:w="8260" w:space="720"/>
            <w:col w:w="2260"/>
          </w:cols>
          <w:pgMar w:left="320" w:top="341" w:right="339" w:bottom="1440" w:gutter="0" w:footer="0" w:header="0"/>
          <w:type w:val="continuous"/>
        </w:sectPr>
      </w:pPr>
    </w:p>
    <w:tbl>
      <w:tblPr>
        <w:tblLayout w:type="fixed"/>
        <w:tblInd w:w="0" w:type="dxa"/>
        <w:tblCellMar>
          <w:top w:w="0" w:type="dxa"/>
          <w:left w:w="0" w:type="dxa"/>
          <w:bottom w:w="0" w:type="dxa"/>
          <w:right w:w="0" w:type="dxa"/>
        </w:tblCellMar>
      </w:tblPr>
      <w:tr>
        <w:trPr>
          <w:trHeight w:val="236"/>
        </w:trPr>
        <w:tc>
          <w:tcPr>
            <w:tcW w:w="394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Segments:</w:t>
            </w:r>
          </w:p>
        </w:tc>
        <w:tc>
          <w:tcPr>
            <w:tcW w:w="1860" w:type="dxa"/>
            <w:vAlign w:val="bottom"/>
            <w:tcBorders>
              <w:top w:val="single" w:sz="8" w:color="CFF0FC"/>
            </w:tcBorders>
            <w:shd w:val="clear" w:color="auto" w:fill="CFF0FC"/>
          </w:tcPr>
          <w:p>
            <w:pPr>
              <w:spacing w:after="0"/>
              <w:rPr>
                <w:sz w:val="20"/>
                <w:szCs w:val="20"/>
                <w:color w:val="auto"/>
              </w:rPr>
            </w:pPr>
          </w:p>
        </w:tc>
        <w:tc>
          <w:tcPr>
            <w:tcW w:w="380" w:type="dxa"/>
            <w:vAlign w:val="bottom"/>
            <w:tcBorders>
              <w:top w:val="single" w:sz="8" w:color="auto"/>
            </w:tcBorders>
            <w:shd w:val="clear" w:color="auto" w:fill="CFF0FC"/>
          </w:tcPr>
          <w:p>
            <w:pPr>
              <w:spacing w:after="0"/>
              <w:rPr>
                <w:sz w:val="20"/>
                <w:szCs w:val="20"/>
                <w:color w:val="auto"/>
              </w:rPr>
            </w:pPr>
          </w:p>
        </w:tc>
        <w:tc>
          <w:tcPr>
            <w:tcW w:w="760" w:type="dxa"/>
            <w:vAlign w:val="bottom"/>
            <w:tcBorders>
              <w:top w:val="single" w:sz="8" w:color="auto"/>
            </w:tcBorders>
            <w:shd w:val="clear" w:color="auto" w:fill="CFF0FC"/>
          </w:tcPr>
          <w:p>
            <w:pPr>
              <w:spacing w:after="0"/>
              <w:rPr>
                <w:sz w:val="20"/>
                <w:szCs w:val="20"/>
                <w:color w:val="auto"/>
              </w:rPr>
            </w:pPr>
          </w:p>
        </w:tc>
        <w:tc>
          <w:tcPr>
            <w:tcW w:w="260" w:type="dxa"/>
            <w:vAlign w:val="bottom"/>
            <w:tcBorders>
              <w:top w:val="single" w:sz="8" w:color="CFF0FC"/>
            </w:tcBorders>
            <w:shd w:val="clear" w:color="auto" w:fill="CFF0FC"/>
          </w:tcPr>
          <w:p>
            <w:pPr>
              <w:spacing w:after="0"/>
              <w:rPr>
                <w:sz w:val="20"/>
                <w:szCs w:val="20"/>
                <w:color w:val="auto"/>
              </w:rPr>
            </w:pPr>
          </w:p>
        </w:tc>
        <w:tc>
          <w:tcPr>
            <w:tcW w:w="380" w:type="dxa"/>
            <w:vAlign w:val="bottom"/>
            <w:tcBorders>
              <w:top w:val="single" w:sz="8" w:color="auto"/>
            </w:tcBorders>
            <w:shd w:val="clear" w:color="auto" w:fill="CFF0FC"/>
          </w:tcPr>
          <w:p>
            <w:pPr>
              <w:spacing w:after="0"/>
              <w:rPr>
                <w:sz w:val="20"/>
                <w:szCs w:val="20"/>
                <w:color w:val="auto"/>
              </w:rPr>
            </w:pPr>
          </w:p>
        </w:tc>
        <w:tc>
          <w:tcPr>
            <w:tcW w:w="780" w:type="dxa"/>
            <w:vAlign w:val="bottom"/>
            <w:tcBorders>
              <w:top w:val="single" w:sz="8" w:color="auto"/>
            </w:tcBorders>
            <w:shd w:val="clear" w:color="auto" w:fill="CFF0FC"/>
          </w:tcPr>
          <w:p>
            <w:pPr>
              <w:spacing w:after="0"/>
              <w:rPr>
                <w:sz w:val="20"/>
                <w:szCs w:val="20"/>
                <w:color w:val="auto"/>
              </w:rPr>
            </w:pPr>
          </w:p>
        </w:tc>
        <w:tc>
          <w:tcPr>
            <w:tcW w:w="260" w:type="dxa"/>
            <w:vAlign w:val="bottom"/>
            <w:tcBorders>
              <w:top w:val="single" w:sz="8" w:color="CFF0FC"/>
            </w:tcBorders>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spacing w:after="0"/>
              <w:rPr>
                <w:sz w:val="20"/>
                <w:szCs w:val="20"/>
                <w:color w:val="auto"/>
              </w:rPr>
            </w:pPr>
          </w:p>
        </w:tc>
        <w:tc>
          <w:tcPr>
            <w:tcW w:w="760" w:type="dxa"/>
            <w:vAlign w:val="bottom"/>
            <w:tcBorders>
              <w:top w:val="single" w:sz="8" w:color="auto"/>
            </w:tcBorders>
            <w:shd w:val="clear" w:color="auto" w:fill="CFF0FC"/>
          </w:tcPr>
          <w:p>
            <w:pPr>
              <w:spacing w:after="0"/>
              <w:rPr>
                <w:sz w:val="20"/>
                <w:szCs w:val="20"/>
                <w:color w:val="auto"/>
              </w:rPr>
            </w:pPr>
          </w:p>
        </w:tc>
        <w:tc>
          <w:tcPr>
            <w:tcW w:w="120" w:type="dxa"/>
            <w:vAlign w:val="bottom"/>
            <w:tcBorders>
              <w:top w:val="single" w:sz="8" w:color="CFF0FC"/>
            </w:tcBorders>
            <w:shd w:val="clear" w:color="auto" w:fill="CFF0FC"/>
          </w:tcPr>
          <w:p>
            <w:pPr>
              <w:spacing w:after="0"/>
              <w:rPr>
                <w:sz w:val="20"/>
                <w:szCs w:val="20"/>
                <w:color w:val="auto"/>
              </w:rPr>
            </w:pPr>
          </w:p>
        </w:tc>
        <w:tc>
          <w:tcPr>
            <w:tcW w:w="120" w:type="dxa"/>
            <w:vAlign w:val="bottom"/>
            <w:tcBorders>
              <w:top w:val="single" w:sz="8" w:color="CFF0FC"/>
            </w:tcBorders>
            <w:shd w:val="clear" w:color="auto" w:fill="CFF0FC"/>
          </w:tcPr>
          <w:p>
            <w:pPr>
              <w:spacing w:after="0"/>
              <w:rPr>
                <w:sz w:val="20"/>
                <w:szCs w:val="20"/>
                <w:color w:val="auto"/>
              </w:rPr>
            </w:pPr>
          </w:p>
        </w:tc>
        <w:tc>
          <w:tcPr>
            <w:tcW w:w="400" w:type="dxa"/>
            <w:vAlign w:val="bottom"/>
            <w:tcBorders>
              <w:top w:val="single" w:sz="8" w:color="auto"/>
            </w:tcBorders>
            <w:shd w:val="clear" w:color="auto" w:fill="CFF0FC"/>
          </w:tcPr>
          <w:p>
            <w:pPr>
              <w:spacing w:after="0"/>
              <w:rPr>
                <w:sz w:val="20"/>
                <w:szCs w:val="20"/>
                <w:color w:val="auto"/>
              </w:rPr>
            </w:pPr>
          </w:p>
        </w:tc>
        <w:tc>
          <w:tcPr>
            <w:tcW w:w="76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r>
      <w:tr>
        <w:trPr>
          <w:trHeight w:val="236"/>
        </w:trPr>
        <w:tc>
          <w:tcPr>
            <w:tcW w:w="3940" w:type="dxa"/>
            <w:vAlign w:val="bottom"/>
          </w:tcPr>
          <w:p>
            <w:pPr>
              <w:ind w:left="20"/>
              <w:spacing w:after="0"/>
              <w:rPr>
                <w:sz w:val="20"/>
                <w:szCs w:val="20"/>
                <w:color w:val="auto"/>
              </w:rPr>
            </w:pPr>
            <w:r>
              <w:rPr>
                <w:rFonts w:ascii="Arial" w:cs="Arial" w:eastAsia="Arial" w:hAnsi="Arial"/>
                <w:sz w:val="18"/>
                <w:szCs w:val="18"/>
                <w:color w:val="auto"/>
              </w:rPr>
              <w:t>Orion Services Group</w:t>
            </w:r>
          </w:p>
        </w:tc>
        <w:tc>
          <w:tcPr>
            <w:tcW w:w="224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8,623</w:t>
            </w:r>
          </w:p>
        </w:tc>
        <w:tc>
          <w:tcPr>
            <w:tcW w:w="6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20,021</w:t>
            </w:r>
          </w:p>
        </w:tc>
        <w:tc>
          <w:tcPr>
            <w:tcW w:w="6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(1,858 )</w:t>
            </w:r>
          </w:p>
        </w:tc>
        <w:tc>
          <w:tcPr>
            <w:tcW w:w="12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970</w:t>
            </w:r>
          </w:p>
        </w:tc>
        <w:tc>
          <w:tcPr>
            <w:tcW w:w="100" w:type="dxa"/>
            <w:vAlign w:val="bottom"/>
          </w:tcPr>
          <w:p>
            <w:pPr>
              <w:spacing w:after="0"/>
              <w:rPr>
                <w:sz w:val="20"/>
                <w:szCs w:val="20"/>
                <w:color w:val="auto"/>
              </w:rPr>
            </w:pPr>
          </w:p>
        </w:tc>
      </w:tr>
      <w:tr>
        <w:trPr>
          <w:trHeight w:val="249"/>
        </w:trPr>
        <w:tc>
          <w:tcPr>
            <w:tcW w:w="3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Orion Distribution Services</w:t>
            </w:r>
          </w:p>
        </w:tc>
        <w:tc>
          <w:tcPr>
            <w:tcW w:w="18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3,711</w:t>
            </w:r>
          </w:p>
        </w:tc>
        <w:tc>
          <w:tcPr>
            <w:tcW w:w="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4,942</w:t>
            </w: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(77 )</w:t>
            </w:r>
          </w:p>
        </w:tc>
        <w:tc>
          <w:tcPr>
            <w:tcW w:w="1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491</w:t>
            </w:r>
          </w:p>
        </w:tc>
        <w:tc>
          <w:tcPr>
            <w:tcW w:w="100" w:type="dxa"/>
            <w:vAlign w:val="bottom"/>
            <w:shd w:val="clear" w:color="auto" w:fill="CFF0FC"/>
          </w:tcPr>
          <w:p>
            <w:pPr>
              <w:spacing w:after="0"/>
              <w:rPr>
                <w:sz w:val="21"/>
                <w:szCs w:val="21"/>
                <w:color w:val="auto"/>
              </w:rPr>
            </w:pPr>
          </w:p>
        </w:tc>
      </w:tr>
      <w:tr>
        <w:trPr>
          <w:trHeight w:val="236"/>
        </w:trPr>
        <w:tc>
          <w:tcPr>
            <w:tcW w:w="3940" w:type="dxa"/>
            <w:vAlign w:val="bottom"/>
          </w:tcPr>
          <w:p>
            <w:pPr>
              <w:ind w:left="20"/>
              <w:spacing w:after="0"/>
              <w:rPr>
                <w:sz w:val="20"/>
                <w:szCs w:val="20"/>
                <w:color w:val="auto"/>
              </w:rPr>
            </w:pPr>
            <w:r>
              <w:rPr>
                <w:rFonts w:ascii="Arial" w:cs="Arial" w:eastAsia="Arial" w:hAnsi="Arial"/>
                <w:sz w:val="18"/>
                <w:szCs w:val="18"/>
                <w:color w:val="auto"/>
              </w:rPr>
              <w:t>Orion U.S. Markets</w:t>
            </w:r>
          </w:p>
        </w:tc>
        <w:tc>
          <w:tcPr>
            <w:tcW w:w="1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5,124</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5,751</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532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1,250</w:t>
            </w:r>
          </w:p>
        </w:tc>
        <w:tc>
          <w:tcPr>
            <w:tcW w:w="100" w:type="dxa"/>
            <w:vAlign w:val="bottom"/>
          </w:tcPr>
          <w:p>
            <w:pPr>
              <w:spacing w:after="0"/>
              <w:rPr>
                <w:sz w:val="20"/>
                <w:szCs w:val="20"/>
                <w:color w:val="auto"/>
              </w:rPr>
            </w:pPr>
          </w:p>
        </w:tc>
      </w:tr>
      <w:tr>
        <w:trPr>
          <w:trHeight w:val="249"/>
        </w:trPr>
        <w:tc>
          <w:tcPr>
            <w:tcW w:w="3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Orion Electric Vehicle Charging</w:t>
            </w:r>
          </w:p>
        </w:tc>
        <w:tc>
          <w:tcPr>
            <w:tcW w:w="18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2,830</w:t>
            </w:r>
          </w:p>
        </w:tc>
        <w:tc>
          <w:tcPr>
            <w:tcW w:w="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(1,500 )</w:t>
            </w:r>
          </w:p>
        </w:tc>
        <w:tc>
          <w:tcPr>
            <w:tcW w:w="1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6"/>
        </w:trPr>
        <w:tc>
          <w:tcPr>
            <w:tcW w:w="3940" w:type="dxa"/>
            <w:vAlign w:val="bottom"/>
          </w:tcPr>
          <w:p>
            <w:pPr>
              <w:ind w:left="20"/>
              <w:spacing w:after="0"/>
              <w:rPr>
                <w:sz w:val="20"/>
                <w:szCs w:val="20"/>
                <w:color w:val="auto"/>
              </w:rPr>
            </w:pPr>
            <w:r>
              <w:rPr>
                <w:rFonts w:ascii="Arial" w:cs="Arial" w:eastAsia="Arial" w:hAnsi="Arial"/>
                <w:sz w:val="18"/>
                <w:szCs w:val="18"/>
                <w:color w:val="auto"/>
              </w:rPr>
              <w:t>Corporate and Other</w:t>
            </w:r>
          </w:p>
        </w:tc>
        <w:tc>
          <w:tcPr>
            <w:tcW w:w="1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(1,685 )</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(1,379 )</w:t>
            </w:r>
          </w:p>
        </w:tc>
      </w:tr>
      <w:tr>
        <w:trPr>
          <w:trHeight w:val="276"/>
        </w:trPr>
        <w:tc>
          <w:tcPr>
            <w:tcW w:w="3940" w:type="dxa"/>
            <w:vAlign w:val="bottom"/>
            <w:tcBorders>
              <w:bottom w:val="single" w:sz="8" w:color="CFF0FC"/>
            </w:tcBorders>
            <w:shd w:val="clear" w:color="auto" w:fill="CFF0FC"/>
          </w:tcPr>
          <w:p>
            <w:pPr>
              <w:spacing w:after="0"/>
              <w:rPr>
                <w:sz w:val="24"/>
                <w:szCs w:val="24"/>
                <w:color w:val="auto"/>
              </w:rPr>
            </w:pPr>
          </w:p>
        </w:tc>
        <w:tc>
          <w:tcPr>
            <w:tcW w:w="186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20,288</w:t>
            </w:r>
          </w:p>
        </w:tc>
        <w:tc>
          <w:tcPr>
            <w:tcW w:w="26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30,714</w:t>
            </w:r>
          </w:p>
        </w:tc>
        <w:tc>
          <w:tcPr>
            <w:tcW w:w="26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(4,588</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bottom w:val="single" w:sz="8" w:color="auto"/>
            </w:tcBorders>
            <w:shd w:val="clear" w:color="auto" w:fill="CFF0FC"/>
          </w:tcPr>
          <w:p>
            <w:pPr>
              <w:spacing w:after="0"/>
              <w:rPr>
                <w:sz w:val="24"/>
                <w:szCs w:val="24"/>
                <w:color w:val="auto"/>
              </w:rPr>
            </w:pPr>
          </w:p>
        </w:tc>
        <w:tc>
          <w:tcPr>
            <w:tcW w:w="40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1,332</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634"/>
        </w:trPr>
        <w:tc>
          <w:tcPr>
            <w:tcW w:w="394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19</w:t>
            </w: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1"/>
        </w:trPr>
        <w:tc>
          <w:tcPr>
            <w:tcW w:w="3940" w:type="dxa"/>
            <w:vAlign w:val="bottom"/>
            <w:tcBorders>
              <w:bottom w:val="single" w:sz="8" w:color="9A9A9A"/>
            </w:tcBorders>
          </w:tcPr>
          <w:p>
            <w:pPr>
              <w:spacing w:after="0"/>
              <w:rPr>
                <w:sz w:val="8"/>
                <w:szCs w:val="8"/>
                <w:color w:val="auto"/>
              </w:rPr>
            </w:pPr>
          </w:p>
        </w:tc>
        <w:tc>
          <w:tcPr>
            <w:tcW w:w="186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4406265</wp:posOffset>
            </wp:positionH>
            <wp:positionV relativeFrom="paragraph">
              <wp:posOffset>-513080</wp:posOffset>
            </wp:positionV>
            <wp:extent cx="7683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4406265</wp:posOffset>
            </wp:positionH>
            <wp:positionV relativeFrom="paragraph">
              <wp:posOffset>-495935</wp:posOffset>
            </wp:positionV>
            <wp:extent cx="7683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-513080</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-495935</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-513080</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-495935</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-513080</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-495935</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type w:val="continuous"/>
        </w:sectPr>
      </w:pPr>
    </w:p>
    <w:bookmarkStart w:id="19" w:name="page20"/>
    <w:bookmarkEnd w:id="19"/>
    <w:p>
      <w:pPr>
        <w:ind w:left="6800"/>
        <w:spacing w:after="0"/>
        <w:rPr>
          <w:sz w:val="20"/>
          <w:szCs w:val="20"/>
          <w:color w:val="auto"/>
        </w:rPr>
      </w:pPr>
      <w:r>
        <w:rPr>
          <w:rFonts w:ascii="Arial" w:cs="Arial" w:eastAsia="Arial" w:hAnsi="Arial"/>
          <w:sz w:val="14"/>
          <w:szCs w:val="14"/>
          <w:b w:val="1"/>
          <w:bCs w:val="1"/>
          <w:color w:val="auto"/>
        </w:rPr>
        <w:t>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3686810</wp:posOffset>
            </wp:positionH>
            <wp:positionV relativeFrom="paragraph">
              <wp:posOffset>15240</wp:posOffset>
            </wp:positionV>
            <wp:extent cx="162687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626870" cy="8255"/>
                    </a:xfrm>
                    <a:prstGeom prst="rect">
                      <a:avLst/>
                    </a:prstGeom>
                    <a:noFill/>
                  </pic:spPr>
                </pic:pic>
              </a:graphicData>
            </a:graphic>
          </wp:anchor>
        </w:drawing>
      </w:r>
    </w:p>
    <w:p>
      <w:pPr>
        <w:spacing w:after="0" w:line="8" w:lineRule="exact"/>
        <w:rPr>
          <w:sz w:val="20"/>
          <w:szCs w:val="20"/>
          <w:color w:val="auto"/>
        </w:rPr>
      </w:pPr>
    </w:p>
    <w:p>
      <w:pPr>
        <w:ind w:left="6220"/>
        <w:spacing w:after="0"/>
        <w:rPr>
          <w:sz w:val="20"/>
          <w:szCs w:val="20"/>
          <w:color w:val="auto"/>
        </w:rPr>
      </w:pPr>
      <w:r>
        <w:rPr>
          <w:rFonts w:ascii="Arial" w:cs="Arial" w:eastAsia="Arial" w:hAnsi="Arial"/>
          <w:sz w:val="13"/>
          <w:szCs w:val="13"/>
          <w:b w:val="1"/>
          <w:bCs w:val="1"/>
          <w:color w:val="auto"/>
        </w:rPr>
        <w:t>For the Nine Months Ended</w:t>
      </w:r>
    </w:p>
    <w:p>
      <w:pPr>
        <w:spacing w:after="0" w:line="15" w:lineRule="exact"/>
        <w:rPr>
          <w:sz w:val="20"/>
          <w:szCs w:val="20"/>
          <w:color w:val="auto"/>
        </w:rPr>
      </w:pPr>
    </w:p>
    <w:p>
      <w:pPr>
        <w:jc w:val="center"/>
        <w:ind w:left="586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3686810</wp:posOffset>
            </wp:positionH>
            <wp:positionV relativeFrom="paragraph">
              <wp:posOffset>5080</wp:posOffset>
            </wp:positionV>
            <wp:extent cx="162687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626870" cy="8255"/>
                    </a:xfrm>
                    <a:prstGeom prst="rect">
                      <a:avLst/>
                    </a:prstGeom>
                    <a:noFill/>
                  </pic:spPr>
                </pic:pic>
              </a:graphicData>
            </a:graphic>
          </wp:anchor>
        </w:drawing>
      </w:r>
    </w:p>
    <w:p>
      <w:pPr>
        <w:ind w:left="6220"/>
        <w:spacing w:after="0"/>
        <w:tabs>
          <w:tab w:leader="none" w:pos="7620" w:val="left"/>
        </w:tabs>
        <w:rPr>
          <w:sz w:val="20"/>
          <w:szCs w:val="20"/>
          <w:color w:val="auto"/>
        </w:rPr>
      </w:pPr>
      <w:r>
        <w:rPr>
          <w:rFonts w:ascii="Arial" w:cs="Arial" w:eastAsia="Arial" w:hAnsi="Arial"/>
          <w:sz w:val="13"/>
          <w:szCs w:val="13"/>
          <w:b w:val="1"/>
          <w:bCs w:val="1"/>
          <w:color w:val="auto"/>
        </w:rPr>
        <w:t>2022</w:t>
      </w:r>
      <w:r>
        <w:rPr>
          <w:sz w:val="20"/>
          <w:szCs w:val="20"/>
          <w:color w:val="auto"/>
        </w:rPr>
        <w:tab/>
      </w:r>
      <w:r>
        <w:rPr>
          <w:rFonts w:ascii="Arial" w:cs="Arial" w:eastAsia="Arial" w:hAnsi="Arial"/>
          <w:sz w:val="13"/>
          <w:szCs w:val="13"/>
          <w:b w:val="1"/>
          <w:bCs w:val="1"/>
          <w:color w:val="auto"/>
        </w:rPr>
        <w:t>2021</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Arial" w:cs="Arial" w:eastAsia="Arial" w:hAnsi="Arial"/>
          <w:sz w:val="13"/>
          <w:szCs w:val="13"/>
          <w:b w:val="1"/>
          <w:bCs w:val="1"/>
          <w:color w:val="auto"/>
        </w:rPr>
        <w:t>Operating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-259080</wp:posOffset>
            </wp:positionH>
            <wp:positionV relativeFrom="paragraph">
              <wp:posOffset>22225</wp:posOffset>
            </wp:positionV>
            <wp:extent cx="160147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601470" cy="8255"/>
                    </a:xfrm>
                    <a:prstGeom prst="rect">
                      <a:avLst/>
                    </a:prstGeom>
                    <a:noFill/>
                  </pic:spPr>
                </pic:pic>
              </a:graphicData>
            </a:graphic>
          </wp:anchor>
        </w:drawing>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For the Nine Months Ended</w:t>
      </w:r>
    </w:p>
    <w:p>
      <w:pPr>
        <w:spacing w:after="0" w:line="15" w:lineRule="exact"/>
        <w:rPr>
          <w:sz w:val="20"/>
          <w:szCs w:val="20"/>
          <w:color w:val="auto"/>
        </w:rPr>
      </w:pPr>
    </w:p>
    <w:p>
      <w:pPr>
        <w:jc w:val="center"/>
        <w:ind w:right="52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-259080</wp:posOffset>
            </wp:positionH>
            <wp:positionV relativeFrom="paragraph">
              <wp:posOffset>5080</wp:posOffset>
            </wp:positionV>
            <wp:extent cx="160147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601470" cy="8255"/>
                    </a:xfrm>
                    <a:prstGeom prst="rect">
                      <a:avLst/>
                    </a:prstGeom>
                    <a:noFill/>
                  </pic:spPr>
                </pic:pic>
              </a:graphicData>
            </a:graphic>
          </wp:anchor>
        </w:drawing>
      </w:r>
    </w:p>
    <w:p>
      <w:pPr>
        <w:ind w:left="20"/>
        <w:spacing w:after="0"/>
        <w:tabs>
          <w:tab w:leader="none" w:pos="1380" w:val="left"/>
        </w:tabs>
        <w:rPr>
          <w:sz w:val="20"/>
          <w:szCs w:val="20"/>
          <w:color w:val="auto"/>
        </w:rPr>
      </w:pPr>
      <w:r>
        <w:rPr>
          <w:rFonts w:ascii="Arial" w:cs="Arial" w:eastAsia="Arial" w:hAnsi="Arial"/>
          <w:sz w:val="13"/>
          <w:szCs w:val="13"/>
          <w:b w:val="1"/>
          <w:bCs w:val="1"/>
          <w:color w:val="auto"/>
        </w:rPr>
        <w:t>2022</w:t>
      </w:r>
      <w:r>
        <w:rPr>
          <w:sz w:val="20"/>
          <w:szCs w:val="20"/>
          <w:color w:val="auto"/>
        </w:rPr>
        <w:tab/>
      </w:r>
      <w:r>
        <w:rPr>
          <w:rFonts w:ascii="Arial" w:cs="Arial" w:eastAsia="Arial" w:hAnsi="Arial"/>
          <w:sz w:val="13"/>
          <w:szCs w:val="13"/>
          <w:b w:val="1"/>
          <w:bCs w:val="1"/>
          <w:color w:val="auto"/>
        </w:rPr>
        <w:t>2021</w:t>
      </w:r>
    </w:p>
    <w:p>
      <w:pPr>
        <w:spacing w:after="0" w:line="35" w:lineRule="exact"/>
        <w:rPr>
          <w:sz w:val="20"/>
          <w:szCs w:val="20"/>
          <w:color w:val="auto"/>
        </w:rPr>
      </w:pPr>
    </w:p>
    <w:p>
      <w:pPr>
        <w:sectPr>
          <w:pgSz w:w="11900" w:h="16838" w:orient="portrait"/>
          <w:cols w:equalWidth="0" w:num="2">
            <w:col w:w="8300" w:space="720"/>
            <w:col w:w="2220"/>
          </w:cols>
          <w:pgMar w:left="320" w:top="346" w:right="339" w:bottom="1440" w:gutter="0" w:footer="0" w:header="0"/>
        </w:sectPr>
      </w:pPr>
    </w:p>
    <w:tbl>
      <w:tblPr>
        <w:tblLayout w:type="fixed"/>
        <w:tblInd w:w="0" w:type="dxa"/>
        <w:tblCellMar>
          <w:top w:w="0" w:type="dxa"/>
          <w:left w:w="0" w:type="dxa"/>
          <w:bottom w:w="0" w:type="dxa"/>
          <w:right w:w="0" w:type="dxa"/>
        </w:tblCellMar>
      </w:tblPr>
      <w:tr>
        <w:trPr>
          <w:trHeight w:val="236"/>
        </w:trPr>
        <w:tc>
          <w:tcPr>
            <w:tcW w:w="580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Segments:</w:t>
            </w:r>
          </w:p>
        </w:tc>
        <w:tc>
          <w:tcPr>
            <w:tcW w:w="380" w:type="dxa"/>
            <w:vAlign w:val="bottom"/>
            <w:tcBorders>
              <w:top w:val="single" w:sz="8" w:color="auto"/>
            </w:tcBorders>
            <w:shd w:val="clear" w:color="auto" w:fill="CFF0FC"/>
          </w:tcPr>
          <w:p>
            <w:pPr>
              <w:spacing w:after="0"/>
              <w:rPr>
                <w:sz w:val="20"/>
                <w:szCs w:val="20"/>
                <w:color w:val="auto"/>
              </w:rPr>
            </w:pPr>
          </w:p>
        </w:tc>
        <w:tc>
          <w:tcPr>
            <w:tcW w:w="760" w:type="dxa"/>
            <w:vAlign w:val="bottom"/>
            <w:tcBorders>
              <w:top w:val="single" w:sz="8" w:color="auto"/>
            </w:tcBorders>
            <w:shd w:val="clear" w:color="auto" w:fill="CFF0FC"/>
          </w:tcPr>
          <w:p>
            <w:pPr>
              <w:spacing w:after="0"/>
              <w:rPr>
                <w:sz w:val="20"/>
                <w:szCs w:val="20"/>
                <w:color w:val="auto"/>
              </w:rPr>
            </w:pPr>
          </w:p>
        </w:tc>
        <w:tc>
          <w:tcPr>
            <w:tcW w:w="260" w:type="dxa"/>
            <w:vAlign w:val="bottom"/>
            <w:tcBorders>
              <w:top w:val="single" w:sz="8" w:color="CFF0FC"/>
            </w:tcBorders>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spacing w:after="0"/>
              <w:rPr>
                <w:sz w:val="20"/>
                <w:szCs w:val="20"/>
                <w:color w:val="auto"/>
              </w:rPr>
            </w:pPr>
          </w:p>
        </w:tc>
        <w:tc>
          <w:tcPr>
            <w:tcW w:w="820" w:type="dxa"/>
            <w:vAlign w:val="bottom"/>
            <w:tcBorders>
              <w:top w:val="single" w:sz="8" w:color="auto"/>
            </w:tcBorders>
            <w:shd w:val="clear" w:color="auto" w:fill="CFF0FC"/>
          </w:tcPr>
          <w:p>
            <w:pPr>
              <w:spacing w:after="0"/>
              <w:rPr>
                <w:sz w:val="20"/>
                <w:szCs w:val="20"/>
                <w:color w:val="auto"/>
              </w:rPr>
            </w:pPr>
          </w:p>
        </w:tc>
        <w:tc>
          <w:tcPr>
            <w:tcW w:w="260" w:type="dxa"/>
            <w:vAlign w:val="bottom"/>
            <w:tcBorders>
              <w:top w:val="single" w:sz="8" w:color="CFF0FC"/>
            </w:tcBorders>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800" w:type="dxa"/>
            <w:vAlign w:val="bottom"/>
            <w:tcBorders>
              <w:top w:val="single" w:sz="8" w:color="auto"/>
            </w:tcBorders>
            <w:shd w:val="clear" w:color="auto" w:fill="CFF0FC"/>
          </w:tcPr>
          <w:p>
            <w:pPr>
              <w:spacing w:after="0"/>
              <w:rPr>
                <w:sz w:val="20"/>
                <w:szCs w:val="20"/>
                <w:color w:val="auto"/>
              </w:rPr>
            </w:pPr>
          </w:p>
        </w:tc>
        <w:tc>
          <w:tcPr>
            <w:tcW w:w="240" w:type="dxa"/>
            <w:vAlign w:val="bottom"/>
            <w:tcBorders>
              <w:top w:val="single" w:sz="8" w:color="CFF0FC"/>
            </w:tcBorders>
            <w:shd w:val="clear" w:color="auto" w:fill="CFF0FC"/>
          </w:tcPr>
          <w:p>
            <w:pPr>
              <w:spacing w:after="0"/>
              <w:rPr>
                <w:sz w:val="20"/>
                <w:szCs w:val="20"/>
                <w:color w:val="auto"/>
              </w:rPr>
            </w:pPr>
          </w:p>
        </w:tc>
        <w:tc>
          <w:tcPr>
            <w:tcW w:w="400" w:type="dxa"/>
            <w:vAlign w:val="bottom"/>
            <w:tcBorders>
              <w:top w:val="single" w:sz="8" w:color="auto"/>
            </w:tcBorders>
            <w:shd w:val="clear" w:color="auto" w:fill="CFF0FC"/>
          </w:tcPr>
          <w:p>
            <w:pPr>
              <w:spacing w:after="0"/>
              <w:rPr>
                <w:sz w:val="20"/>
                <w:szCs w:val="20"/>
                <w:color w:val="auto"/>
              </w:rPr>
            </w:pPr>
          </w:p>
        </w:tc>
        <w:tc>
          <w:tcPr>
            <w:tcW w:w="76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r>
      <w:tr>
        <w:trPr>
          <w:trHeight w:val="236"/>
        </w:trPr>
        <w:tc>
          <w:tcPr>
            <w:tcW w:w="5800" w:type="dxa"/>
            <w:vAlign w:val="bottom"/>
          </w:tcPr>
          <w:p>
            <w:pPr>
              <w:ind w:left="20"/>
              <w:spacing w:after="0"/>
              <w:rPr>
                <w:sz w:val="20"/>
                <w:szCs w:val="20"/>
                <w:color w:val="auto"/>
              </w:rPr>
            </w:pPr>
            <w:r>
              <w:rPr>
                <w:rFonts w:ascii="Arial" w:cs="Arial" w:eastAsia="Arial" w:hAnsi="Arial"/>
                <w:sz w:val="18"/>
                <w:szCs w:val="18"/>
                <w:color w:val="auto"/>
              </w:rPr>
              <w:t>Orion Services Group</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27,405</w:t>
            </w:r>
          </w:p>
        </w:tc>
        <w:tc>
          <w:tcPr>
            <w:tcW w:w="6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68,961</w:t>
            </w:r>
          </w:p>
        </w:tc>
        <w:tc>
          <w:tcPr>
            <w:tcW w:w="5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70"/>
              <w:spacing w:after="0"/>
              <w:rPr>
                <w:sz w:val="20"/>
                <w:szCs w:val="20"/>
                <w:color w:val="auto"/>
              </w:rPr>
            </w:pPr>
            <w:r>
              <w:rPr>
                <w:rFonts w:ascii="Arial" w:cs="Arial" w:eastAsia="Arial" w:hAnsi="Arial"/>
                <w:sz w:val="18"/>
                <w:szCs w:val="18"/>
                <w:color w:val="auto"/>
              </w:rPr>
              <w:t>(5,630 )</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7,115</w:t>
            </w:r>
          </w:p>
        </w:tc>
        <w:tc>
          <w:tcPr>
            <w:tcW w:w="100" w:type="dxa"/>
            <w:vAlign w:val="bottom"/>
          </w:tcPr>
          <w:p>
            <w:pPr>
              <w:spacing w:after="0"/>
              <w:rPr>
                <w:sz w:val="20"/>
                <w:szCs w:val="20"/>
                <w:color w:val="auto"/>
              </w:rPr>
            </w:pPr>
          </w:p>
        </w:tc>
      </w:tr>
      <w:tr>
        <w:trPr>
          <w:trHeight w:val="249"/>
        </w:trPr>
        <w:tc>
          <w:tcPr>
            <w:tcW w:w="5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Orion Distribution Services</w:t>
            </w:r>
          </w:p>
        </w:tc>
        <w:tc>
          <w:tcPr>
            <w:tcW w:w="38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12,846</w:t>
            </w: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18,264</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3,173</w:t>
            </w:r>
          </w:p>
        </w:tc>
        <w:tc>
          <w:tcPr>
            <w:tcW w:w="100" w:type="dxa"/>
            <w:vAlign w:val="bottom"/>
            <w:shd w:val="clear" w:color="auto" w:fill="CFF0FC"/>
          </w:tcPr>
          <w:p>
            <w:pPr>
              <w:spacing w:after="0"/>
              <w:rPr>
                <w:sz w:val="21"/>
                <w:szCs w:val="21"/>
                <w:color w:val="auto"/>
              </w:rPr>
            </w:pPr>
          </w:p>
        </w:tc>
      </w:tr>
      <w:tr>
        <w:trPr>
          <w:trHeight w:val="236"/>
        </w:trPr>
        <w:tc>
          <w:tcPr>
            <w:tcW w:w="5800" w:type="dxa"/>
            <w:vAlign w:val="bottom"/>
          </w:tcPr>
          <w:p>
            <w:pPr>
              <w:ind w:left="20"/>
              <w:spacing w:after="0"/>
              <w:rPr>
                <w:sz w:val="20"/>
                <w:szCs w:val="20"/>
                <w:color w:val="auto"/>
              </w:rPr>
            </w:pPr>
            <w:r>
              <w:rPr>
                <w:rFonts w:ascii="Arial" w:cs="Arial" w:eastAsia="Arial" w:hAnsi="Arial"/>
                <w:sz w:val="18"/>
                <w:szCs w:val="18"/>
                <w:color w:val="auto"/>
              </w:rPr>
              <w:t>Orion U.S. Markets</w:t>
            </w:r>
          </w:p>
        </w:tc>
        <w:tc>
          <w:tcPr>
            <w:tcW w:w="3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12,673</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15,100</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1,028</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3,198</w:t>
            </w:r>
          </w:p>
        </w:tc>
        <w:tc>
          <w:tcPr>
            <w:tcW w:w="100" w:type="dxa"/>
            <w:vAlign w:val="bottom"/>
          </w:tcPr>
          <w:p>
            <w:pPr>
              <w:spacing w:after="0"/>
              <w:rPr>
                <w:sz w:val="20"/>
                <w:szCs w:val="20"/>
                <w:color w:val="auto"/>
              </w:rPr>
            </w:pPr>
          </w:p>
        </w:tc>
      </w:tr>
      <w:tr>
        <w:trPr>
          <w:trHeight w:val="249"/>
        </w:trPr>
        <w:tc>
          <w:tcPr>
            <w:tcW w:w="5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Orion Electric Vehicle Charging</w:t>
            </w:r>
          </w:p>
        </w:tc>
        <w:tc>
          <w:tcPr>
            <w:tcW w:w="38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2,830</w:t>
            </w: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(1,500 )</w:t>
            </w:r>
          </w:p>
        </w:tc>
        <w:tc>
          <w:tcPr>
            <w:tcW w:w="40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6"/>
        </w:trPr>
        <w:tc>
          <w:tcPr>
            <w:tcW w:w="5800" w:type="dxa"/>
            <w:vAlign w:val="bottom"/>
          </w:tcPr>
          <w:p>
            <w:pPr>
              <w:ind w:left="20"/>
              <w:spacing w:after="0"/>
              <w:rPr>
                <w:sz w:val="20"/>
                <w:szCs w:val="20"/>
                <w:color w:val="auto"/>
              </w:rPr>
            </w:pPr>
            <w:r>
              <w:rPr>
                <w:rFonts w:ascii="Arial" w:cs="Arial" w:eastAsia="Arial" w:hAnsi="Arial"/>
                <w:sz w:val="18"/>
                <w:szCs w:val="18"/>
                <w:color w:val="auto"/>
              </w:rPr>
              <w:t>Corporate and Other</w:t>
            </w:r>
          </w:p>
        </w:tc>
        <w:tc>
          <w:tcPr>
            <w:tcW w:w="3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gridSpan w:val="2"/>
          </w:tcPr>
          <w:p>
            <w:pPr>
              <w:jc w:val="right"/>
              <w:ind w:right="70"/>
              <w:spacing w:after="0"/>
              <w:rPr>
                <w:sz w:val="20"/>
                <w:szCs w:val="20"/>
                <w:color w:val="auto"/>
              </w:rPr>
            </w:pPr>
            <w:r>
              <w:rPr>
                <w:rFonts w:ascii="Arial" w:cs="Arial" w:eastAsia="Arial" w:hAnsi="Arial"/>
                <w:sz w:val="18"/>
                <w:szCs w:val="18"/>
                <w:color w:val="auto"/>
              </w:rPr>
              <w:t>(5,052 )</w:t>
            </w:r>
          </w:p>
        </w:tc>
        <w:tc>
          <w:tcPr>
            <w:tcW w:w="40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(3,705 )</w:t>
            </w:r>
          </w:p>
        </w:tc>
      </w:tr>
      <w:tr>
        <w:trPr>
          <w:trHeight w:val="276"/>
        </w:trPr>
        <w:tc>
          <w:tcPr>
            <w:tcW w:w="580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55,754</w:t>
            </w:r>
          </w:p>
        </w:tc>
        <w:tc>
          <w:tcPr>
            <w:tcW w:w="26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102,325</w:t>
            </w:r>
          </w:p>
        </w:tc>
        <w:tc>
          <w:tcPr>
            <w:tcW w:w="26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(11,148</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9,781</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4406265</wp:posOffset>
            </wp:positionH>
            <wp:positionV relativeFrom="paragraph">
              <wp:posOffset>-24765</wp:posOffset>
            </wp:positionV>
            <wp:extent cx="7683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4406265</wp:posOffset>
            </wp:positionH>
            <wp:positionV relativeFrom="paragraph">
              <wp:posOffset>-7620</wp:posOffset>
            </wp:positionV>
            <wp:extent cx="7683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-24765</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-7620</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-24765</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-7620</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ACQUISITION</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Voltrek</w:t>
      </w:r>
    </w:p>
    <w:p>
      <w:pPr>
        <w:spacing w:after="0" w:line="171" w:lineRule="exact"/>
        <w:rPr>
          <w:sz w:val="20"/>
          <w:szCs w:val="20"/>
          <w:color w:val="auto"/>
        </w:rPr>
      </w:pPr>
    </w:p>
    <w:p>
      <w:pPr>
        <w:jc w:val="both"/>
        <w:ind w:firstLine="464"/>
        <w:spacing w:after="0" w:line="271" w:lineRule="auto"/>
        <w:rPr>
          <w:sz w:val="20"/>
          <w:szCs w:val="20"/>
          <w:color w:val="auto"/>
        </w:rPr>
      </w:pPr>
      <w:r>
        <w:rPr>
          <w:rFonts w:ascii="Arial" w:cs="Arial" w:eastAsia="Arial" w:hAnsi="Arial"/>
          <w:sz w:val="17"/>
          <w:szCs w:val="17"/>
          <w:color w:val="auto"/>
        </w:rPr>
        <w:t>Effective on October 5, 2022, Orion acquired all the membership interests of Voltrek, an electric vehicle charging station solutions provider for a purchase price of $5.0 million in cash and $1.0 million of shares of common stock of Orion, subject to normal and customary closing adjustments (the “Voltrek Acquisition”). In addition, depending upon the relative EBITDA growth of Voltrek’s business in fiscal 2023, 2024 and 2025, Orion could pay up to an additional $3.0 million, $3.5 million and $7.15 million, respectively, in earnout payments. These compensatory payments do not fall within the scope of ASC 805, Business Combinations, and will be expensed over the course of the earnout periods to the extent they are earned. The Voltrek Acquisition was funded from existing cash resources and Orion shares. Voltrek will operate as Voltrek, an Orion Energy Systems business. The Voltrek Acquisition leverages Orion’s project management and maintenance expertise into a rapidly growing sector.</w:t>
      </w:r>
    </w:p>
    <w:p>
      <w:pPr>
        <w:spacing w:after="0" w:line="343" w:lineRule="exact"/>
        <w:rPr>
          <w:sz w:val="20"/>
          <w:szCs w:val="20"/>
          <w:color w:val="auto"/>
        </w:rPr>
      </w:pPr>
    </w:p>
    <w:p>
      <w:pPr>
        <w:jc w:val="both"/>
        <w:ind w:firstLine="464"/>
        <w:spacing w:after="0" w:line="301" w:lineRule="auto"/>
        <w:rPr>
          <w:sz w:val="20"/>
          <w:szCs w:val="20"/>
          <w:color w:val="auto"/>
        </w:rPr>
      </w:pPr>
      <w:r>
        <w:rPr>
          <w:rFonts w:ascii="Arial" w:cs="Arial" w:eastAsia="Arial" w:hAnsi="Arial"/>
          <w:sz w:val="16"/>
          <w:szCs w:val="16"/>
          <w:color w:val="auto"/>
        </w:rPr>
        <w:t>Orion has accounted for the Voltrek Acquisition as a business combination. Orion has preliminarily allocated the purchase price of approximately $6.7 million to the assets acquired and liabilities assumed at estimated fair values, and the excess of the purchase price over the aggregate fair values is recorded as goodwill. The purchase price was paid in cash and 620,067 shares of common stock with a total market value of $1.0 million, which is recorded in the opening balance sheet at fair value of $0.8 million, the discount on which is due to lock-up requirements on the shares.</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0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w:t>
            </w:r>
          </w:p>
        </w:tc>
        <w:tc>
          <w:tcPr>
            <w:tcW w:w="100" w:type="dxa"/>
            <w:vAlign w:val="bottom"/>
            <w:shd w:val="clear" w:color="auto" w:fill="CFF0FC"/>
          </w:tcPr>
          <w:p>
            <w:pPr>
              <w:spacing w:after="0"/>
              <w:rPr>
                <w:sz w:val="21"/>
                <w:szCs w:val="21"/>
                <w:color w:val="auto"/>
              </w:rPr>
            </w:pPr>
          </w:p>
        </w:tc>
      </w:tr>
      <w:tr>
        <w:trPr>
          <w:trHeight w:val="236"/>
        </w:trPr>
        <w:tc>
          <w:tcPr>
            <w:tcW w:w="1000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3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1,438</w:t>
            </w:r>
          </w:p>
        </w:tc>
        <w:tc>
          <w:tcPr>
            <w:tcW w:w="100" w:type="dxa"/>
            <w:vAlign w:val="bottom"/>
          </w:tcPr>
          <w:p>
            <w:pPr>
              <w:spacing w:after="0"/>
              <w:rPr>
                <w:sz w:val="20"/>
                <w:szCs w:val="20"/>
                <w:color w:val="auto"/>
              </w:rPr>
            </w:pPr>
          </w:p>
        </w:tc>
      </w:tr>
      <w:tr>
        <w:trPr>
          <w:trHeight w:val="249"/>
        </w:trPr>
        <w:tc>
          <w:tcPr>
            <w:tcW w:w="10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 earned but not billed</w:t>
            </w:r>
          </w:p>
        </w:tc>
        <w:tc>
          <w:tcPr>
            <w:tcW w:w="38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w:t>
            </w:r>
          </w:p>
        </w:tc>
        <w:tc>
          <w:tcPr>
            <w:tcW w:w="100" w:type="dxa"/>
            <w:vAlign w:val="bottom"/>
            <w:shd w:val="clear" w:color="auto" w:fill="CFF0FC"/>
          </w:tcPr>
          <w:p>
            <w:pPr>
              <w:spacing w:after="0"/>
              <w:rPr>
                <w:sz w:val="21"/>
                <w:szCs w:val="21"/>
                <w:color w:val="auto"/>
              </w:rPr>
            </w:pPr>
          </w:p>
        </w:tc>
      </w:tr>
      <w:tr>
        <w:trPr>
          <w:trHeight w:val="236"/>
        </w:trPr>
        <w:tc>
          <w:tcPr>
            <w:tcW w:w="10000" w:type="dxa"/>
            <w:vAlign w:val="bottom"/>
          </w:tcPr>
          <w:p>
            <w:pPr>
              <w:ind w:left="20"/>
              <w:spacing w:after="0"/>
              <w:rPr>
                <w:sz w:val="20"/>
                <w:szCs w:val="20"/>
                <w:color w:val="auto"/>
              </w:rPr>
            </w:pPr>
            <w:r>
              <w:rPr>
                <w:rFonts w:ascii="Arial" w:cs="Arial" w:eastAsia="Arial" w:hAnsi="Arial"/>
                <w:sz w:val="18"/>
                <w:szCs w:val="18"/>
                <w:color w:val="auto"/>
              </w:rPr>
              <w:t>Inventory</w:t>
            </w:r>
          </w:p>
        </w:tc>
        <w:tc>
          <w:tcPr>
            <w:tcW w:w="3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880</w:t>
            </w:r>
          </w:p>
        </w:tc>
        <w:tc>
          <w:tcPr>
            <w:tcW w:w="100" w:type="dxa"/>
            <w:vAlign w:val="bottom"/>
          </w:tcPr>
          <w:p>
            <w:pPr>
              <w:spacing w:after="0"/>
              <w:rPr>
                <w:sz w:val="20"/>
                <w:szCs w:val="20"/>
                <w:color w:val="auto"/>
              </w:rPr>
            </w:pPr>
          </w:p>
        </w:tc>
      </w:tr>
      <w:tr>
        <w:trPr>
          <w:trHeight w:val="249"/>
        </w:trPr>
        <w:tc>
          <w:tcPr>
            <w:tcW w:w="10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38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FF0FC"/>
          </w:tcPr>
          <w:p>
            <w:pPr>
              <w:spacing w:after="0"/>
              <w:rPr>
                <w:sz w:val="21"/>
                <w:szCs w:val="21"/>
                <w:color w:val="auto"/>
              </w:rPr>
            </w:pPr>
          </w:p>
        </w:tc>
      </w:tr>
      <w:tr>
        <w:trPr>
          <w:trHeight w:val="236"/>
        </w:trPr>
        <w:tc>
          <w:tcPr>
            <w:tcW w:w="10000" w:type="dxa"/>
            <w:vAlign w:val="bottom"/>
          </w:tcPr>
          <w:p>
            <w:pPr>
              <w:ind w:left="20"/>
              <w:spacing w:after="0"/>
              <w:rPr>
                <w:sz w:val="20"/>
                <w:szCs w:val="20"/>
                <w:color w:val="auto"/>
              </w:rPr>
            </w:pPr>
            <w:r>
              <w:rPr>
                <w:rFonts w:ascii="Arial" w:cs="Arial" w:eastAsia="Arial" w:hAnsi="Arial"/>
                <w:sz w:val="18"/>
                <w:szCs w:val="18"/>
                <w:color w:val="auto"/>
              </w:rPr>
              <w:t>Property and equipment</w:t>
            </w:r>
          </w:p>
        </w:tc>
        <w:tc>
          <w:tcPr>
            <w:tcW w:w="3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r>
      <w:tr>
        <w:trPr>
          <w:trHeight w:val="249"/>
        </w:trPr>
        <w:tc>
          <w:tcPr>
            <w:tcW w:w="10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Goodwill</w:t>
            </w:r>
          </w:p>
        </w:tc>
        <w:tc>
          <w:tcPr>
            <w:tcW w:w="38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861</w:t>
            </w:r>
          </w:p>
        </w:tc>
        <w:tc>
          <w:tcPr>
            <w:tcW w:w="100" w:type="dxa"/>
            <w:vAlign w:val="bottom"/>
            <w:shd w:val="clear" w:color="auto" w:fill="CFF0FC"/>
          </w:tcPr>
          <w:p>
            <w:pPr>
              <w:spacing w:after="0"/>
              <w:rPr>
                <w:sz w:val="21"/>
                <w:szCs w:val="21"/>
                <w:color w:val="auto"/>
              </w:rPr>
            </w:pPr>
          </w:p>
        </w:tc>
      </w:tr>
      <w:tr>
        <w:trPr>
          <w:trHeight w:val="236"/>
        </w:trPr>
        <w:tc>
          <w:tcPr>
            <w:tcW w:w="10000" w:type="dxa"/>
            <w:vAlign w:val="bottom"/>
          </w:tcPr>
          <w:p>
            <w:pPr>
              <w:ind w:left="20"/>
              <w:spacing w:after="0"/>
              <w:rPr>
                <w:sz w:val="20"/>
                <w:szCs w:val="20"/>
                <w:color w:val="auto"/>
              </w:rPr>
            </w:pPr>
            <w:r>
              <w:rPr>
                <w:rFonts w:ascii="Arial" w:cs="Arial" w:eastAsia="Arial" w:hAnsi="Arial"/>
                <w:sz w:val="18"/>
                <w:szCs w:val="18"/>
                <w:color w:val="auto"/>
              </w:rPr>
              <w:t>Other intangible assets</w:t>
            </w:r>
          </w:p>
        </w:tc>
        <w:tc>
          <w:tcPr>
            <w:tcW w:w="3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4,200</w:t>
            </w:r>
          </w:p>
        </w:tc>
        <w:tc>
          <w:tcPr>
            <w:tcW w:w="100" w:type="dxa"/>
            <w:vAlign w:val="bottom"/>
          </w:tcPr>
          <w:p>
            <w:pPr>
              <w:spacing w:after="0"/>
              <w:rPr>
                <w:sz w:val="20"/>
                <w:szCs w:val="20"/>
                <w:color w:val="auto"/>
              </w:rPr>
            </w:pPr>
          </w:p>
        </w:tc>
      </w:tr>
      <w:tr>
        <w:trPr>
          <w:trHeight w:val="249"/>
        </w:trPr>
        <w:tc>
          <w:tcPr>
            <w:tcW w:w="10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long-term assets</w:t>
            </w:r>
          </w:p>
        </w:tc>
        <w:tc>
          <w:tcPr>
            <w:tcW w:w="38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w:t>
            </w:r>
          </w:p>
        </w:tc>
        <w:tc>
          <w:tcPr>
            <w:tcW w:w="100" w:type="dxa"/>
            <w:vAlign w:val="bottom"/>
            <w:shd w:val="clear" w:color="auto" w:fill="CFF0FC"/>
          </w:tcPr>
          <w:p>
            <w:pPr>
              <w:spacing w:after="0"/>
              <w:rPr>
                <w:sz w:val="21"/>
                <w:szCs w:val="21"/>
                <w:color w:val="auto"/>
              </w:rPr>
            </w:pPr>
          </w:p>
        </w:tc>
      </w:tr>
      <w:tr>
        <w:trPr>
          <w:trHeight w:val="236"/>
        </w:trPr>
        <w:tc>
          <w:tcPr>
            <w:tcW w:w="1000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38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(1,199 )</w:t>
            </w:r>
          </w:p>
        </w:tc>
      </w:tr>
      <w:tr>
        <w:trPr>
          <w:trHeight w:val="249"/>
        </w:trPr>
        <w:tc>
          <w:tcPr>
            <w:tcW w:w="10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expenses and other</w:t>
            </w:r>
          </w:p>
        </w:tc>
        <w:tc>
          <w:tcPr>
            <w:tcW w:w="38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(286 )</w:t>
            </w:r>
          </w:p>
        </w:tc>
      </w:tr>
      <w:tr>
        <w:trPr>
          <w:trHeight w:val="236"/>
        </w:trPr>
        <w:tc>
          <w:tcPr>
            <w:tcW w:w="10000" w:type="dxa"/>
            <w:vAlign w:val="bottom"/>
          </w:tcPr>
          <w:p>
            <w:pPr>
              <w:ind w:left="20"/>
              <w:spacing w:after="0"/>
              <w:rPr>
                <w:sz w:val="20"/>
                <w:szCs w:val="20"/>
                <w:color w:val="auto"/>
              </w:rPr>
            </w:pPr>
            <w:r>
              <w:rPr>
                <w:rFonts w:ascii="Arial" w:cs="Arial" w:eastAsia="Arial" w:hAnsi="Arial"/>
                <w:sz w:val="18"/>
                <w:szCs w:val="18"/>
                <w:color w:val="auto"/>
              </w:rPr>
              <w:t>Other long-term liabilities</w:t>
            </w:r>
          </w:p>
        </w:tc>
        <w:tc>
          <w:tcPr>
            <w:tcW w:w="38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(180 )</w:t>
            </w:r>
          </w:p>
        </w:tc>
      </w:tr>
      <w:tr>
        <w:trPr>
          <w:trHeight w:val="276"/>
        </w:trPr>
        <w:tc>
          <w:tcPr>
            <w:tcW w:w="100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purchase consideration</w:t>
            </w: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6,749</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7" w:lineRule="exact"/>
        <w:rPr>
          <w:sz w:val="20"/>
          <w:szCs w:val="20"/>
          <w:color w:val="auto"/>
        </w:rPr>
      </w:pPr>
    </w:p>
    <w:p>
      <w:pPr>
        <w:jc w:val="both"/>
        <w:ind w:firstLine="464"/>
        <w:spacing w:after="0" w:line="263" w:lineRule="auto"/>
        <w:rPr>
          <w:sz w:val="20"/>
          <w:szCs w:val="20"/>
          <w:color w:val="auto"/>
        </w:rPr>
      </w:pPr>
      <w:r>
        <w:rPr>
          <w:rFonts w:ascii="Arial" w:cs="Arial" w:eastAsia="Arial" w:hAnsi="Arial"/>
          <w:sz w:val="18"/>
          <w:szCs w:val="18"/>
          <w:color w:val="auto"/>
        </w:rPr>
        <w:t>Goodwill recorded from the Voltrek Acquisition is attributable to the skillset of the acquired workforce. The goodwill resulting from the Voltrek Acquisition is expected to be deductible for tax purposes. The intangible assets include amounts recognized for the fair value of the trade name, vendor relationship and customer relationships.</w:t>
      </w:r>
    </w:p>
    <w:p>
      <w:pPr>
        <w:spacing w:after="0" w:line="129" w:lineRule="exact"/>
        <w:rPr>
          <w:sz w:val="20"/>
          <w:szCs w:val="20"/>
          <w:color w:val="auto"/>
        </w:rPr>
      </w:pPr>
    </w:p>
    <w:p>
      <w:pPr>
        <w:jc w:val="both"/>
        <w:ind w:firstLine="464"/>
        <w:spacing w:after="0" w:line="277" w:lineRule="auto"/>
        <w:rPr>
          <w:sz w:val="20"/>
          <w:szCs w:val="20"/>
          <w:color w:val="auto"/>
        </w:rPr>
      </w:pPr>
      <w:r>
        <w:rPr>
          <w:rFonts w:ascii="Arial" w:cs="Arial" w:eastAsia="Arial" w:hAnsi="Arial"/>
          <w:sz w:val="18"/>
          <w:szCs w:val="18"/>
          <w:color w:val="auto"/>
        </w:rPr>
        <w:t>The tradename intangible asset was valued using a relief from royalty method. The significant assumptions used include the estimated revenue and royalty rate, among other factors.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type w:val="continuous"/>
        </w:sectPr>
      </w:pPr>
    </w:p>
    <w:bookmarkStart w:id="20" w:name="page21"/>
    <w:bookmarkEnd w:id="20"/>
    <w:p>
      <w:pPr>
        <w:jc w:val="both"/>
        <w:ind w:right="20" w:firstLine="464"/>
        <w:spacing w:after="0" w:line="277" w:lineRule="auto"/>
        <w:rPr>
          <w:sz w:val="20"/>
          <w:szCs w:val="20"/>
          <w:color w:val="auto"/>
        </w:rPr>
      </w:pPr>
      <w:r>
        <w:rPr>
          <w:rFonts w:ascii="Arial" w:cs="Arial" w:eastAsia="Arial" w:hAnsi="Arial"/>
          <w:sz w:val="18"/>
          <w:szCs w:val="18"/>
          <w:color w:val="auto"/>
        </w:rPr>
        <w:t>The vendor relationship intangible asset was valued using the income approach – excess earnings method. The significant assumptions include estimated revenue, cost of goods sold, and probability of renewal, among other factors.</w:t>
      </w:r>
    </w:p>
    <w:p>
      <w:pPr>
        <w:spacing w:after="0" w:line="331" w:lineRule="exact"/>
        <w:rPr>
          <w:sz w:val="20"/>
          <w:szCs w:val="20"/>
          <w:color w:val="auto"/>
        </w:rPr>
      </w:pPr>
    </w:p>
    <w:p>
      <w:pPr>
        <w:jc w:val="both"/>
        <w:ind w:firstLine="464"/>
        <w:spacing w:after="0" w:line="263" w:lineRule="auto"/>
        <w:rPr>
          <w:sz w:val="20"/>
          <w:szCs w:val="20"/>
          <w:color w:val="auto"/>
        </w:rPr>
      </w:pPr>
      <w:r>
        <w:rPr>
          <w:rFonts w:ascii="Arial" w:cs="Arial" w:eastAsia="Arial" w:hAnsi="Arial"/>
          <w:sz w:val="18"/>
          <w:szCs w:val="18"/>
          <w:color w:val="auto"/>
        </w:rPr>
        <w:t>The customer relationship intangible asset was valued using the income approach – with-and-without method. The significant assumptions include estimated cash flows (including appropriate revenue, cost of revenue and operating expenses attributable to the asset, retention rate, among other factors), and discount rate, reflecting the risks inherent in the future cash flow stream, among other factors.</w:t>
      </w:r>
    </w:p>
    <w:p>
      <w:pPr>
        <w:spacing w:after="0" w:line="129" w:lineRule="exact"/>
        <w:rPr>
          <w:sz w:val="20"/>
          <w:szCs w:val="20"/>
          <w:color w:val="auto"/>
        </w:rPr>
      </w:pPr>
    </w:p>
    <w:p>
      <w:pPr>
        <w:jc w:val="both"/>
        <w:ind w:firstLine="464"/>
        <w:spacing w:after="0" w:line="277" w:lineRule="auto"/>
        <w:rPr>
          <w:sz w:val="20"/>
          <w:szCs w:val="20"/>
          <w:color w:val="auto"/>
        </w:rPr>
      </w:pPr>
      <w:r>
        <w:rPr>
          <w:rFonts w:ascii="Arial" w:cs="Arial" w:eastAsia="Arial" w:hAnsi="Arial"/>
          <w:sz w:val="18"/>
          <w:szCs w:val="18"/>
          <w:color w:val="auto"/>
        </w:rPr>
        <w:t>The categorization of the framework used to measure fair value of the intangible assets is considered to be within the Level 3 valuation hierarchy due to the subjective nature of the unobservable inputs used.</w:t>
      </w:r>
    </w:p>
    <w:p>
      <w:pPr>
        <w:spacing w:after="0" w:line="11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presents the details of the intangible assets acquired at the date of Voltrek Acquisition (dollars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40" w:type="dxa"/>
            <w:vAlign w:val="bottom"/>
          </w:tcPr>
          <w:p>
            <w:pPr>
              <w:spacing w:after="0"/>
              <w:rPr>
                <w:sz w:val="14"/>
                <w:szCs w:val="14"/>
                <w:color w:val="auto"/>
              </w:rPr>
            </w:pPr>
          </w:p>
        </w:tc>
        <w:tc>
          <w:tcPr>
            <w:tcW w:w="1140" w:type="dxa"/>
            <w:vAlign w:val="bottom"/>
          </w:tcPr>
          <w:p>
            <w:pPr>
              <w:ind w:left="480"/>
              <w:spacing w:after="0"/>
              <w:rPr>
                <w:sz w:val="20"/>
                <w:szCs w:val="20"/>
                <w:color w:val="auto"/>
              </w:rPr>
            </w:pPr>
            <w:r>
              <w:rPr>
                <w:rFonts w:ascii="Arial" w:cs="Arial" w:eastAsia="Arial" w:hAnsi="Arial"/>
                <w:sz w:val="14"/>
                <w:szCs w:val="14"/>
                <w:b w:val="1"/>
                <w:bCs w:val="1"/>
                <w:color w:val="auto"/>
                <w:w w:val="95"/>
              </w:rPr>
              <w:t>Estimated</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jc w:val="right"/>
              <w:ind w:right="82"/>
              <w:spacing w:after="0"/>
              <w:rPr>
                <w:sz w:val="20"/>
                <w:szCs w:val="20"/>
                <w:color w:val="auto"/>
              </w:rPr>
            </w:pPr>
            <w:r>
              <w:rPr>
                <w:rFonts w:ascii="Arial" w:cs="Arial" w:eastAsia="Arial" w:hAnsi="Arial"/>
                <w:sz w:val="14"/>
                <w:szCs w:val="14"/>
                <w:b w:val="1"/>
                <w:bCs w:val="1"/>
                <w:color w:val="auto"/>
                <w:w w:val="99"/>
              </w:rPr>
              <w:t>Estimated Useful Life</w:t>
            </w:r>
          </w:p>
        </w:tc>
        <w:tc>
          <w:tcPr>
            <w:tcW w:w="100" w:type="dxa"/>
            <w:vAlign w:val="bottom"/>
          </w:tcPr>
          <w:p>
            <w:pPr>
              <w:spacing w:after="0"/>
              <w:rPr>
                <w:sz w:val="14"/>
                <w:szCs w:val="14"/>
                <w:color w:val="auto"/>
              </w:rPr>
            </w:pPr>
          </w:p>
        </w:tc>
      </w:tr>
      <w:tr>
        <w:trPr>
          <w:trHeight w:val="185"/>
        </w:trPr>
        <w:tc>
          <w:tcPr>
            <w:tcW w:w="7840" w:type="dxa"/>
            <w:vAlign w:val="bottom"/>
          </w:tcPr>
          <w:p>
            <w:pPr>
              <w:spacing w:after="0"/>
              <w:rPr>
                <w:sz w:val="16"/>
                <w:szCs w:val="16"/>
                <w:color w:val="auto"/>
              </w:rPr>
            </w:pPr>
          </w:p>
        </w:tc>
        <w:tc>
          <w:tcPr>
            <w:tcW w:w="114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w w:val="95"/>
              </w:rPr>
              <w:t>Fair Value</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(Years)</w:t>
            </w:r>
          </w:p>
        </w:tc>
        <w:tc>
          <w:tcPr>
            <w:tcW w:w="100" w:type="dxa"/>
            <w:vAlign w:val="bottom"/>
          </w:tcPr>
          <w:p>
            <w:pPr>
              <w:spacing w:after="0"/>
              <w:rPr>
                <w:sz w:val="16"/>
                <w:szCs w:val="16"/>
                <w:color w:val="auto"/>
              </w:rPr>
            </w:pPr>
          </w:p>
        </w:tc>
      </w:tr>
      <w:tr>
        <w:trPr>
          <w:trHeight w:val="236"/>
        </w:trPr>
        <w:tc>
          <w:tcPr>
            <w:tcW w:w="7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Tradename</w:t>
            </w:r>
          </w:p>
        </w:tc>
        <w:tc>
          <w:tcPr>
            <w:tcW w:w="1140" w:type="dxa"/>
            <w:vAlign w:val="bottom"/>
            <w:shd w:val="clear" w:color="auto" w:fill="CFF0FC"/>
          </w:tcPr>
          <w:p>
            <w:pPr>
              <w:jc w:val="right"/>
              <w:ind w:right="962"/>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w:t>
            </w:r>
          </w:p>
        </w:tc>
        <w:tc>
          <w:tcPr>
            <w:tcW w:w="100" w:type="dxa"/>
            <w:vAlign w:val="bottom"/>
            <w:shd w:val="clear" w:color="auto" w:fill="CFF0FC"/>
          </w:tcPr>
          <w:p>
            <w:pPr>
              <w:spacing w:after="0"/>
              <w:rPr>
                <w:sz w:val="20"/>
                <w:szCs w:val="20"/>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20"/>
                <w:szCs w:val="20"/>
                <w:color w:val="auto"/>
              </w:rPr>
            </w:pPr>
          </w:p>
        </w:tc>
      </w:tr>
      <w:tr>
        <w:trPr>
          <w:trHeight w:val="236"/>
        </w:trPr>
        <w:tc>
          <w:tcPr>
            <w:tcW w:w="7840" w:type="dxa"/>
            <w:vAlign w:val="bottom"/>
          </w:tcPr>
          <w:p>
            <w:pPr>
              <w:ind w:left="20"/>
              <w:spacing w:after="0"/>
              <w:rPr>
                <w:sz w:val="20"/>
                <w:szCs w:val="20"/>
                <w:color w:val="auto"/>
              </w:rPr>
            </w:pPr>
            <w:r>
              <w:rPr>
                <w:rFonts w:ascii="Arial" w:cs="Arial" w:eastAsia="Arial" w:hAnsi="Arial"/>
                <w:sz w:val="18"/>
                <w:szCs w:val="18"/>
                <w:color w:val="auto"/>
              </w:rPr>
              <w:t>Vendor relationship</w:t>
            </w:r>
          </w:p>
        </w:tc>
        <w:tc>
          <w:tcPr>
            <w:tcW w:w="11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2,300</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r>
      <w:tr>
        <w:trPr>
          <w:trHeight w:val="249"/>
        </w:trPr>
        <w:tc>
          <w:tcPr>
            <w:tcW w:w="7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Customer relationships</w:t>
            </w:r>
          </w:p>
        </w:tc>
        <w:tc>
          <w:tcPr>
            <w:tcW w:w="1140" w:type="dxa"/>
            <w:vAlign w:val="bottom"/>
            <w:shd w:val="clear" w:color="auto" w:fill="CFF0FC"/>
          </w:tcPr>
          <w:p>
            <w:pPr>
              <w:spacing w:after="0"/>
              <w:rPr>
                <w:sz w:val="21"/>
                <w:szCs w:val="21"/>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1,500</w:t>
            </w:r>
          </w:p>
        </w:tc>
        <w:tc>
          <w:tcPr>
            <w:tcW w:w="17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21"/>
                <w:szCs w:val="21"/>
                <w:color w:val="auto"/>
              </w:rPr>
            </w:pPr>
          </w:p>
        </w:tc>
      </w:tr>
    </w:tbl>
    <w:p>
      <w:pPr>
        <w:spacing w:after="0" w:line="147" w:lineRule="exact"/>
        <w:rPr>
          <w:sz w:val="20"/>
          <w:szCs w:val="20"/>
          <w:color w:val="auto"/>
        </w:rPr>
      </w:pPr>
    </w:p>
    <w:p>
      <w:pPr>
        <w:jc w:val="both"/>
        <w:ind w:firstLine="464"/>
        <w:spacing w:after="0" w:line="277" w:lineRule="auto"/>
        <w:rPr>
          <w:sz w:val="20"/>
          <w:szCs w:val="20"/>
          <w:color w:val="auto"/>
        </w:rPr>
      </w:pPr>
      <w:r>
        <w:rPr>
          <w:rFonts w:ascii="Arial" w:cs="Arial" w:eastAsia="Arial" w:hAnsi="Arial"/>
          <w:sz w:val="18"/>
          <w:szCs w:val="18"/>
          <w:color w:val="auto"/>
        </w:rPr>
        <w:t>Voltrek's post-acquisition results of operations since October 5, 2022 are included in Orion’s Consolidated Statements of Operations. The operating results of Voltrek are included in the EV segment. See note 17 – Segments, for results.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Stay-Lite Lighting</w:t>
      </w:r>
    </w:p>
    <w:p>
      <w:pPr>
        <w:spacing w:after="0" w:line="171" w:lineRule="exact"/>
        <w:rPr>
          <w:sz w:val="20"/>
          <w:szCs w:val="20"/>
          <w:color w:val="auto"/>
        </w:rPr>
      </w:pPr>
    </w:p>
    <w:p>
      <w:pPr>
        <w:jc w:val="both"/>
        <w:ind w:firstLine="464"/>
        <w:spacing w:after="0" w:line="259" w:lineRule="auto"/>
        <w:rPr>
          <w:sz w:val="20"/>
          <w:szCs w:val="20"/>
          <w:color w:val="auto"/>
        </w:rPr>
      </w:pPr>
      <w:r>
        <w:rPr>
          <w:rFonts w:ascii="Arial" w:cs="Arial" w:eastAsia="Arial" w:hAnsi="Arial"/>
          <w:sz w:val="18"/>
          <w:szCs w:val="18"/>
          <w:color w:val="auto"/>
        </w:rPr>
        <w:t>Effective on January 1, 2022, Orion acquired all of the issued and outstanding capital stock of Stay-Lite Lighting, a nationwide lighting and electrical maintenance service provider, for $4.3 million (the “Stay-Lite Acquisition”). Stay-Lite Lighting operates as Stay-Lite Lighting, an Orion Energy Systems business. The Stay-Lite Acquisition accelerates the growth of Orion's maintenance services offerings through its Orion Services Group, which provides lighting and electrical services to customers.</w:t>
      </w:r>
    </w:p>
    <w:p>
      <w:pPr>
        <w:spacing w:after="0" w:line="131" w:lineRule="exact"/>
        <w:rPr>
          <w:sz w:val="20"/>
          <w:szCs w:val="20"/>
          <w:color w:val="auto"/>
        </w:rPr>
      </w:pPr>
    </w:p>
    <w:p>
      <w:pPr>
        <w:jc w:val="both"/>
        <w:ind w:firstLine="464"/>
        <w:spacing w:after="0" w:line="255" w:lineRule="auto"/>
        <w:rPr>
          <w:sz w:val="20"/>
          <w:szCs w:val="20"/>
          <w:color w:val="auto"/>
        </w:rPr>
      </w:pPr>
      <w:r>
        <w:rPr>
          <w:rFonts w:ascii="Arial" w:cs="Arial" w:eastAsia="Arial" w:hAnsi="Arial"/>
          <w:sz w:val="18"/>
          <w:szCs w:val="18"/>
          <w:color w:val="auto"/>
        </w:rPr>
        <w:t>Orion has accounted for this transaction as a business combination. Orion has allocated the purchase price of approximately $4.3 million, which includes an estimate of the earn-out liability of $0.2 million and $0.1 million for the working capital adjustment received in the first quarter fiscal 2023, to the assets acquired and liabilities assumed at estimated fair values, and the excess of the purchase price over the aggregate fair values is recorded as goodwill. Orion could pay up to $0.7 million in earnout related purchase price, which is based on performance during the current and following calendar years. Any accretion of the earnout liability above $0.2 million recorded as part of the opening balance sheet will be recognized as expense in the Consolidated Statement of Operations.</w:t>
      </w:r>
    </w:p>
    <w:p>
      <w:pPr>
        <w:spacing w:after="0" w:line="137" w:lineRule="exact"/>
        <w:rPr>
          <w:sz w:val="20"/>
          <w:szCs w:val="20"/>
          <w:color w:val="auto"/>
        </w:rPr>
      </w:pPr>
    </w:p>
    <w:p>
      <w:pPr>
        <w:jc w:val="both"/>
        <w:ind w:firstLine="464"/>
        <w:spacing w:after="0" w:line="277" w:lineRule="auto"/>
        <w:rPr>
          <w:sz w:val="20"/>
          <w:szCs w:val="20"/>
          <w:color w:val="auto"/>
        </w:rPr>
      </w:pPr>
      <w:r>
        <w:rPr>
          <w:rFonts w:ascii="Arial" w:cs="Arial" w:eastAsia="Arial" w:hAnsi="Arial"/>
          <w:sz w:val="18"/>
          <w:szCs w:val="18"/>
          <w:color w:val="auto"/>
        </w:rPr>
        <w:t>The allocation of the purchase consideration to the fair value of the assets acquired and liabilities assumed as of January 1, 2022, is as follows (dollars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w:t>
            </w:r>
          </w:p>
        </w:tc>
        <w:tc>
          <w:tcPr>
            <w:tcW w:w="614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FF0FC"/>
          </w:tcPr>
          <w:p>
            <w:pPr>
              <w:spacing w:after="0"/>
              <w:rPr>
                <w:sz w:val="21"/>
                <w:szCs w:val="21"/>
                <w:color w:val="auto"/>
              </w:rPr>
            </w:pPr>
          </w:p>
        </w:tc>
      </w:tr>
      <w:tr>
        <w:trPr>
          <w:trHeight w:val="236"/>
        </w:trPr>
        <w:tc>
          <w:tcPr>
            <w:tcW w:w="426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5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2,690</w:t>
            </w:r>
          </w:p>
        </w:tc>
        <w:tc>
          <w:tcPr>
            <w:tcW w:w="100" w:type="dxa"/>
            <w:vAlign w:val="bottom"/>
          </w:tcPr>
          <w:p>
            <w:pPr>
              <w:spacing w:after="0"/>
              <w:rPr>
                <w:sz w:val="20"/>
                <w:szCs w:val="20"/>
                <w:color w:val="auto"/>
              </w:rPr>
            </w:pPr>
          </w:p>
        </w:tc>
      </w:tr>
      <w:tr>
        <w:trPr>
          <w:trHeight w:val="249"/>
        </w:trPr>
        <w:tc>
          <w:tcPr>
            <w:tcW w:w="4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 earned but not billed</w:t>
            </w:r>
          </w:p>
        </w:tc>
        <w:tc>
          <w:tcPr>
            <w:tcW w:w="57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w:t>
            </w:r>
          </w:p>
        </w:tc>
        <w:tc>
          <w:tcPr>
            <w:tcW w:w="100" w:type="dxa"/>
            <w:vAlign w:val="bottom"/>
            <w:shd w:val="clear" w:color="auto" w:fill="CFF0FC"/>
          </w:tcPr>
          <w:p>
            <w:pPr>
              <w:spacing w:after="0"/>
              <w:rPr>
                <w:sz w:val="21"/>
                <w:szCs w:val="21"/>
                <w:color w:val="auto"/>
              </w:rPr>
            </w:pPr>
          </w:p>
        </w:tc>
      </w:tr>
      <w:tr>
        <w:trPr>
          <w:trHeight w:val="236"/>
        </w:trPr>
        <w:tc>
          <w:tcPr>
            <w:tcW w:w="4260" w:type="dxa"/>
            <w:vAlign w:val="bottom"/>
          </w:tcPr>
          <w:p>
            <w:pPr>
              <w:ind w:left="20"/>
              <w:spacing w:after="0"/>
              <w:rPr>
                <w:sz w:val="20"/>
                <w:szCs w:val="20"/>
                <w:color w:val="auto"/>
              </w:rPr>
            </w:pPr>
            <w:r>
              <w:rPr>
                <w:rFonts w:ascii="Arial" w:cs="Arial" w:eastAsia="Arial" w:hAnsi="Arial"/>
                <w:sz w:val="18"/>
                <w:szCs w:val="18"/>
                <w:color w:val="auto"/>
              </w:rPr>
              <w:t>Inventory</w:t>
            </w:r>
          </w:p>
        </w:tc>
        <w:tc>
          <w:tcPr>
            <w:tcW w:w="5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504</w:t>
            </w:r>
          </w:p>
        </w:tc>
        <w:tc>
          <w:tcPr>
            <w:tcW w:w="100" w:type="dxa"/>
            <w:vAlign w:val="bottom"/>
          </w:tcPr>
          <w:p>
            <w:pPr>
              <w:spacing w:after="0"/>
              <w:rPr>
                <w:sz w:val="20"/>
                <w:szCs w:val="20"/>
                <w:color w:val="auto"/>
              </w:rPr>
            </w:pPr>
          </w:p>
        </w:tc>
      </w:tr>
      <w:tr>
        <w:trPr>
          <w:trHeight w:val="249"/>
        </w:trPr>
        <w:tc>
          <w:tcPr>
            <w:tcW w:w="4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57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FF0FC"/>
          </w:tcPr>
          <w:p>
            <w:pPr>
              <w:spacing w:after="0"/>
              <w:rPr>
                <w:sz w:val="21"/>
                <w:szCs w:val="21"/>
                <w:color w:val="auto"/>
              </w:rPr>
            </w:pPr>
          </w:p>
        </w:tc>
      </w:tr>
      <w:tr>
        <w:trPr>
          <w:trHeight w:val="236"/>
        </w:trPr>
        <w:tc>
          <w:tcPr>
            <w:tcW w:w="4260" w:type="dxa"/>
            <w:vAlign w:val="bottom"/>
          </w:tcPr>
          <w:p>
            <w:pPr>
              <w:ind w:left="20"/>
              <w:spacing w:after="0"/>
              <w:rPr>
                <w:sz w:val="20"/>
                <w:szCs w:val="20"/>
                <w:color w:val="auto"/>
              </w:rPr>
            </w:pPr>
            <w:r>
              <w:rPr>
                <w:rFonts w:ascii="Arial" w:cs="Arial" w:eastAsia="Arial" w:hAnsi="Arial"/>
                <w:sz w:val="18"/>
                <w:szCs w:val="18"/>
                <w:color w:val="auto"/>
              </w:rPr>
              <w:t>Property and equipment</w:t>
            </w:r>
          </w:p>
        </w:tc>
        <w:tc>
          <w:tcPr>
            <w:tcW w:w="5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725</w:t>
            </w:r>
          </w:p>
        </w:tc>
        <w:tc>
          <w:tcPr>
            <w:tcW w:w="100" w:type="dxa"/>
            <w:vAlign w:val="bottom"/>
          </w:tcPr>
          <w:p>
            <w:pPr>
              <w:spacing w:after="0"/>
              <w:rPr>
                <w:sz w:val="20"/>
                <w:szCs w:val="20"/>
                <w:color w:val="auto"/>
              </w:rPr>
            </w:pPr>
          </w:p>
        </w:tc>
      </w:tr>
      <w:tr>
        <w:trPr>
          <w:trHeight w:val="249"/>
        </w:trPr>
        <w:tc>
          <w:tcPr>
            <w:tcW w:w="4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Goodwill</w:t>
            </w:r>
          </w:p>
        </w:tc>
        <w:tc>
          <w:tcPr>
            <w:tcW w:w="57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564</w:t>
            </w:r>
          </w:p>
        </w:tc>
        <w:tc>
          <w:tcPr>
            <w:tcW w:w="100" w:type="dxa"/>
            <w:vAlign w:val="bottom"/>
            <w:shd w:val="clear" w:color="auto" w:fill="CFF0FC"/>
          </w:tcPr>
          <w:p>
            <w:pPr>
              <w:spacing w:after="0"/>
              <w:rPr>
                <w:sz w:val="21"/>
                <w:szCs w:val="21"/>
                <w:color w:val="auto"/>
              </w:rPr>
            </w:pPr>
          </w:p>
        </w:tc>
      </w:tr>
      <w:tr>
        <w:trPr>
          <w:trHeight w:val="236"/>
        </w:trPr>
        <w:tc>
          <w:tcPr>
            <w:tcW w:w="4260" w:type="dxa"/>
            <w:vAlign w:val="bottom"/>
          </w:tcPr>
          <w:p>
            <w:pPr>
              <w:ind w:left="20"/>
              <w:spacing w:after="0"/>
              <w:rPr>
                <w:sz w:val="20"/>
                <w:szCs w:val="20"/>
                <w:color w:val="auto"/>
              </w:rPr>
            </w:pPr>
            <w:r>
              <w:rPr>
                <w:rFonts w:ascii="Arial" w:cs="Arial" w:eastAsia="Arial" w:hAnsi="Arial"/>
                <w:sz w:val="18"/>
                <w:szCs w:val="18"/>
                <w:color w:val="auto"/>
              </w:rPr>
              <w:t>Other intangible assets</w:t>
            </w:r>
          </w:p>
        </w:tc>
        <w:tc>
          <w:tcPr>
            <w:tcW w:w="5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673</w:t>
            </w:r>
          </w:p>
        </w:tc>
        <w:tc>
          <w:tcPr>
            <w:tcW w:w="100" w:type="dxa"/>
            <w:vAlign w:val="bottom"/>
          </w:tcPr>
          <w:p>
            <w:pPr>
              <w:spacing w:after="0"/>
              <w:rPr>
                <w:sz w:val="20"/>
                <w:szCs w:val="20"/>
                <w:color w:val="auto"/>
              </w:rPr>
            </w:pPr>
          </w:p>
        </w:tc>
      </w:tr>
      <w:tr>
        <w:trPr>
          <w:trHeight w:val="249"/>
        </w:trPr>
        <w:tc>
          <w:tcPr>
            <w:tcW w:w="4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long-term assets</w:t>
            </w:r>
          </w:p>
        </w:tc>
        <w:tc>
          <w:tcPr>
            <w:tcW w:w="57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537</w:t>
            </w:r>
          </w:p>
        </w:tc>
        <w:tc>
          <w:tcPr>
            <w:tcW w:w="100" w:type="dxa"/>
            <w:vAlign w:val="bottom"/>
            <w:shd w:val="clear" w:color="auto" w:fill="CFF0FC"/>
          </w:tcPr>
          <w:p>
            <w:pPr>
              <w:spacing w:after="0"/>
              <w:rPr>
                <w:sz w:val="21"/>
                <w:szCs w:val="21"/>
                <w:color w:val="auto"/>
              </w:rPr>
            </w:pPr>
          </w:p>
        </w:tc>
      </w:tr>
      <w:tr>
        <w:trPr>
          <w:trHeight w:val="236"/>
        </w:trPr>
        <w:tc>
          <w:tcPr>
            <w:tcW w:w="426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5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(965 )</w:t>
            </w:r>
          </w:p>
        </w:tc>
      </w:tr>
      <w:tr>
        <w:trPr>
          <w:trHeight w:val="249"/>
        </w:trPr>
        <w:tc>
          <w:tcPr>
            <w:tcW w:w="4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expenses and other</w:t>
            </w:r>
          </w:p>
        </w:tc>
        <w:tc>
          <w:tcPr>
            <w:tcW w:w="57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(492 )</w:t>
            </w:r>
          </w:p>
        </w:tc>
      </w:tr>
      <w:tr>
        <w:trPr>
          <w:trHeight w:val="236"/>
        </w:trPr>
        <w:tc>
          <w:tcPr>
            <w:tcW w:w="4260" w:type="dxa"/>
            <w:vAlign w:val="bottom"/>
          </w:tcPr>
          <w:p>
            <w:pPr>
              <w:ind w:left="20"/>
              <w:spacing w:after="0"/>
              <w:rPr>
                <w:sz w:val="20"/>
                <w:szCs w:val="20"/>
                <w:color w:val="auto"/>
              </w:rPr>
            </w:pPr>
            <w:r>
              <w:rPr>
                <w:rFonts w:ascii="Arial" w:cs="Arial" w:eastAsia="Arial" w:hAnsi="Arial"/>
                <w:sz w:val="18"/>
                <w:szCs w:val="18"/>
                <w:color w:val="auto"/>
              </w:rPr>
              <w:t>Other long-term liabilities</w:t>
            </w:r>
          </w:p>
        </w:tc>
        <w:tc>
          <w:tcPr>
            <w:tcW w:w="5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(411 )</w:t>
            </w:r>
          </w:p>
        </w:tc>
      </w:tr>
      <w:tr>
        <w:trPr>
          <w:trHeight w:val="276"/>
        </w:trPr>
        <w:tc>
          <w:tcPr>
            <w:tcW w:w="42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purchase consideration</w:t>
            </w:r>
          </w:p>
        </w:tc>
        <w:tc>
          <w:tcPr>
            <w:tcW w:w="574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4,303</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634"/>
        </w:trPr>
        <w:tc>
          <w:tcPr>
            <w:tcW w:w="4260" w:type="dxa"/>
            <w:vAlign w:val="bottom"/>
          </w:tcPr>
          <w:p>
            <w:pPr>
              <w:spacing w:after="0"/>
              <w:rPr>
                <w:sz w:val="24"/>
                <w:szCs w:val="24"/>
                <w:color w:val="auto"/>
              </w:rPr>
            </w:pPr>
          </w:p>
        </w:tc>
        <w:tc>
          <w:tcPr>
            <w:tcW w:w="5740" w:type="dxa"/>
            <w:vAlign w:val="bottom"/>
          </w:tcPr>
          <w:p>
            <w:pPr>
              <w:jc w:val="right"/>
              <w:ind w:right="4190"/>
              <w:spacing w:after="0"/>
              <w:rPr>
                <w:sz w:val="20"/>
                <w:szCs w:val="20"/>
                <w:color w:val="auto"/>
              </w:rPr>
            </w:pPr>
            <w:r>
              <w:rPr>
                <w:rFonts w:ascii="Arial" w:cs="Arial" w:eastAsia="Arial" w:hAnsi="Arial"/>
                <w:sz w:val="18"/>
                <w:szCs w:val="18"/>
                <w:color w:val="auto"/>
              </w:rPr>
              <w:t>21</w:t>
            </w: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1"/>
        </w:trPr>
        <w:tc>
          <w:tcPr>
            <w:tcW w:w="4260" w:type="dxa"/>
            <w:vAlign w:val="bottom"/>
            <w:tcBorders>
              <w:bottom w:val="single" w:sz="8" w:color="9A9A9A"/>
            </w:tcBorders>
          </w:tcPr>
          <w:p>
            <w:pPr>
              <w:spacing w:after="0"/>
              <w:rPr>
                <w:sz w:val="8"/>
                <w:szCs w:val="8"/>
                <w:color w:val="auto"/>
              </w:rPr>
            </w:pPr>
          </w:p>
        </w:tc>
        <w:tc>
          <w:tcPr>
            <w:tcW w:w="574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-513080</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-495935</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21" w:name="page22"/>
    <w:bookmarkEnd w:id="21"/>
    <w:p>
      <w:pPr>
        <w:jc w:val="both"/>
        <w:ind w:firstLine="464"/>
        <w:spacing w:after="0" w:line="286" w:lineRule="auto"/>
        <w:rPr>
          <w:sz w:val="20"/>
          <w:szCs w:val="20"/>
          <w:color w:val="auto"/>
        </w:rPr>
      </w:pPr>
      <w:r>
        <w:rPr>
          <w:rFonts w:ascii="Arial" w:cs="Arial" w:eastAsia="Arial" w:hAnsi="Arial"/>
          <w:sz w:val="17"/>
          <w:szCs w:val="17"/>
          <w:color w:val="auto"/>
        </w:rPr>
        <w:t>Goodwill recorded from the Stay-Lite Acquisition is attributable to the expected synergies from the business combination. The goodwill resulting from the Stay-Lite Acquisition is deductible for tax purposes. The intangible assets include amounts recognized for the fair value of the trade name and customer relationships. The fair value of the intangible assets was determined based upon the income (discounted cash flow) approach.</w:t>
      </w:r>
    </w:p>
    <w:p>
      <w:pPr>
        <w:spacing w:after="0" w:line="32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presents the details of the intangible assets acquired at the date of Stay-Lite Acquisition (dollars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40" w:type="dxa"/>
            <w:vAlign w:val="bottom"/>
          </w:tcPr>
          <w:p>
            <w:pPr>
              <w:spacing w:after="0"/>
              <w:rPr>
                <w:sz w:val="14"/>
                <w:szCs w:val="14"/>
                <w:color w:val="auto"/>
              </w:rPr>
            </w:pPr>
          </w:p>
        </w:tc>
        <w:tc>
          <w:tcPr>
            <w:tcW w:w="1220" w:type="dxa"/>
            <w:vAlign w:val="bottom"/>
          </w:tcPr>
          <w:p>
            <w:pPr>
              <w:ind w:left="480"/>
              <w:spacing w:after="0"/>
              <w:rPr>
                <w:sz w:val="20"/>
                <w:szCs w:val="20"/>
                <w:color w:val="auto"/>
              </w:rPr>
            </w:pPr>
            <w:r>
              <w:rPr>
                <w:rFonts w:ascii="Arial" w:cs="Arial" w:eastAsia="Arial" w:hAnsi="Arial"/>
                <w:sz w:val="14"/>
                <w:szCs w:val="14"/>
                <w:b w:val="1"/>
                <w:bCs w:val="1"/>
                <w:color w:val="auto"/>
              </w:rPr>
              <w:t>Estimated</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jc w:val="right"/>
              <w:ind w:right="82"/>
              <w:spacing w:after="0"/>
              <w:rPr>
                <w:sz w:val="20"/>
                <w:szCs w:val="20"/>
                <w:color w:val="auto"/>
              </w:rPr>
            </w:pPr>
            <w:r>
              <w:rPr>
                <w:rFonts w:ascii="Arial" w:cs="Arial" w:eastAsia="Arial" w:hAnsi="Arial"/>
                <w:sz w:val="14"/>
                <w:szCs w:val="14"/>
                <w:b w:val="1"/>
                <w:bCs w:val="1"/>
                <w:color w:val="auto"/>
                <w:w w:val="99"/>
              </w:rPr>
              <w:t>Estimated Useful Life</w:t>
            </w:r>
          </w:p>
        </w:tc>
        <w:tc>
          <w:tcPr>
            <w:tcW w:w="100" w:type="dxa"/>
            <w:vAlign w:val="bottom"/>
          </w:tcPr>
          <w:p>
            <w:pPr>
              <w:spacing w:after="0"/>
              <w:rPr>
                <w:sz w:val="14"/>
                <w:szCs w:val="14"/>
                <w:color w:val="auto"/>
              </w:rPr>
            </w:pPr>
          </w:p>
        </w:tc>
      </w:tr>
      <w:tr>
        <w:trPr>
          <w:trHeight w:val="185"/>
        </w:trPr>
        <w:tc>
          <w:tcPr>
            <w:tcW w:w="7840" w:type="dxa"/>
            <w:vAlign w:val="bottom"/>
          </w:tcPr>
          <w:p>
            <w:pPr>
              <w:spacing w:after="0"/>
              <w:rPr>
                <w:sz w:val="16"/>
                <w:szCs w:val="16"/>
                <w:color w:val="auto"/>
              </w:rPr>
            </w:pPr>
          </w:p>
        </w:tc>
        <w:tc>
          <w:tcPr>
            <w:tcW w:w="122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Fair Value</w:t>
            </w: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(Years)</w:t>
            </w:r>
          </w:p>
        </w:tc>
        <w:tc>
          <w:tcPr>
            <w:tcW w:w="100" w:type="dxa"/>
            <w:vAlign w:val="bottom"/>
          </w:tcPr>
          <w:p>
            <w:pPr>
              <w:spacing w:after="0"/>
              <w:rPr>
                <w:sz w:val="16"/>
                <w:szCs w:val="16"/>
                <w:color w:val="auto"/>
              </w:rPr>
            </w:pPr>
          </w:p>
        </w:tc>
      </w:tr>
      <w:tr>
        <w:trPr>
          <w:trHeight w:val="236"/>
        </w:trPr>
        <w:tc>
          <w:tcPr>
            <w:tcW w:w="7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Tradename</w:t>
            </w:r>
          </w:p>
        </w:tc>
        <w:tc>
          <w:tcPr>
            <w:tcW w:w="1220" w:type="dxa"/>
            <w:vAlign w:val="bottom"/>
            <w:shd w:val="clear" w:color="auto" w:fill="CFF0FC"/>
          </w:tcPr>
          <w:p>
            <w:pPr>
              <w:jc w:val="right"/>
              <w:ind w:right="1042"/>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w:t>
            </w:r>
          </w:p>
        </w:tc>
        <w:tc>
          <w:tcPr>
            <w:tcW w:w="100" w:type="dxa"/>
            <w:vAlign w:val="bottom"/>
            <w:shd w:val="clear" w:color="auto" w:fill="CFF0FC"/>
          </w:tcPr>
          <w:p>
            <w:pPr>
              <w:spacing w:after="0"/>
              <w:rPr>
                <w:sz w:val="20"/>
                <w:szCs w:val="20"/>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20"/>
                <w:szCs w:val="20"/>
                <w:color w:val="auto"/>
              </w:rPr>
            </w:pP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122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509</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r>
    </w:tbl>
    <w:p>
      <w:pPr>
        <w:spacing w:after="0" w:line="160" w:lineRule="exact"/>
        <w:rPr>
          <w:sz w:val="20"/>
          <w:szCs w:val="20"/>
          <w:color w:val="auto"/>
        </w:rPr>
      </w:pPr>
    </w:p>
    <w:p>
      <w:pPr>
        <w:jc w:val="both"/>
        <w:ind w:firstLine="464"/>
        <w:spacing w:after="0" w:line="277" w:lineRule="auto"/>
        <w:rPr>
          <w:sz w:val="20"/>
          <w:szCs w:val="20"/>
          <w:color w:val="auto"/>
        </w:rPr>
      </w:pPr>
      <w:r>
        <w:rPr>
          <w:rFonts w:ascii="Arial" w:cs="Arial" w:eastAsia="Arial" w:hAnsi="Arial"/>
          <w:sz w:val="18"/>
          <w:szCs w:val="18"/>
          <w:color w:val="auto"/>
        </w:rPr>
        <w:t>Stay-Lite Lighting’s post-acquisition results of operations since January 1, 2022 are included in Orion’s Consolidated Statements of Operations. The operating results of Stay-Lite Lighting are included in the Orion Services Group segment.</w:t>
      </w:r>
    </w:p>
    <w:p>
      <w:pPr>
        <w:spacing w:after="0" w:line="116" w:lineRule="exact"/>
        <w:rPr>
          <w:sz w:val="20"/>
          <w:szCs w:val="20"/>
          <w:color w:val="auto"/>
        </w:rPr>
      </w:pPr>
    </w:p>
    <w:p>
      <w:pPr>
        <w:jc w:val="both"/>
        <w:ind w:firstLine="464"/>
        <w:spacing w:after="0" w:line="263" w:lineRule="auto"/>
        <w:rPr>
          <w:sz w:val="20"/>
          <w:szCs w:val="20"/>
          <w:color w:val="auto"/>
        </w:rPr>
      </w:pPr>
      <w:r>
        <w:rPr>
          <w:rFonts w:ascii="Arial" w:cs="Arial" w:eastAsia="Arial" w:hAnsi="Arial"/>
          <w:sz w:val="18"/>
          <w:szCs w:val="18"/>
          <w:color w:val="auto"/>
        </w:rPr>
        <w:t>If Voltrek was acquired on April 1, 2022, the pro forma Orion revenue for the nine-month period ended on December 31, 2022 would have been $58.2 million and proforma net loss would have been $(28.9) million. If both Stay-Lighting and Voltrek had been acquired as of April 1, 2021, Orion full year fiscal 2022 revenue would have been $134.9 million and net income would have been $5.8 million.</w:t>
      </w:r>
    </w:p>
    <w:p>
      <w:pPr>
        <w:spacing w:after="0" w:line="344" w:lineRule="exact"/>
        <w:rPr>
          <w:sz w:val="20"/>
          <w:szCs w:val="20"/>
          <w:color w:val="auto"/>
        </w:rPr>
      </w:pPr>
    </w:p>
    <w:p>
      <w:pPr>
        <w:jc w:val="both"/>
        <w:ind w:firstLine="464"/>
        <w:spacing w:after="0" w:line="255" w:lineRule="auto"/>
        <w:rPr>
          <w:sz w:val="20"/>
          <w:szCs w:val="20"/>
          <w:color w:val="auto"/>
        </w:rPr>
      </w:pPr>
      <w:r>
        <w:rPr>
          <w:rFonts w:ascii="Arial" w:cs="Arial" w:eastAsia="Arial" w:hAnsi="Arial"/>
          <w:sz w:val="18"/>
          <w:szCs w:val="18"/>
          <w:color w:val="auto"/>
        </w:rPr>
        <w:t>The pro forma information was determined based on the historical results of Orion and unaudited financial results from Stay-Lite Lighting and Voltrek. These proforma results reflect additional depreciation and amortization that would have been charged assuming the fair value adjustments to property, plant, and equipment and intangible asset occurred at the beginning of the period, along with consequential tax effects. The unaudited pro forma results have been prepared for comparative purposes only and are not necessarily indicative of what would have occurred had the business combinations been completed at the beginning of the period or the results that may occur in the future. Furthermore, the unaudited pro forma financial information does not reflect the impact of any synergies resulting from the acquisitions.</w:t>
      </w:r>
    </w:p>
    <w:p>
      <w:pPr>
        <w:spacing w:after="0" w:line="353" w:lineRule="exact"/>
        <w:rPr>
          <w:sz w:val="20"/>
          <w:szCs w:val="20"/>
          <w:color w:val="auto"/>
        </w:rPr>
      </w:pPr>
    </w:p>
    <w:p>
      <w:pPr>
        <w:jc w:val="both"/>
        <w:ind w:firstLine="464"/>
        <w:spacing w:after="0" w:line="263" w:lineRule="auto"/>
        <w:rPr>
          <w:sz w:val="20"/>
          <w:szCs w:val="20"/>
          <w:color w:val="auto"/>
        </w:rPr>
      </w:pPr>
      <w:r>
        <w:rPr>
          <w:rFonts w:ascii="Arial" w:cs="Arial" w:eastAsia="Arial" w:hAnsi="Arial"/>
          <w:sz w:val="18"/>
          <w:szCs w:val="18"/>
          <w:color w:val="auto"/>
        </w:rPr>
        <w:t>Transaction costs related to the Stay-Lite Acquisition and the Voltrek Acquisition are recorded in acquisition costs in the Consolidated Statements of Operations. Transaction costs totaled $0.2 million in the three and nine months ending December 31, 2021 and $0.5 million and $0.8 million in the three and nine months ended December 31, 2022, respectively.</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jc w:val="both"/>
        <w:ind w:firstLine="469"/>
        <w:spacing w:after="0" w:line="263"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together with our unaudited Condensed Consolidated Financial Statements and related notes included in this Form 10-Q, as well as our audited Consolidated Financial Statements and related notes included in our Annual Report on Form 10-K for the fiscal year ended March 31, 2022.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75" w:lineRule="exact"/>
        <w:rPr>
          <w:sz w:val="20"/>
          <w:szCs w:val="20"/>
          <w:color w:val="auto"/>
        </w:rPr>
      </w:pPr>
    </w:p>
    <w:p>
      <w:pPr>
        <w:jc w:val="both"/>
        <w:ind w:firstLine="464"/>
        <w:spacing w:after="0" w:line="288" w:lineRule="auto"/>
        <w:rPr>
          <w:sz w:val="20"/>
          <w:szCs w:val="20"/>
          <w:color w:val="auto"/>
        </w:rPr>
      </w:pPr>
      <w:r>
        <w:rPr>
          <w:rFonts w:ascii="Arial" w:cs="Arial" w:eastAsia="Arial" w:hAnsi="Arial"/>
          <w:sz w:val="16"/>
          <w:szCs w:val="16"/>
          <w:color w:val="auto"/>
        </w:rPr>
        <w:t>Any statements in this Quarterly Report on Form 10-Q about our expectations, beliefs, plans, objectives, prospects, financial condition, assumptions or future events or performance are not historical facts and are “forward-looking statements” as that term is defined under the federal securities laws. These statements are often, but not always, made through the use of words or phrases such as “believe”, “anticipate”, “should”, “intend”, “plan”, “will”, “expects”, “estimates”, “projects”, “positioned”, “strategy”, “outlook” and similar words. You should read the statements that contain these types of words carefully. Such forward-looking statements are subject to several risks, uncertainties and other factors that could cause actual results to differ materially from what is expressed or implied in such forward-looking statements. There may be events in the future that we are not able to predict accurately or over which we have no control. Potential risks and uncertainties include, but are not limited to, those discussed in “Part I, Item 1A. Risk Factors” in our Annual Report on Form 10-K for the fiscal year ended March 31, 2022. We urge you not to place undue reliance on these forward-looking statements, which speak only as of the date of this report. We do not undertake any obligation to release publicly any revisions to such forward-looking statements to reflect events or uncertainties after the date hereof or to reflect the occurrence of unanticipated events.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ind w:firstLine="464"/>
        <w:spacing w:after="0" w:line="273" w:lineRule="auto"/>
        <w:rPr>
          <w:sz w:val="20"/>
          <w:szCs w:val="20"/>
          <w:color w:val="auto"/>
        </w:rPr>
      </w:pPr>
      <w:r>
        <w:rPr>
          <w:rFonts w:ascii="Arial" w:cs="Arial" w:eastAsia="Arial" w:hAnsi="Arial"/>
          <w:sz w:val="17"/>
          <w:szCs w:val="17"/>
          <w:color w:val="auto"/>
        </w:rPr>
        <w:t>We provide energy-efficient LED lighting and controls, maintenance services and electrical vehicle (EV) charging station solutions. We help our customers achieve their sustainability, energy savings and carbon footprint reduction goals through innovative technology and exceptional service. We research, design, develop, manufacture, market, sell, install, and implement energy management systems consisting primarily of high-performance, energy-efficient commercial and industrial interior and exterior LED lighting systems and related services. Our products are targeted for applications in three primary market segments: commercial office and retail, area lighting, and industrial applications, although we do sell and install products into other markets. Our services consist of turnkey installation and system maintenance. Virtually all our sales occur within North America.</w:t>
      </w:r>
    </w:p>
    <w:p>
      <w:pPr>
        <w:spacing w:after="0" w:line="122" w:lineRule="exact"/>
        <w:rPr>
          <w:sz w:val="20"/>
          <w:szCs w:val="20"/>
          <w:color w:val="auto"/>
        </w:rPr>
      </w:pPr>
    </w:p>
    <w:p>
      <w:pPr>
        <w:jc w:val="both"/>
        <w:ind w:firstLine="464"/>
        <w:spacing w:after="0" w:line="256" w:lineRule="auto"/>
        <w:rPr>
          <w:sz w:val="20"/>
          <w:szCs w:val="20"/>
          <w:color w:val="auto"/>
        </w:rPr>
      </w:pPr>
      <w:r>
        <w:rPr>
          <w:rFonts w:ascii="Arial" w:cs="Arial" w:eastAsia="Arial" w:hAnsi="Arial"/>
          <w:sz w:val="18"/>
          <w:szCs w:val="18"/>
          <w:color w:val="auto"/>
        </w:rPr>
        <w:t>Our lighting products consist primarily of LED lighting fixtures, many of which include IoT enabled control systems. Our principal customers include large national account end-users, federal and state government facilities, large regional account end-users, electrical distributors, electrical contractors and energy service companies ("ESCOs"). Currently, most of our products are manufactured at our leased production facility located in Manitowoc, Wisconsin, although as the LED and related IoT market continues to evolve, we are increasingly sourcing products and components from third parties in order to provide versatility in our product development.</w:t>
      </w:r>
    </w:p>
    <w:p>
      <w:pPr>
        <w:spacing w:after="0" w:line="137" w:lineRule="exact"/>
        <w:rPr>
          <w:sz w:val="20"/>
          <w:szCs w:val="20"/>
          <w:color w:val="auto"/>
        </w:rPr>
      </w:pPr>
    </w:p>
    <w:p>
      <w:pPr>
        <w:jc w:val="both"/>
        <w:ind w:firstLine="464"/>
        <w:spacing w:after="0" w:line="293" w:lineRule="auto"/>
        <w:rPr>
          <w:sz w:val="20"/>
          <w:szCs w:val="20"/>
          <w:color w:val="auto"/>
        </w:rPr>
      </w:pPr>
      <w:r>
        <w:rPr>
          <w:rFonts w:ascii="Arial" w:cs="Arial" w:eastAsia="Arial" w:hAnsi="Arial"/>
          <w:sz w:val="16"/>
          <w:szCs w:val="16"/>
          <w:color w:val="auto"/>
        </w:rPr>
        <w:t>We differentiate ourselves from our competitors through offering comprehensive project management services to national account customers to retrofit their multiple locations. Our comprehensive services include initial site surveys and audits, utility incentive and government subsidy management, engineering design, and project management from delivery through to installation and controls integration. In addition, we began to offer lighting and electrical maintenance services in fiscal 2021 which enables us to support a lifetime business relationship with our customer. We completed the acquisition of Stay-Lite Lighting on January 1, 2022, which is intended to further expand our maintenance services capabilities. On October 5, 2022, we acquired Voltrek, which is intended to leverage our project management and maintenance expertise into the rapidly growing EV sector.</w:t>
      </w:r>
    </w:p>
    <w:p>
      <w:pPr>
        <w:spacing w:after="0" w:line="109" w:lineRule="exact"/>
        <w:rPr>
          <w:sz w:val="20"/>
          <w:szCs w:val="20"/>
          <w:color w:val="auto"/>
        </w:rPr>
      </w:pPr>
    </w:p>
    <w:p>
      <w:pPr>
        <w:jc w:val="both"/>
        <w:ind w:firstLine="464"/>
        <w:spacing w:after="0" w:line="277" w:lineRule="auto"/>
        <w:rPr>
          <w:sz w:val="20"/>
          <w:szCs w:val="20"/>
          <w:color w:val="auto"/>
        </w:rPr>
      </w:pPr>
      <w:r>
        <w:rPr>
          <w:rFonts w:ascii="Arial" w:cs="Arial" w:eastAsia="Arial" w:hAnsi="Arial"/>
          <w:sz w:val="18"/>
          <w:szCs w:val="18"/>
          <w:color w:val="auto"/>
        </w:rPr>
        <w:t>We believe the market for LED lighting products and related controls continues to grow. Due to their size and flexibility in application, we also believe that LED lighting systems can address opportunities for retrofit applications that cannot be satisfied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3" w:name="page24"/>
    <w:bookmarkEnd w:id="23"/>
    <w:p>
      <w:pPr>
        <w:jc w:val="both"/>
        <w:spacing w:after="0" w:line="277" w:lineRule="auto"/>
        <w:rPr>
          <w:sz w:val="20"/>
          <w:szCs w:val="20"/>
          <w:color w:val="auto"/>
        </w:rPr>
      </w:pPr>
      <w:r>
        <w:rPr>
          <w:rFonts w:ascii="Arial" w:cs="Arial" w:eastAsia="Arial" w:hAnsi="Arial"/>
          <w:sz w:val="18"/>
          <w:szCs w:val="18"/>
          <w:color w:val="auto"/>
        </w:rPr>
        <w:t>by other lighting technologies. Our LED lighting technologies have become the primary component of our revenue as we continue to strive to be a leader in the LED market.</w:t>
      </w:r>
    </w:p>
    <w:p>
      <w:pPr>
        <w:spacing w:after="0" w:line="116" w:lineRule="exact"/>
        <w:rPr>
          <w:sz w:val="20"/>
          <w:szCs w:val="20"/>
          <w:color w:val="auto"/>
        </w:rPr>
      </w:pPr>
    </w:p>
    <w:p>
      <w:pPr>
        <w:jc w:val="both"/>
        <w:ind w:firstLine="464"/>
        <w:spacing w:after="0" w:line="268" w:lineRule="auto"/>
        <w:rPr>
          <w:sz w:val="20"/>
          <w:szCs w:val="20"/>
          <w:color w:val="auto"/>
        </w:rPr>
      </w:pPr>
      <w:r>
        <w:rPr>
          <w:rFonts w:ascii="Arial" w:cs="Arial" w:eastAsia="Arial" w:hAnsi="Arial"/>
          <w:sz w:val="17"/>
          <w:szCs w:val="17"/>
          <w:color w:val="auto"/>
        </w:rPr>
        <w:t>In fiscal 2022, we continued to successfully capitalize on our capability of being a full service, turn-key provider of LED lighting and controls systems with design, build, installation and project management services, as we continued a very large project for a major national account which was substantially complete by the end of the fiscal year. As a result of this success, we have begun to evolve our business strategy to focus on further expanding the nature and scope of our products and services offered to our customers. This further expansion of our products and services includes pursuing projects to develop recurring revenue streams, including providing lighting and electrical maintenance services and utilizing control sensor technology to collect data and assisting customers in the digitization of this data, along with other potential services. We also plan to pursue the expansion of our IoT, “smart-building” and “connected ceiling” and other related technology, software and controls products and services that we offer to our customers. We currently plan on investing significant time, resources and capital into expanding our offerings in these areas with no expectation that they will result in us realizing material revenue in the near term and without any assurance they will succeed or be profitable. In fact, it is likely that these efforts will reduce our profitability, at least in the near term as we invest resources and incur expenses to develop these offerings. While we intend to pursue these expansion strategies organically, we also are actively exploring potential business acquisitions, like our acquisition of Stay-Lite Lighting and Voltrek, which would more quickly add these types of expanded and different capabilities to our product and services offerings. It is possible that the acquisitions of Stay-Lite Lighting and Voltrek, or other potential acquisitions, if successfully completed, could significantly change, and potentially transform, the nature and extent of our business.</w:t>
      </w:r>
    </w:p>
    <w:p>
      <w:pPr>
        <w:spacing w:after="0" w:line="126" w:lineRule="exact"/>
        <w:rPr>
          <w:sz w:val="20"/>
          <w:szCs w:val="20"/>
          <w:color w:val="auto"/>
        </w:rPr>
      </w:pPr>
    </w:p>
    <w:p>
      <w:pPr>
        <w:jc w:val="both"/>
        <w:ind w:firstLine="464"/>
        <w:spacing w:after="0" w:line="270" w:lineRule="auto"/>
        <w:rPr>
          <w:sz w:val="20"/>
          <w:szCs w:val="20"/>
          <w:color w:val="auto"/>
        </w:rPr>
      </w:pPr>
      <w:r>
        <w:rPr>
          <w:rFonts w:ascii="Arial" w:cs="Arial" w:eastAsia="Arial" w:hAnsi="Arial"/>
          <w:sz w:val="17"/>
          <w:szCs w:val="17"/>
          <w:color w:val="auto"/>
        </w:rPr>
        <w:t>We generally do not have long-term contracts with our customers for product or turnkey services that provide us with recurring annual revenue. However, some of our maintenance services contracts consist of multi-year arrangements. We typically generate substantially all our revenue from sales of lighting and control systems and related services to governmental, commercial and industrial customers on a project-by-project basis. We also perform work under master services or product purchasing agreements with major customers with sales completed on a purchase order basis. In addition, in order to provide quality and timely service under our multi-location master retrofit agreements we are required to make substantial working capital expenditures and advance inventory purchases that we may not be able to recoup if the agreements or a substantial volume of purchase orders under the agreements are delayed or terminated. The loss of, or substantial reduction in sales to, any of our significant customers, or our current single largest customer, or the termination or delay of a significant volume of purchase orders by one or more key customers, could have a material adverse effect on our results of operations in any given future period.</w:t>
      </w:r>
    </w:p>
    <w:p>
      <w:pPr>
        <w:spacing w:after="0" w:line="124" w:lineRule="exact"/>
        <w:rPr>
          <w:sz w:val="20"/>
          <w:szCs w:val="20"/>
          <w:color w:val="auto"/>
        </w:rPr>
      </w:pPr>
    </w:p>
    <w:p>
      <w:pPr>
        <w:jc w:val="both"/>
        <w:ind w:firstLine="464"/>
        <w:spacing w:after="0" w:line="263" w:lineRule="auto"/>
        <w:rPr>
          <w:sz w:val="20"/>
          <w:szCs w:val="20"/>
          <w:color w:val="auto"/>
        </w:rPr>
      </w:pPr>
      <w:r>
        <w:rPr>
          <w:rFonts w:ascii="Arial" w:cs="Arial" w:eastAsia="Arial" w:hAnsi="Arial"/>
          <w:sz w:val="18"/>
          <w:szCs w:val="18"/>
          <w:color w:val="auto"/>
        </w:rPr>
        <w:t>We typically sell our lighting systems in replacement of our customers’ existing fixtures. We call this replacement process a "retrofit". We frequently engage our customer’s existing electrical contractor to provide installation and project management services. We also sell our lighting systems on a wholesale basis, principally to electrical distributors and ESCOs to sell to their own customer bases.</w:t>
      </w:r>
    </w:p>
    <w:p>
      <w:pPr>
        <w:spacing w:after="0" w:line="129" w:lineRule="exact"/>
        <w:rPr>
          <w:sz w:val="20"/>
          <w:szCs w:val="20"/>
          <w:color w:val="auto"/>
        </w:rPr>
      </w:pPr>
    </w:p>
    <w:p>
      <w:pPr>
        <w:jc w:val="both"/>
        <w:ind w:firstLine="464"/>
        <w:spacing w:after="0" w:line="263" w:lineRule="auto"/>
        <w:rPr>
          <w:sz w:val="20"/>
          <w:szCs w:val="20"/>
          <w:color w:val="auto"/>
        </w:rPr>
      </w:pPr>
      <w:r>
        <w:rPr>
          <w:rFonts w:ascii="Arial" w:cs="Arial" w:eastAsia="Arial" w:hAnsi="Arial"/>
          <w:sz w:val="18"/>
          <w:szCs w:val="18"/>
          <w:color w:val="auto"/>
        </w:rPr>
        <w:t>The gross margins of our products can vary significantly depending upon the types of products we sell, with margins typically ranging from 10% to 50%. As a result, a change in the total mix of our sales among higher or lower margin products can cause our profitability to fluctuate from period to period.</w:t>
      </w:r>
    </w:p>
    <w:p>
      <w:pPr>
        <w:spacing w:after="0" w:line="129" w:lineRule="exact"/>
        <w:rPr>
          <w:sz w:val="20"/>
          <w:szCs w:val="20"/>
          <w:color w:val="auto"/>
        </w:rPr>
      </w:pPr>
    </w:p>
    <w:p>
      <w:pPr>
        <w:jc w:val="both"/>
        <w:ind w:firstLine="464"/>
        <w:spacing w:after="0" w:line="259" w:lineRule="auto"/>
        <w:rPr>
          <w:sz w:val="20"/>
          <w:szCs w:val="20"/>
          <w:color w:val="auto"/>
        </w:rPr>
      </w:pPr>
      <w:r>
        <w:rPr>
          <w:rFonts w:ascii="Arial" w:cs="Arial" w:eastAsia="Arial" w:hAnsi="Arial"/>
          <w:sz w:val="18"/>
          <w:szCs w:val="18"/>
          <w:color w:val="auto"/>
        </w:rPr>
        <w:t>Our fiscal year ends on March 31. Our current fiscal year ends on March 31, 2023 and is referred to as “fiscal 2023”. We refer to our just completed fiscal year, which ended on March 31, 2022, as "fiscal 2022", and our prior fiscal year which ended on March 31, 2021 as "fiscal 2021". Our fiscal first quarter of each fiscal year ends on June 30, our fiscal second quarter ends on September 30, our fiscal third quarter ends on December 31 and our fiscal fourth quarter ends on March 31.</w:t>
      </w:r>
    </w:p>
    <w:p>
      <w:pPr>
        <w:spacing w:after="0" w:line="131"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7"/>
          <w:szCs w:val="17"/>
          <w:color w:val="auto"/>
        </w:rPr>
        <w:t>Reportable segments are components of an entity that have separate financial data that the entity's chief operating decision maker ("CODM") regularly reviews when allocating resources and assessing performance. Our CODM is our chief executive officer. Orion has three reportable segments: Orion Services Group Division ("OSG"), and Orion Distribution Services Division ("ODS"), and Orion U.S. Markets Division (“USM”). With our acquisition of Voltrek on October 5, 2022, we have now added a fourth reporting segment, Orion Electric Vehicle Charging Division (“EV”).</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Acquisitions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Voltrek</w:t>
      </w:r>
    </w:p>
    <w:p>
      <w:pPr>
        <w:spacing w:after="0" w:line="171" w:lineRule="exact"/>
        <w:rPr>
          <w:sz w:val="20"/>
          <w:szCs w:val="20"/>
          <w:color w:val="auto"/>
        </w:rPr>
      </w:pPr>
    </w:p>
    <w:p>
      <w:pPr>
        <w:jc w:val="both"/>
        <w:ind w:firstLine="464"/>
        <w:spacing w:after="0" w:line="254" w:lineRule="auto"/>
        <w:rPr>
          <w:sz w:val="20"/>
          <w:szCs w:val="20"/>
          <w:color w:val="auto"/>
        </w:rPr>
      </w:pPr>
      <w:r>
        <w:rPr>
          <w:rFonts w:ascii="Arial" w:cs="Arial" w:eastAsia="Arial" w:hAnsi="Arial"/>
          <w:sz w:val="18"/>
          <w:szCs w:val="18"/>
          <w:color w:val="auto"/>
        </w:rPr>
        <w:t>Effective on October 5, 2022, we acquired all the membership interests of Voltrek, an electric vehicle charging station solutions provider, for a purchase price of $5.0 million in cash and $1.0 million of shares of common stock of Orion, subject to normal and customary closing adjustments. In addition, depending upon the relative EBITDA growth of Voltrek’s business in fiscal 2023, 2024 and 2025, we could pay up to an additional $3.0 million, $3.5 million and $7.15 million, respectively, in earnout payments. Those compensatory payments do not fall within the scope of ASC 805, Business Combinations, and will be expensed over the course of the earnout periods to the extent they are earned. The acquisition was funded from existing cash resources and our common stock. Voltrek will operate as Voltrek, an Orion Energy Systems business. The acquisition leverages our project management and maintenance expertise into the rapidly growing EV sector.</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Stay-Lite Lighting</w:t>
      </w:r>
    </w:p>
    <w:p>
      <w:pPr>
        <w:spacing w:after="0" w:line="171" w:lineRule="exact"/>
        <w:rPr>
          <w:sz w:val="20"/>
          <w:szCs w:val="20"/>
          <w:color w:val="auto"/>
        </w:rPr>
      </w:pPr>
    </w:p>
    <w:p>
      <w:pPr>
        <w:jc w:val="both"/>
        <w:ind w:firstLine="464"/>
        <w:spacing w:after="0" w:line="275" w:lineRule="auto"/>
        <w:rPr>
          <w:sz w:val="20"/>
          <w:szCs w:val="20"/>
          <w:color w:val="auto"/>
        </w:rPr>
      </w:pPr>
      <w:r>
        <w:rPr>
          <w:rFonts w:ascii="Arial" w:cs="Arial" w:eastAsia="Arial" w:hAnsi="Arial"/>
          <w:sz w:val="17"/>
          <w:szCs w:val="17"/>
          <w:color w:val="auto"/>
        </w:rPr>
        <w:t>Effective on January 1, 2022, we acquired all of the issued and outstanding capital stock of Stay-Lite Lighting, a nationwide lighting and electrical maintenance service provider, for a cash purchase price of $4.0 million. In addition, depending upon Stay-Lite Lighting's performance during the current and following calendar years, Orion could pay up to an additional $0.7 million in earn out related purchase price. The acquisition was funded from existing cash resources. Stay-Lite Lighting operates as Stay-Lite, an Orion Energy Systems business. The acquisition accelerates the growth of our maintenance services offerings through our Orion Services Group, which provides lighting and electrical services to customers.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75" w:lineRule="exact"/>
        <w:rPr>
          <w:sz w:val="20"/>
          <w:szCs w:val="20"/>
          <w:color w:val="auto"/>
        </w:rPr>
      </w:pPr>
    </w:p>
    <w:p>
      <w:pPr>
        <w:jc w:val="both"/>
        <w:ind w:firstLine="464"/>
        <w:spacing w:after="0" w:line="288" w:lineRule="auto"/>
        <w:rPr>
          <w:sz w:val="20"/>
          <w:szCs w:val="20"/>
          <w:color w:val="auto"/>
        </w:rPr>
      </w:pPr>
      <w:r>
        <w:rPr>
          <w:rFonts w:ascii="Arial" w:cs="Arial" w:eastAsia="Arial" w:hAnsi="Arial"/>
          <w:sz w:val="16"/>
          <w:szCs w:val="16"/>
          <w:color w:val="auto"/>
        </w:rPr>
        <w:t>During the fourth quarter of fiscal 2022, we substantially completed a significant project rollout for our large national retail customer. As expected, during fiscal 2023, we continue to support this customer, but at substantially lower revenue levels than in the comparative prior year. Despite the anticipated $50 million decrease in business from our largest customer and an online retailer in the first nine months of fiscal 2023, the remainder of our business has grown by approximately 9% over the year-ago period. Our fiscal 2023 third quarter results reflect the continuation of delays in the initiation of certain large customer projects, as well as slower than expected activity in our electrical contractor distribution channel. While we believe our long-term growth prospects remain very favorable, current business and economic challenges could continue to impact the pace of projects, as well as new product and service opportunities. Our new EV segment is off to an excellent start and should exceed our expectations for the second half of fiscal 2023. This helps confirm that the investments we are making to diversify our business are paying off. We expect our maintenance business, with its recurring revenues, and EV business to accelerate as we fully activate cross-selling activities, we believe they will represent a significant portion of our revenue in fiscal 2024.</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3"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Results of Operations - Three Months Ended December 31, 2022 versus Three Months Ended December 31, 2021</w:t>
      </w:r>
    </w:p>
    <w:p>
      <w:pPr>
        <w:spacing w:after="0" w:line="175" w:lineRule="exact"/>
        <w:rPr>
          <w:sz w:val="20"/>
          <w:szCs w:val="20"/>
          <w:color w:val="auto"/>
        </w:rPr>
      </w:pPr>
    </w:p>
    <w:p>
      <w:pPr>
        <w:jc w:val="both"/>
        <w:ind w:right="100" w:firstLine="469"/>
        <w:spacing w:after="0" w:line="263" w:lineRule="auto"/>
        <w:rPr>
          <w:sz w:val="20"/>
          <w:szCs w:val="20"/>
          <w:color w:val="auto"/>
        </w:rPr>
      </w:pPr>
      <w:r>
        <w:rPr>
          <w:rFonts w:ascii="Arial" w:cs="Arial" w:eastAsia="Arial" w:hAnsi="Arial"/>
          <w:sz w:val="18"/>
          <w:szCs w:val="18"/>
          <w:color w:val="auto"/>
        </w:rPr>
        <w:t>The following table sets forth the line items of our Condensed Consolidated Statements of Operations and as a relative percentage of our total revenue for each applicable period, together with the relative percentage change in such line item between applicable comparable periods (dollars in thousands, except percentages):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740" w:type="dxa"/>
            <w:vAlign w:val="bottom"/>
            <w:tcBorders>
              <w:bottom w:val="single" w:sz="8" w:color="auto"/>
            </w:tcBorders>
            <w:gridSpan w:val="8"/>
          </w:tcPr>
          <w:p>
            <w:pPr>
              <w:jc w:val="right"/>
              <w:ind w:right="1040"/>
              <w:spacing w:after="0"/>
              <w:rPr>
                <w:sz w:val="20"/>
                <w:szCs w:val="20"/>
                <w:color w:val="auto"/>
              </w:rPr>
            </w:pPr>
            <w:r>
              <w:rPr>
                <w:rFonts w:ascii="Arial" w:cs="Arial" w:eastAsia="Arial" w:hAnsi="Arial"/>
                <w:sz w:val="14"/>
                <w:szCs w:val="14"/>
                <w:b w:val="1"/>
                <w:bCs w:val="1"/>
                <w:color w:val="auto"/>
              </w:rPr>
              <w:t>Three Months Ended December 31,</w:t>
            </w:r>
          </w:p>
        </w:tc>
        <w:tc>
          <w:tcPr>
            <w:tcW w:w="9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0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89"/>
              </w:rPr>
              <w:t>2022</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6"/>
              </w:rPr>
              <w:t>2021</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0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gridSpan w:val="2"/>
            <w:vMerge w:val="restart"/>
          </w:tcPr>
          <w:p>
            <w:pPr>
              <w:jc w:val="right"/>
              <w:ind w:right="421"/>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1"/>
                <w:szCs w:val="11"/>
                <w:color w:val="auto"/>
              </w:rPr>
            </w:pPr>
          </w:p>
        </w:tc>
        <w:tc>
          <w:tcPr>
            <w:tcW w:w="102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Amount</w:t>
            </w:r>
          </w:p>
        </w:tc>
        <w:tc>
          <w:tcPr>
            <w:tcW w:w="1080" w:type="dxa"/>
            <w:vAlign w:val="bottom"/>
          </w:tcPr>
          <w:p>
            <w:pPr>
              <w:jc w:val="right"/>
              <w:ind w:right="372"/>
              <w:spacing w:after="0" w:line="133"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jc w:val="center"/>
              <w:ind w:right="73"/>
              <w:spacing w:after="0" w:line="133" w:lineRule="exact"/>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center"/>
              <w:ind w:right="93"/>
              <w:spacing w:after="0" w:line="133"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5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44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rPr>
              <w:t>Change</w:t>
            </w:r>
          </w:p>
        </w:tc>
        <w:tc>
          <w:tcPr>
            <w:tcW w:w="128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89"/>
              </w:rPr>
              <w:t>Revenue</w:t>
            </w:r>
          </w:p>
        </w:tc>
        <w:tc>
          <w:tcPr>
            <w:tcW w:w="1120" w:type="dxa"/>
            <w:vAlign w:val="bottom"/>
            <w:gridSpan w:val="2"/>
          </w:tcPr>
          <w:p>
            <w:pPr>
              <w:jc w:val="center"/>
              <w:ind w:right="250"/>
              <w:spacing w:after="0"/>
              <w:rPr>
                <w:sz w:val="20"/>
                <w:szCs w:val="20"/>
                <w:color w:val="auto"/>
              </w:rPr>
            </w:pPr>
            <w:r>
              <w:rPr>
                <w:rFonts w:ascii="Arial" w:cs="Arial" w:eastAsia="Arial" w:hAnsi="Arial"/>
                <w:sz w:val="14"/>
                <w:szCs w:val="14"/>
                <w:b w:val="1"/>
                <w:bCs w:val="1"/>
                <w:color w:val="auto"/>
                <w:w w:val="92"/>
              </w:rPr>
              <w:t>Revenue</w:t>
            </w:r>
          </w:p>
        </w:tc>
        <w:tc>
          <w:tcPr>
            <w:tcW w:w="0" w:type="dxa"/>
            <w:vAlign w:val="bottom"/>
          </w:tcPr>
          <w:p>
            <w:pPr>
              <w:spacing w:after="0"/>
              <w:rPr>
                <w:sz w:val="1"/>
                <w:szCs w:val="1"/>
                <w:color w:val="auto"/>
              </w:rPr>
            </w:pPr>
          </w:p>
        </w:tc>
      </w:tr>
      <w:tr>
        <w:trPr>
          <w:trHeight w:val="224"/>
        </w:trPr>
        <w:tc>
          <w:tcPr>
            <w:tcW w:w="5060" w:type="dxa"/>
            <w:vAlign w:val="bottom"/>
          </w:tcPr>
          <w:p>
            <w:pPr>
              <w:ind w:left="20"/>
              <w:spacing w:after="0"/>
              <w:rPr>
                <w:sz w:val="20"/>
                <w:szCs w:val="20"/>
                <w:color w:val="auto"/>
              </w:rPr>
            </w:pPr>
            <w:r>
              <w:rPr>
                <w:rFonts w:ascii="Arial" w:cs="Arial" w:eastAsia="Arial" w:hAnsi="Arial"/>
                <w:sz w:val="18"/>
                <w:szCs w:val="18"/>
                <w:color w:val="auto"/>
              </w:rPr>
              <w:t>Product revenue</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15,399</w:t>
            </w:r>
          </w:p>
        </w:tc>
        <w:tc>
          <w:tcPr>
            <w:tcW w:w="24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22,203</w:t>
            </w:r>
          </w:p>
        </w:tc>
        <w:tc>
          <w:tcPr>
            <w:tcW w:w="220" w:type="dxa"/>
            <w:vAlign w:val="bottom"/>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(30.6</w:t>
            </w:r>
          </w:p>
        </w:tc>
        <w:tc>
          <w:tcPr>
            <w:tcW w:w="220" w:type="dxa"/>
            <w:vAlign w:val="bottom"/>
          </w:tcPr>
          <w:p>
            <w:pPr>
              <w:jc w:val="right"/>
              <w:spacing w:after="0"/>
              <w:rPr>
                <w:sz w:val="20"/>
                <w:szCs w:val="20"/>
                <w:color w:val="auto"/>
              </w:rPr>
            </w:pPr>
            <w:r>
              <w:rPr>
                <w:rFonts w:ascii="Arial" w:cs="Arial" w:eastAsia="Arial" w:hAnsi="Arial"/>
                <w:sz w:val="18"/>
                <w:szCs w:val="18"/>
                <w:color w:val="auto"/>
                <w:w w:val="90"/>
              </w:rPr>
              <w:t>)%</w:t>
            </w:r>
          </w:p>
        </w:tc>
        <w:tc>
          <w:tcPr>
            <w:tcW w:w="1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75.9</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72.3</w:t>
            </w:r>
          </w:p>
        </w:tc>
        <w:tc>
          <w:tcPr>
            <w:tcW w:w="20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49"/>
        </w:trPr>
        <w:tc>
          <w:tcPr>
            <w:tcW w:w="5060" w:type="dxa"/>
            <w:vAlign w:val="bottom"/>
          </w:tcPr>
          <w:p>
            <w:pPr>
              <w:ind w:left="20"/>
              <w:spacing w:after="0"/>
              <w:rPr>
                <w:sz w:val="20"/>
                <w:szCs w:val="20"/>
                <w:color w:val="auto"/>
              </w:rPr>
            </w:pPr>
            <w:r>
              <w:rPr>
                <w:rFonts w:ascii="Arial" w:cs="Arial" w:eastAsia="Arial" w:hAnsi="Arial"/>
                <w:sz w:val="18"/>
                <w:szCs w:val="18"/>
                <w:color w:val="auto"/>
              </w:rPr>
              <w:t>Service revenue</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4,889</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8,511</w:t>
            </w:r>
          </w:p>
        </w:tc>
        <w:tc>
          <w:tcPr>
            <w:tcW w:w="220" w:type="dxa"/>
            <w:vAlign w:val="bottom"/>
          </w:tcPr>
          <w:p>
            <w:pPr>
              <w:spacing w:after="0"/>
              <w:rPr>
                <w:sz w:val="21"/>
                <w:szCs w:val="21"/>
                <w:color w:val="auto"/>
              </w:rPr>
            </w:pPr>
          </w:p>
        </w:tc>
        <w:tc>
          <w:tcPr>
            <w:tcW w:w="1440" w:type="dxa"/>
            <w:vAlign w:val="bottom"/>
            <w:gridSpan w:val="3"/>
          </w:tcPr>
          <w:p>
            <w:pPr>
              <w:jc w:val="right"/>
              <w:ind w:right="140"/>
              <w:spacing w:after="0"/>
              <w:rPr>
                <w:sz w:val="20"/>
                <w:szCs w:val="20"/>
                <w:color w:val="auto"/>
              </w:rPr>
            </w:pPr>
            <w:r>
              <w:rPr>
                <w:rFonts w:ascii="Arial" w:cs="Arial" w:eastAsia="Arial" w:hAnsi="Arial"/>
                <w:sz w:val="18"/>
                <w:szCs w:val="18"/>
                <w:color w:val="auto"/>
              </w:rPr>
              <w:t>(42.6 )%</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24.1 %</w:t>
            </w:r>
          </w:p>
        </w:tc>
        <w:tc>
          <w:tcPr>
            <w:tcW w:w="12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27.7 %</w:t>
            </w:r>
          </w:p>
        </w:tc>
        <w:tc>
          <w:tcPr>
            <w:tcW w:w="0" w:type="dxa"/>
            <w:vAlign w:val="bottom"/>
          </w:tcPr>
          <w:p>
            <w:pPr>
              <w:spacing w:after="0"/>
              <w:rPr>
                <w:sz w:val="1"/>
                <w:szCs w:val="1"/>
                <w:color w:val="auto"/>
              </w:rPr>
            </w:pPr>
          </w:p>
        </w:tc>
      </w:tr>
      <w:tr>
        <w:trPr>
          <w:trHeight w:val="230"/>
        </w:trPr>
        <w:tc>
          <w:tcPr>
            <w:tcW w:w="506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20,288</w:t>
            </w:r>
          </w:p>
        </w:tc>
        <w:tc>
          <w:tcPr>
            <w:tcW w:w="2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30,714</w:t>
            </w:r>
          </w:p>
        </w:tc>
        <w:tc>
          <w:tcPr>
            <w:tcW w:w="220" w:type="dxa"/>
            <w:vAlign w:val="bottom"/>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(33.9</w:t>
            </w:r>
          </w:p>
        </w:tc>
        <w:tc>
          <w:tcPr>
            <w:tcW w:w="220" w:type="dxa"/>
            <w:vAlign w:val="bottom"/>
          </w:tcPr>
          <w:p>
            <w:pPr>
              <w:jc w:val="right"/>
              <w:spacing w:after="0"/>
              <w:rPr>
                <w:sz w:val="20"/>
                <w:szCs w:val="20"/>
                <w:color w:val="auto"/>
              </w:rPr>
            </w:pPr>
            <w:r>
              <w:rPr>
                <w:rFonts w:ascii="Arial" w:cs="Arial" w:eastAsia="Arial" w:hAnsi="Arial"/>
                <w:sz w:val="18"/>
                <w:szCs w:val="18"/>
                <w:color w:val="auto"/>
                <w:w w:val="90"/>
              </w:rPr>
              <w:t>)%</w:t>
            </w:r>
          </w:p>
        </w:tc>
        <w:tc>
          <w:tcPr>
            <w:tcW w:w="1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42"/>
        </w:trPr>
        <w:tc>
          <w:tcPr>
            <w:tcW w:w="5060" w:type="dxa"/>
            <w:vAlign w:val="bottom"/>
          </w:tcPr>
          <w:p>
            <w:pPr>
              <w:ind w:left="20"/>
              <w:spacing w:after="0"/>
              <w:rPr>
                <w:sz w:val="20"/>
                <w:szCs w:val="20"/>
                <w:color w:val="auto"/>
              </w:rPr>
            </w:pPr>
            <w:r>
              <w:rPr>
                <w:rFonts w:ascii="Arial" w:cs="Arial" w:eastAsia="Arial" w:hAnsi="Arial"/>
                <w:sz w:val="18"/>
                <w:szCs w:val="18"/>
                <w:color w:val="auto"/>
              </w:rPr>
              <w:t>Cost of product revenue</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11,480</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16,427</w:t>
            </w:r>
          </w:p>
        </w:tc>
        <w:tc>
          <w:tcPr>
            <w:tcW w:w="220" w:type="dxa"/>
            <w:vAlign w:val="bottom"/>
          </w:tcPr>
          <w:p>
            <w:pPr>
              <w:spacing w:after="0"/>
              <w:rPr>
                <w:sz w:val="21"/>
                <w:szCs w:val="21"/>
                <w:color w:val="auto"/>
              </w:rPr>
            </w:pPr>
          </w:p>
        </w:tc>
        <w:tc>
          <w:tcPr>
            <w:tcW w:w="1440" w:type="dxa"/>
            <w:vAlign w:val="bottom"/>
            <w:gridSpan w:val="3"/>
          </w:tcPr>
          <w:p>
            <w:pPr>
              <w:jc w:val="right"/>
              <w:ind w:right="140"/>
              <w:spacing w:after="0"/>
              <w:rPr>
                <w:sz w:val="20"/>
                <w:szCs w:val="20"/>
                <w:color w:val="auto"/>
              </w:rPr>
            </w:pPr>
            <w:r>
              <w:rPr>
                <w:rFonts w:ascii="Arial" w:cs="Arial" w:eastAsia="Arial" w:hAnsi="Arial"/>
                <w:sz w:val="18"/>
                <w:szCs w:val="18"/>
                <w:color w:val="auto"/>
              </w:rPr>
              <w:t>(30.1 )%</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56.6 %</w:t>
            </w:r>
          </w:p>
        </w:tc>
        <w:tc>
          <w:tcPr>
            <w:tcW w:w="12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53.5 %</w:t>
            </w:r>
          </w:p>
        </w:tc>
        <w:tc>
          <w:tcPr>
            <w:tcW w:w="0" w:type="dxa"/>
            <w:vAlign w:val="bottom"/>
          </w:tcPr>
          <w:p>
            <w:pPr>
              <w:spacing w:after="0"/>
              <w:rPr>
                <w:sz w:val="1"/>
                <w:szCs w:val="1"/>
                <w:color w:val="auto"/>
              </w:rPr>
            </w:pPr>
          </w:p>
        </w:tc>
      </w:tr>
      <w:tr>
        <w:trPr>
          <w:trHeight w:val="243"/>
        </w:trPr>
        <w:tc>
          <w:tcPr>
            <w:tcW w:w="5060" w:type="dxa"/>
            <w:vAlign w:val="bottom"/>
          </w:tcPr>
          <w:p>
            <w:pPr>
              <w:ind w:left="20"/>
              <w:spacing w:after="0"/>
              <w:rPr>
                <w:sz w:val="20"/>
                <w:szCs w:val="20"/>
                <w:color w:val="auto"/>
              </w:rPr>
            </w:pPr>
            <w:r>
              <w:rPr>
                <w:rFonts w:ascii="Arial" w:cs="Arial" w:eastAsia="Arial" w:hAnsi="Arial"/>
                <w:sz w:val="18"/>
                <w:szCs w:val="18"/>
                <w:color w:val="auto"/>
              </w:rPr>
              <w:t>Cost of service revenue</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4,027</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6,646</w:t>
            </w:r>
          </w:p>
        </w:tc>
        <w:tc>
          <w:tcPr>
            <w:tcW w:w="220" w:type="dxa"/>
            <w:vAlign w:val="bottom"/>
          </w:tcPr>
          <w:p>
            <w:pPr>
              <w:spacing w:after="0"/>
              <w:rPr>
                <w:sz w:val="21"/>
                <w:szCs w:val="21"/>
                <w:color w:val="auto"/>
              </w:rPr>
            </w:pPr>
          </w:p>
        </w:tc>
        <w:tc>
          <w:tcPr>
            <w:tcW w:w="1440" w:type="dxa"/>
            <w:vAlign w:val="bottom"/>
            <w:gridSpan w:val="3"/>
          </w:tcPr>
          <w:p>
            <w:pPr>
              <w:jc w:val="right"/>
              <w:ind w:right="140"/>
              <w:spacing w:after="0"/>
              <w:rPr>
                <w:sz w:val="20"/>
                <w:szCs w:val="20"/>
                <w:color w:val="auto"/>
              </w:rPr>
            </w:pPr>
            <w:r>
              <w:rPr>
                <w:rFonts w:ascii="Arial" w:cs="Arial" w:eastAsia="Arial" w:hAnsi="Arial"/>
                <w:sz w:val="18"/>
                <w:szCs w:val="18"/>
                <w:color w:val="auto"/>
              </w:rPr>
              <w:t>(39.4 )%</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19.8 %</w:t>
            </w:r>
          </w:p>
        </w:tc>
        <w:tc>
          <w:tcPr>
            <w:tcW w:w="12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21.6 %</w:t>
            </w:r>
          </w:p>
        </w:tc>
        <w:tc>
          <w:tcPr>
            <w:tcW w:w="0" w:type="dxa"/>
            <w:vAlign w:val="bottom"/>
          </w:tcPr>
          <w:p>
            <w:pPr>
              <w:spacing w:after="0"/>
              <w:rPr>
                <w:sz w:val="1"/>
                <w:szCs w:val="1"/>
                <w:color w:val="auto"/>
              </w:rPr>
            </w:pPr>
          </w:p>
        </w:tc>
      </w:tr>
      <w:tr>
        <w:trPr>
          <w:trHeight w:val="27"/>
        </w:trPr>
        <w:tc>
          <w:tcPr>
            <w:tcW w:w="5060" w:type="dxa"/>
            <w:vAlign w:val="bottom"/>
            <w:vMerge w:val="restart"/>
          </w:tcPr>
          <w:p>
            <w:pPr>
              <w:ind w:left="20"/>
              <w:spacing w:after="0"/>
              <w:rPr>
                <w:sz w:val="20"/>
                <w:szCs w:val="20"/>
                <w:color w:val="auto"/>
              </w:rPr>
            </w:pPr>
            <w:r>
              <w:rPr>
                <w:rFonts w:ascii="Arial" w:cs="Arial" w:eastAsia="Arial" w:hAnsi="Arial"/>
                <w:sz w:val="18"/>
                <w:szCs w:val="18"/>
                <w:color w:val="auto"/>
              </w:rPr>
              <w:t>Total cost of revenue</w:t>
            </w:r>
          </w:p>
        </w:tc>
        <w:tc>
          <w:tcPr>
            <w:tcW w:w="1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506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15,507</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23,073</w:t>
            </w:r>
          </w:p>
        </w:tc>
        <w:tc>
          <w:tcPr>
            <w:tcW w:w="220" w:type="dxa"/>
            <w:vAlign w:val="bottom"/>
          </w:tcPr>
          <w:p>
            <w:pPr>
              <w:spacing w:after="0"/>
              <w:rPr>
                <w:sz w:val="20"/>
                <w:szCs w:val="20"/>
                <w:color w:val="auto"/>
              </w:rPr>
            </w:pPr>
          </w:p>
        </w:tc>
        <w:tc>
          <w:tcPr>
            <w:tcW w:w="1440" w:type="dxa"/>
            <w:vAlign w:val="bottom"/>
            <w:gridSpan w:val="3"/>
          </w:tcPr>
          <w:p>
            <w:pPr>
              <w:jc w:val="right"/>
              <w:ind w:right="140"/>
              <w:spacing w:after="0"/>
              <w:rPr>
                <w:sz w:val="20"/>
                <w:szCs w:val="20"/>
                <w:color w:val="auto"/>
              </w:rPr>
            </w:pPr>
            <w:r>
              <w:rPr>
                <w:rFonts w:ascii="Arial" w:cs="Arial" w:eastAsia="Arial" w:hAnsi="Arial"/>
                <w:sz w:val="18"/>
                <w:szCs w:val="18"/>
                <w:color w:val="auto"/>
              </w:rPr>
              <w:t xml:space="preserve">(32.8 </w:t>
            </w:r>
            <w:r>
              <w:rPr>
                <w:rFonts w:ascii="Arial" w:cs="Arial" w:eastAsia="Arial" w:hAnsi="Arial"/>
                <w:sz w:val="18"/>
                <w:szCs w:val="18"/>
                <w:color w:val="auto"/>
                <w:highlight w:val="white"/>
              </w:rPr>
              <w:t>)</w:t>
            </w: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 xml:space="preserve">76.4 </w:t>
            </w:r>
            <w:r>
              <w:rPr>
                <w:rFonts w:ascii="Arial" w:cs="Arial" w:eastAsia="Arial" w:hAnsi="Arial"/>
                <w:sz w:val="18"/>
                <w:szCs w:val="18"/>
                <w:color w:val="auto"/>
                <w:highlight w:val="white"/>
              </w:rPr>
              <w:t>%</w:t>
            </w:r>
          </w:p>
        </w:tc>
        <w:tc>
          <w:tcPr>
            <w:tcW w:w="12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 xml:space="preserve">75.1 </w:t>
            </w:r>
            <w:r>
              <w:rPr>
                <w:rFonts w:ascii="Arial" w:cs="Arial" w:eastAsia="Arial" w:hAnsi="Arial"/>
                <w:sz w:val="18"/>
                <w:szCs w:val="18"/>
                <w:color w:val="auto"/>
                <w:highlight w:val="white"/>
              </w:rPr>
              <w:t>%</w:t>
            </w:r>
          </w:p>
        </w:tc>
        <w:tc>
          <w:tcPr>
            <w:tcW w:w="0" w:type="dxa"/>
            <w:vAlign w:val="bottom"/>
          </w:tcPr>
          <w:p>
            <w:pPr>
              <w:spacing w:after="0"/>
              <w:rPr>
                <w:sz w:val="1"/>
                <w:szCs w:val="1"/>
                <w:color w:val="auto"/>
              </w:rPr>
            </w:pPr>
          </w:p>
        </w:tc>
      </w:tr>
      <w:tr>
        <w:trPr>
          <w:trHeight w:val="230"/>
        </w:trPr>
        <w:tc>
          <w:tcPr>
            <w:tcW w:w="506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1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4,781</w:t>
            </w:r>
          </w:p>
        </w:tc>
        <w:tc>
          <w:tcPr>
            <w:tcW w:w="2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7,641</w:t>
            </w:r>
          </w:p>
        </w:tc>
        <w:tc>
          <w:tcPr>
            <w:tcW w:w="220" w:type="dxa"/>
            <w:vAlign w:val="bottom"/>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(37.4</w:t>
            </w:r>
          </w:p>
        </w:tc>
        <w:tc>
          <w:tcPr>
            <w:tcW w:w="220" w:type="dxa"/>
            <w:vAlign w:val="bottom"/>
          </w:tcPr>
          <w:p>
            <w:pPr>
              <w:jc w:val="right"/>
              <w:spacing w:after="0"/>
              <w:rPr>
                <w:sz w:val="20"/>
                <w:szCs w:val="20"/>
                <w:color w:val="auto"/>
              </w:rPr>
            </w:pPr>
            <w:r>
              <w:rPr>
                <w:rFonts w:ascii="Arial" w:cs="Arial" w:eastAsia="Arial" w:hAnsi="Arial"/>
                <w:sz w:val="18"/>
                <w:szCs w:val="18"/>
                <w:color w:val="auto"/>
                <w:w w:val="90"/>
              </w:rPr>
              <w:t>)%</w:t>
            </w:r>
          </w:p>
        </w:tc>
        <w:tc>
          <w:tcPr>
            <w:tcW w:w="1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23.6</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24.9</w:t>
            </w:r>
          </w:p>
        </w:tc>
        <w:tc>
          <w:tcPr>
            <w:tcW w:w="20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42"/>
        </w:trPr>
        <w:tc>
          <w:tcPr>
            <w:tcW w:w="5060" w:type="dxa"/>
            <w:vAlign w:val="bottom"/>
          </w:tcPr>
          <w:p>
            <w:pPr>
              <w:ind w:left="20"/>
              <w:spacing w:after="0"/>
              <w:rPr>
                <w:sz w:val="20"/>
                <w:szCs w:val="20"/>
                <w:color w:val="auto"/>
              </w:rPr>
            </w:pPr>
            <w:r>
              <w:rPr>
                <w:rFonts w:ascii="Arial" w:cs="Arial" w:eastAsia="Arial" w:hAnsi="Arial"/>
                <w:sz w:val="18"/>
                <w:szCs w:val="18"/>
                <w:color w:val="auto"/>
              </w:rPr>
              <w:t>General and administrative expenses</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3,984</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2,873</w:t>
            </w:r>
          </w:p>
        </w:tc>
        <w:tc>
          <w:tcPr>
            <w:tcW w:w="220" w:type="dxa"/>
            <w:vAlign w:val="bottom"/>
          </w:tcPr>
          <w:p>
            <w:pPr>
              <w:spacing w:after="0"/>
              <w:rPr>
                <w:sz w:val="21"/>
                <w:szCs w:val="21"/>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38.7 %</w:t>
            </w:r>
          </w:p>
        </w:tc>
        <w:tc>
          <w:tcPr>
            <w:tcW w:w="14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19.6 %</w:t>
            </w:r>
          </w:p>
        </w:tc>
        <w:tc>
          <w:tcPr>
            <w:tcW w:w="12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9.4 %</w:t>
            </w:r>
          </w:p>
        </w:tc>
        <w:tc>
          <w:tcPr>
            <w:tcW w:w="0" w:type="dxa"/>
            <w:vAlign w:val="bottom"/>
          </w:tcPr>
          <w:p>
            <w:pPr>
              <w:spacing w:after="0"/>
              <w:rPr>
                <w:sz w:val="1"/>
                <w:szCs w:val="1"/>
                <w:color w:val="auto"/>
              </w:rPr>
            </w:pPr>
          </w:p>
        </w:tc>
      </w:tr>
      <w:tr>
        <w:trPr>
          <w:trHeight w:val="243"/>
        </w:trPr>
        <w:tc>
          <w:tcPr>
            <w:tcW w:w="5060" w:type="dxa"/>
            <w:vAlign w:val="bottom"/>
          </w:tcPr>
          <w:p>
            <w:pPr>
              <w:ind w:left="20"/>
              <w:spacing w:after="0"/>
              <w:rPr>
                <w:sz w:val="20"/>
                <w:szCs w:val="20"/>
                <w:color w:val="auto"/>
              </w:rPr>
            </w:pPr>
            <w:r>
              <w:rPr>
                <w:rFonts w:ascii="Arial" w:cs="Arial" w:eastAsia="Arial" w:hAnsi="Arial"/>
                <w:sz w:val="18"/>
                <w:szCs w:val="18"/>
                <w:color w:val="auto"/>
              </w:rPr>
              <w:t>Acquisition costs</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1,993</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178</w:t>
            </w:r>
          </w:p>
        </w:tc>
        <w:tc>
          <w:tcPr>
            <w:tcW w:w="220" w:type="dxa"/>
            <w:vAlign w:val="bottom"/>
          </w:tcPr>
          <w:p>
            <w:pPr>
              <w:spacing w:after="0"/>
              <w:rPr>
                <w:sz w:val="21"/>
                <w:szCs w:val="21"/>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1019.7 %</w:t>
            </w:r>
          </w:p>
        </w:tc>
        <w:tc>
          <w:tcPr>
            <w:tcW w:w="14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9.8 %</w:t>
            </w:r>
          </w:p>
        </w:tc>
        <w:tc>
          <w:tcPr>
            <w:tcW w:w="12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43"/>
        </w:trPr>
        <w:tc>
          <w:tcPr>
            <w:tcW w:w="5060" w:type="dxa"/>
            <w:vAlign w:val="bottom"/>
          </w:tcPr>
          <w:p>
            <w:pPr>
              <w:ind w:left="20"/>
              <w:spacing w:after="0"/>
              <w:rPr>
                <w:sz w:val="20"/>
                <w:szCs w:val="20"/>
                <w:color w:val="auto"/>
              </w:rPr>
            </w:pPr>
            <w:r>
              <w:rPr>
                <w:rFonts w:ascii="Arial" w:cs="Arial" w:eastAsia="Arial" w:hAnsi="Arial"/>
                <w:sz w:val="18"/>
                <w:szCs w:val="18"/>
                <w:color w:val="auto"/>
              </w:rPr>
              <w:t>Sales and marketing expenses</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2,983</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2,862</w:t>
            </w:r>
          </w:p>
        </w:tc>
        <w:tc>
          <w:tcPr>
            <w:tcW w:w="220" w:type="dxa"/>
            <w:vAlign w:val="bottom"/>
          </w:tcPr>
          <w:p>
            <w:pPr>
              <w:spacing w:after="0"/>
              <w:rPr>
                <w:sz w:val="21"/>
                <w:szCs w:val="21"/>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4.2 %</w:t>
            </w:r>
          </w:p>
        </w:tc>
        <w:tc>
          <w:tcPr>
            <w:tcW w:w="14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14.7 %</w:t>
            </w:r>
          </w:p>
        </w:tc>
        <w:tc>
          <w:tcPr>
            <w:tcW w:w="12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9.3 %</w:t>
            </w:r>
          </w:p>
        </w:tc>
        <w:tc>
          <w:tcPr>
            <w:tcW w:w="0" w:type="dxa"/>
            <w:vAlign w:val="bottom"/>
          </w:tcPr>
          <w:p>
            <w:pPr>
              <w:spacing w:after="0"/>
              <w:rPr>
                <w:sz w:val="1"/>
                <w:szCs w:val="1"/>
                <w:color w:val="auto"/>
              </w:rPr>
            </w:pPr>
          </w:p>
        </w:tc>
      </w:tr>
      <w:tr>
        <w:trPr>
          <w:trHeight w:val="243"/>
        </w:trPr>
        <w:tc>
          <w:tcPr>
            <w:tcW w:w="5060" w:type="dxa"/>
            <w:vAlign w:val="bottom"/>
          </w:tcPr>
          <w:p>
            <w:pPr>
              <w:ind w:left="20"/>
              <w:spacing w:after="0"/>
              <w:rPr>
                <w:sz w:val="20"/>
                <w:szCs w:val="20"/>
                <w:color w:val="auto"/>
              </w:rPr>
            </w:pPr>
            <w:r>
              <w:rPr>
                <w:rFonts w:ascii="Arial" w:cs="Arial" w:eastAsia="Arial" w:hAnsi="Arial"/>
                <w:sz w:val="18"/>
                <w:szCs w:val="18"/>
                <w:color w:val="auto"/>
              </w:rPr>
              <w:t>Research and development expenses</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409</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396</w:t>
            </w:r>
          </w:p>
        </w:tc>
        <w:tc>
          <w:tcPr>
            <w:tcW w:w="220" w:type="dxa"/>
            <w:vAlign w:val="bottom"/>
          </w:tcPr>
          <w:p>
            <w:pPr>
              <w:spacing w:after="0"/>
              <w:rPr>
                <w:sz w:val="21"/>
                <w:szCs w:val="21"/>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3.3 %</w:t>
            </w:r>
          </w:p>
        </w:tc>
        <w:tc>
          <w:tcPr>
            <w:tcW w:w="14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2.0 %</w:t>
            </w:r>
          </w:p>
        </w:tc>
        <w:tc>
          <w:tcPr>
            <w:tcW w:w="12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7"/>
        </w:trPr>
        <w:tc>
          <w:tcPr>
            <w:tcW w:w="5060" w:type="dxa"/>
            <w:vAlign w:val="bottom"/>
            <w:vMerge w:val="restart"/>
          </w:tcPr>
          <w:p>
            <w:pPr>
              <w:ind w:left="20"/>
              <w:spacing w:after="0"/>
              <w:rPr>
                <w:sz w:val="20"/>
                <w:szCs w:val="20"/>
                <w:color w:val="auto"/>
              </w:rPr>
            </w:pPr>
            <w:r>
              <w:rPr>
                <w:rFonts w:ascii="Arial" w:cs="Arial" w:eastAsia="Arial" w:hAnsi="Arial"/>
                <w:sz w:val="18"/>
                <w:szCs w:val="18"/>
                <w:color w:val="auto"/>
              </w:rPr>
              <w:t>(Loss) income from operations</w:t>
            </w:r>
          </w:p>
        </w:tc>
        <w:tc>
          <w:tcPr>
            <w:tcW w:w="1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06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101"/>
              <w:spacing w:after="0"/>
              <w:rPr>
                <w:sz w:val="20"/>
                <w:szCs w:val="20"/>
                <w:color w:val="auto"/>
              </w:rPr>
            </w:pPr>
            <w:r>
              <w:rPr>
                <w:rFonts w:ascii="Arial" w:cs="Arial" w:eastAsia="Arial" w:hAnsi="Arial"/>
                <w:sz w:val="18"/>
                <w:szCs w:val="18"/>
                <w:color w:val="auto"/>
              </w:rPr>
              <w:t>(4,588 )</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1,332</w:t>
            </w:r>
          </w:p>
        </w:tc>
        <w:tc>
          <w:tcPr>
            <w:tcW w:w="220" w:type="dxa"/>
            <w:vAlign w:val="bottom"/>
          </w:tcPr>
          <w:p>
            <w:pPr>
              <w:spacing w:after="0"/>
              <w:rPr>
                <w:sz w:val="20"/>
                <w:szCs w:val="20"/>
                <w:color w:val="auto"/>
              </w:rPr>
            </w:pPr>
          </w:p>
        </w:tc>
        <w:tc>
          <w:tcPr>
            <w:tcW w:w="1440" w:type="dxa"/>
            <w:vAlign w:val="bottom"/>
            <w:gridSpan w:val="3"/>
          </w:tcPr>
          <w:p>
            <w:pPr>
              <w:jc w:val="right"/>
              <w:ind w:right="360"/>
              <w:spacing w:after="0"/>
              <w:rPr>
                <w:sz w:val="20"/>
                <w:szCs w:val="20"/>
                <w:color w:val="auto"/>
              </w:rPr>
            </w:pPr>
            <w:r>
              <w:rPr>
                <w:rFonts w:ascii="Arial" w:cs="Arial" w:eastAsia="Arial" w:hAnsi="Arial"/>
                <w:sz w:val="18"/>
                <w:szCs w:val="18"/>
                <w:color w:val="auto"/>
              </w:rPr>
              <w:t>NM</w:t>
            </w:r>
          </w:p>
        </w:tc>
        <w:tc>
          <w:tcPr>
            <w:tcW w:w="1280" w:type="dxa"/>
            <w:vAlign w:val="bottom"/>
            <w:gridSpan w:val="3"/>
          </w:tcPr>
          <w:p>
            <w:pPr>
              <w:jc w:val="right"/>
              <w:ind w:right="120"/>
              <w:spacing w:after="0"/>
              <w:rPr>
                <w:sz w:val="20"/>
                <w:szCs w:val="20"/>
                <w:color w:val="auto"/>
              </w:rPr>
            </w:pPr>
            <w:r>
              <w:rPr>
                <w:rFonts w:ascii="Arial" w:cs="Arial" w:eastAsia="Arial" w:hAnsi="Arial"/>
                <w:sz w:val="18"/>
                <w:szCs w:val="18"/>
                <w:color w:val="auto"/>
              </w:rPr>
              <w:t xml:space="preserve">(22.6 </w:t>
            </w:r>
            <w:r>
              <w:rPr>
                <w:rFonts w:ascii="Arial" w:cs="Arial" w:eastAsia="Arial" w:hAnsi="Arial"/>
                <w:sz w:val="18"/>
                <w:szCs w:val="18"/>
                <w:color w:val="auto"/>
                <w:highlight w:val="white"/>
              </w:rPr>
              <w:t>)</w:t>
            </w: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color w:val="auto"/>
                <w:highlight w:val="white"/>
              </w:rPr>
              <w:t>%</w:t>
            </w:r>
          </w:p>
        </w:tc>
        <w:tc>
          <w:tcPr>
            <w:tcW w:w="0" w:type="dxa"/>
            <w:vAlign w:val="bottom"/>
          </w:tcPr>
          <w:p>
            <w:pPr>
              <w:spacing w:after="0"/>
              <w:rPr>
                <w:sz w:val="1"/>
                <w:szCs w:val="1"/>
                <w:color w:val="auto"/>
              </w:rPr>
            </w:pPr>
          </w:p>
        </w:tc>
      </w:tr>
      <w:tr>
        <w:trPr>
          <w:trHeight w:val="242"/>
        </w:trPr>
        <w:tc>
          <w:tcPr>
            <w:tcW w:w="50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21"/>
                <w:szCs w:val="21"/>
                <w:color w:val="auto"/>
              </w:rPr>
            </w:pPr>
          </w:p>
        </w:tc>
        <w:tc>
          <w:tcPr>
            <w:tcW w:w="1080" w:type="dxa"/>
            <w:vAlign w:val="bottom"/>
            <w:gridSpan w:val="2"/>
          </w:tcPr>
          <w:p>
            <w:pPr>
              <w:jc w:val="right"/>
              <w:ind w:right="101"/>
              <w:spacing w:after="0"/>
              <w:rPr>
                <w:sz w:val="20"/>
                <w:szCs w:val="20"/>
                <w:color w:val="auto"/>
              </w:rPr>
            </w:pPr>
            <w:r>
              <w:rPr>
                <w:rFonts w:ascii="Arial" w:cs="Arial" w:eastAsia="Arial" w:hAnsi="Arial"/>
                <w:sz w:val="18"/>
                <w:szCs w:val="18"/>
                <w:color w:val="auto"/>
              </w:rPr>
              <w:t>(64 )</w:t>
            </w:r>
          </w:p>
        </w:tc>
        <w:tc>
          <w:tcPr>
            <w:tcW w:w="160" w:type="dxa"/>
            <w:vAlign w:val="bottom"/>
          </w:tcPr>
          <w:p>
            <w:pPr>
              <w:spacing w:after="0"/>
              <w:rPr>
                <w:sz w:val="21"/>
                <w:szCs w:val="21"/>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(26 )</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146.2 %</w:t>
            </w:r>
          </w:p>
        </w:tc>
        <w:tc>
          <w:tcPr>
            <w:tcW w:w="140" w:type="dxa"/>
            <w:vAlign w:val="bottom"/>
          </w:tcPr>
          <w:p>
            <w:pPr>
              <w:spacing w:after="0"/>
              <w:rPr>
                <w:sz w:val="21"/>
                <w:szCs w:val="21"/>
                <w:color w:val="auto"/>
              </w:rPr>
            </w:pPr>
          </w:p>
        </w:tc>
        <w:tc>
          <w:tcPr>
            <w:tcW w:w="1280" w:type="dxa"/>
            <w:vAlign w:val="bottom"/>
            <w:gridSpan w:val="3"/>
          </w:tcPr>
          <w:p>
            <w:pPr>
              <w:jc w:val="right"/>
              <w:ind w:right="120"/>
              <w:spacing w:after="0"/>
              <w:rPr>
                <w:sz w:val="20"/>
                <w:szCs w:val="20"/>
                <w:color w:val="auto"/>
              </w:rPr>
            </w:pPr>
            <w:r>
              <w:rPr>
                <w:rFonts w:ascii="Arial" w:cs="Arial" w:eastAsia="Arial" w:hAnsi="Arial"/>
                <w:sz w:val="18"/>
                <w:szCs w:val="18"/>
                <w:color w:val="auto"/>
              </w:rPr>
              <w:t>(0.3 )%</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50"/>
        </w:trPr>
        <w:tc>
          <w:tcPr>
            <w:tcW w:w="5060" w:type="dxa"/>
            <w:vAlign w:val="bottom"/>
          </w:tcPr>
          <w:p>
            <w:pPr>
              <w:ind w:left="20"/>
              <w:spacing w:after="0"/>
              <w:rPr>
                <w:sz w:val="20"/>
                <w:szCs w:val="20"/>
                <w:color w:val="auto"/>
              </w:rPr>
            </w:pPr>
            <w:r>
              <w:rPr>
                <w:rFonts w:ascii="Arial" w:cs="Arial" w:eastAsia="Arial" w:hAnsi="Arial"/>
                <w:sz w:val="18"/>
                <w:szCs w:val="18"/>
                <w:color w:val="auto"/>
              </w:rPr>
              <w:t>Amortization of debt issue costs</w:t>
            </w:r>
          </w:p>
        </w:tc>
        <w:tc>
          <w:tcPr>
            <w:tcW w:w="180" w:type="dxa"/>
            <w:vAlign w:val="bottom"/>
          </w:tcPr>
          <w:p>
            <w:pPr>
              <w:spacing w:after="0"/>
              <w:rPr>
                <w:sz w:val="21"/>
                <w:szCs w:val="21"/>
                <w:color w:val="auto"/>
              </w:rPr>
            </w:pPr>
          </w:p>
        </w:tc>
        <w:tc>
          <w:tcPr>
            <w:tcW w:w="1080" w:type="dxa"/>
            <w:vAlign w:val="bottom"/>
            <w:gridSpan w:val="2"/>
          </w:tcPr>
          <w:p>
            <w:pPr>
              <w:jc w:val="right"/>
              <w:ind w:right="101"/>
              <w:spacing w:after="0"/>
              <w:rPr>
                <w:sz w:val="20"/>
                <w:szCs w:val="20"/>
                <w:color w:val="auto"/>
              </w:rPr>
            </w:pPr>
            <w:r>
              <w:rPr>
                <w:rFonts w:ascii="Arial" w:cs="Arial" w:eastAsia="Arial" w:hAnsi="Arial"/>
                <w:sz w:val="18"/>
                <w:szCs w:val="18"/>
                <w:color w:val="auto"/>
              </w:rPr>
              <w:t>(16 )</w:t>
            </w:r>
          </w:p>
        </w:tc>
        <w:tc>
          <w:tcPr>
            <w:tcW w:w="160" w:type="dxa"/>
            <w:vAlign w:val="bottom"/>
          </w:tcPr>
          <w:p>
            <w:pPr>
              <w:spacing w:after="0"/>
              <w:rPr>
                <w:sz w:val="21"/>
                <w:szCs w:val="21"/>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(15 )</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6.7 %</w:t>
            </w:r>
          </w:p>
        </w:tc>
        <w:tc>
          <w:tcPr>
            <w:tcW w:w="140" w:type="dxa"/>
            <w:vAlign w:val="bottom"/>
          </w:tcPr>
          <w:p>
            <w:pPr>
              <w:spacing w:after="0"/>
              <w:rPr>
                <w:sz w:val="21"/>
                <w:szCs w:val="21"/>
                <w:color w:val="auto"/>
              </w:rPr>
            </w:pPr>
          </w:p>
        </w:tc>
        <w:tc>
          <w:tcPr>
            <w:tcW w:w="1280" w:type="dxa"/>
            <w:vAlign w:val="bottom"/>
            <w:gridSpan w:val="3"/>
          </w:tcPr>
          <w:p>
            <w:pPr>
              <w:jc w:val="right"/>
              <w:ind w:right="120"/>
              <w:spacing w:after="0"/>
              <w:rPr>
                <w:sz w:val="20"/>
                <w:szCs w:val="20"/>
                <w:color w:val="auto"/>
              </w:rPr>
            </w:pPr>
            <w:r>
              <w:rPr>
                <w:rFonts w:ascii="Arial" w:cs="Arial" w:eastAsia="Arial" w:hAnsi="Arial"/>
                <w:sz w:val="18"/>
                <w:szCs w:val="18"/>
                <w:color w:val="auto"/>
              </w:rPr>
              <w:t>(0.1 )%</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(0.0 )%</w:t>
            </w:r>
          </w:p>
        </w:tc>
        <w:tc>
          <w:tcPr>
            <w:tcW w:w="0" w:type="dxa"/>
            <w:vAlign w:val="bottom"/>
          </w:tcPr>
          <w:p>
            <w:pPr>
              <w:spacing w:after="0"/>
              <w:rPr>
                <w:sz w:val="1"/>
                <w:szCs w:val="1"/>
                <w:color w:val="auto"/>
              </w:rPr>
            </w:pPr>
          </w:p>
        </w:tc>
      </w:tr>
      <w:tr>
        <w:trPr>
          <w:trHeight w:val="230"/>
        </w:trPr>
        <w:tc>
          <w:tcPr>
            <w:tcW w:w="5060" w:type="dxa"/>
            <w:vAlign w:val="bottom"/>
          </w:tcPr>
          <w:p>
            <w:pPr>
              <w:ind w:left="20"/>
              <w:spacing w:after="0"/>
              <w:rPr>
                <w:sz w:val="20"/>
                <w:szCs w:val="20"/>
                <w:color w:val="auto"/>
              </w:rPr>
            </w:pPr>
            <w:r>
              <w:rPr>
                <w:rFonts w:ascii="Arial" w:cs="Arial" w:eastAsia="Arial" w:hAnsi="Arial"/>
                <w:sz w:val="18"/>
                <w:szCs w:val="18"/>
                <w:color w:val="auto"/>
              </w:rPr>
              <w:t>(Loss) income before income tax</w:t>
            </w: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(4,668</w:t>
            </w:r>
          </w:p>
        </w:tc>
        <w:tc>
          <w:tcPr>
            <w:tcW w:w="240" w:type="dxa"/>
            <w:vAlign w:val="bottom"/>
          </w:tcPr>
          <w:p>
            <w:pPr>
              <w:jc w:val="right"/>
              <w:ind w:right="10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1,291</w:t>
            </w:r>
          </w:p>
        </w:tc>
        <w:tc>
          <w:tcPr>
            <w:tcW w:w="220" w:type="dxa"/>
            <w:vAlign w:val="bottom"/>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NM</w:t>
            </w:r>
          </w:p>
        </w:tc>
        <w:tc>
          <w:tcPr>
            <w:tcW w:w="2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(23.0</w:t>
            </w:r>
          </w:p>
        </w:tc>
        <w:tc>
          <w:tcPr>
            <w:tcW w:w="220" w:type="dxa"/>
            <w:vAlign w:val="bottom"/>
          </w:tcPr>
          <w:p>
            <w:pPr>
              <w:ind w:left="20"/>
              <w:spacing w:after="0"/>
              <w:rPr>
                <w:sz w:val="20"/>
                <w:szCs w:val="20"/>
                <w:color w:val="auto"/>
              </w:rPr>
            </w:pPr>
            <w:r>
              <w:rPr>
                <w:rFonts w:ascii="Arial" w:cs="Arial" w:eastAsia="Arial" w:hAnsi="Arial"/>
                <w:sz w:val="18"/>
                <w:szCs w:val="18"/>
                <w:color w:val="auto"/>
                <w:w w:val="81"/>
              </w:rPr>
              <w:t>)%</w:t>
            </w: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20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49"/>
        </w:trPr>
        <w:tc>
          <w:tcPr>
            <w:tcW w:w="5060" w:type="dxa"/>
            <w:vAlign w:val="bottom"/>
          </w:tcPr>
          <w:p>
            <w:pPr>
              <w:ind w:left="20"/>
              <w:spacing w:after="0"/>
              <w:rPr>
                <w:sz w:val="20"/>
                <w:szCs w:val="20"/>
                <w:color w:val="auto"/>
              </w:rPr>
            </w:pPr>
            <w:r>
              <w:rPr>
                <w:rFonts w:ascii="Arial" w:cs="Arial" w:eastAsia="Arial" w:hAnsi="Arial"/>
                <w:sz w:val="18"/>
                <w:szCs w:val="18"/>
                <w:color w:val="auto"/>
              </w:rPr>
              <w:t>Income tax (benefit) expense</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19,391</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189</w:t>
            </w:r>
          </w:p>
        </w:tc>
        <w:tc>
          <w:tcPr>
            <w:tcW w:w="220" w:type="dxa"/>
            <w:vAlign w:val="bottom"/>
          </w:tcPr>
          <w:p>
            <w:pPr>
              <w:spacing w:after="0"/>
              <w:rPr>
                <w:sz w:val="21"/>
                <w:szCs w:val="21"/>
                <w:color w:val="auto"/>
              </w:rPr>
            </w:pPr>
          </w:p>
        </w:tc>
        <w:tc>
          <w:tcPr>
            <w:tcW w:w="1440" w:type="dxa"/>
            <w:vAlign w:val="bottom"/>
            <w:gridSpan w:val="3"/>
          </w:tcPr>
          <w:p>
            <w:pPr>
              <w:jc w:val="right"/>
              <w:ind w:right="360"/>
              <w:spacing w:after="0"/>
              <w:rPr>
                <w:sz w:val="20"/>
                <w:szCs w:val="20"/>
                <w:color w:val="auto"/>
              </w:rPr>
            </w:pPr>
            <w:r>
              <w:rPr>
                <w:rFonts w:ascii="Arial" w:cs="Arial" w:eastAsia="Arial" w:hAnsi="Arial"/>
                <w:sz w:val="18"/>
                <w:szCs w:val="18"/>
                <w:color w:val="auto"/>
              </w:rPr>
              <w:t>NM</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95.6 %</w:t>
            </w:r>
          </w:p>
        </w:tc>
        <w:tc>
          <w:tcPr>
            <w:tcW w:w="12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0.6 %</w:t>
            </w:r>
          </w:p>
        </w:tc>
        <w:tc>
          <w:tcPr>
            <w:tcW w:w="0" w:type="dxa"/>
            <w:vAlign w:val="bottom"/>
          </w:tcPr>
          <w:p>
            <w:pPr>
              <w:spacing w:after="0"/>
              <w:rPr>
                <w:sz w:val="1"/>
                <w:szCs w:val="1"/>
                <w:color w:val="auto"/>
              </w:rPr>
            </w:pPr>
          </w:p>
        </w:tc>
      </w:tr>
      <w:tr>
        <w:trPr>
          <w:trHeight w:val="230"/>
        </w:trPr>
        <w:tc>
          <w:tcPr>
            <w:tcW w:w="5060" w:type="dxa"/>
            <w:vAlign w:val="bottom"/>
          </w:tcPr>
          <w:p>
            <w:pPr>
              <w:ind w:left="20"/>
              <w:spacing w:after="0"/>
              <w:rPr>
                <w:sz w:val="20"/>
                <w:szCs w:val="20"/>
                <w:color w:val="auto"/>
              </w:rPr>
            </w:pPr>
            <w:r>
              <w:rPr>
                <w:rFonts w:ascii="Arial" w:cs="Arial" w:eastAsia="Arial" w:hAnsi="Arial"/>
                <w:sz w:val="18"/>
                <w:szCs w:val="18"/>
                <w:color w:val="auto"/>
              </w:rPr>
              <w:t>Net (loss) income</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(24,059</w:t>
            </w:r>
          </w:p>
        </w:tc>
        <w:tc>
          <w:tcPr>
            <w:tcW w:w="240" w:type="dxa"/>
            <w:vAlign w:val="bottom"/>
          </w:tcPr>
          <w:p>
            <w:pPr>
              <w:jc w:val="right"/>
              <w:ind w:right="10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1,102</w:t>
            </w:r>
          </w:p>
        </w:tc>
        <w:tc>
          <w:tcPr>
            <w:tcW w:w="220" w:type="dxa"/>
            <w:vAlign w:val="bottom"/>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NM</w:t>
            </w:r>
          </w:p>
        </w:tc>
        <w:tc>
          <w:tcPr>
            <w:tcW w:w="2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(118.6</w:t>
            </w:r>
          </w:p>
        </w:tc>
        <w:tc>
          <w:tcPr>
            <w:tcW w:w="220" w:type="dxa"/>
            <w:vAlign w:val="bottom"/>
          </w:tcPr>
          <w:p>
            <w:pPr>
              <w:ind w:left="20"/>
              <w:spacing w:after="0"/>
              <w:rPr>
                <w:sz w:val="20"/>
                <w:szCs w:val="20"/>
                <w:color w:val="auto"/>
              </w:rPr>
            </w:pPr>
            <w:r>
              <w:rPr>
                <w:rFonts w:ascii="Arial" w:cs="Arial" w:eastAsia="Arial" w:hAnsi="Arial"/>
                <w:sz w:val="18"/>
                <w:szCs w:val="18"/>
                <w:color w:val="auto"/>
                <w:w w:val="81"/>
              </w:rPr>
              <w:t>)%</w:t>
            </w: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20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-2662555</wp:posOffset>
            </wp:positionV>
            <wp:extent cx="7132320" cy="15430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-2346325</wp:posOffset>
            </wp:positionV>
            <wp:extent cx="7132320" cy="15430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-2037715</wp:posOffset>
            </wp:positionV>
            <wp:extent cx="7132320" cy="47942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4794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-1403985</wp:posOffset>
            </wp:positionV>
            <wp:extent cx="7132320" cy="15430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-1096010</wp:posOffset>
            </wp:positionV>
            <wp:extent cx="7132320" cy="47117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4711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-462280</wp:posOffset>
            </wp:positionV>
            <wp:extent cx="7132320" cy="15430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970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NM - Not Meaningful</w:t>
      </w:r>
    </w:p>
    <w:p>
      <w:pPr>
        <w:spacing w:after="0" w:line="176" w:lineRule="exact"/>
        <w:rPr>
          <w:sz w:val="20"/>
          <w:szCs w:val="20"/>
          <w:color w:val="auto"/>
        </w:rPr>
      </w:pPr>
    </w:p>
    <w:p>
      <w:pPr>
        <w:jc w:val="both"/>
        <w:ind w:right="100" w:firstLine="464"/>
        <w:spacing w:after="0" w:line="253" w:lineRule="auto"/>
        <w:rPr>
          <w:sz w:val="20"/>
          <w:szCs w:val="20"/>
          <w:color w:val="auto"/>
        </w:rPr>
      </w:pPr>
      <w:r>
        <w:rPr>
          <w:rFonts w:ascii="Arial" w:cs="Arial" w:eastAsia="Arial" w:hAnsi="Arial"/>
          <w:sz w:val="18"/>
          <w:szCs w:val="18"/>
          <w:i w:val="1"/>
          <w:iCs w:val="1"/>
          <w:color w:val="auto"/>
        </w:rPr>
        <w:t xml:space="preserve">Revenue, Cost of Revenue and Gross Margin. </w:t>
      </w:r>
      <w:r>
        <w:rPr>
          <w:rFonts w:ascii="Arial" w:cs="Arial" w:eastAsia="Arial" w:hAnsi="Arial"/>
          <w:sz w:val="18"/>
          <w:szCs w:val="18"/>
          <w:color w:val="auto"/>
        </w:rPr>
        <w:t>Product revenue decreased 30.6%, or $6.8 million, for the third quarter of fiscal 2023 versus the third</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of fiscal 2022. Service revenue decreased 42.6%, or $3.6 million, for the third quarter of fiscal 2023 versus the third quarter of fiscal 2022. The decrease in product and service revenue was due to the expected significantly lower revenues from our largest customer and comparatively lower project volume from other customers. The revenue from our existing large national retail customer represented 18.2% of total revenue in the third quarter of fiscal 2023 compared to 48.6% in the third quarter of fiscal 2022. The decrease in the third quarter revenue was partially offset by revenues due to the acquisitions of Stay-Lite Lighting and Voltrek. Cost of product revenue decreased by 30.1%, or $4.9 million, in the third quarter of fiscal 2023 versus the comparable period in fiscal 2022. Cost of service revenue decreased by 39.4%, or $2.6 million, in the third quarter of fiscal 2023 versus the comparable period in fiscal 2022. The decrease in product and service costs was primarily due to the decrease in revenue. Gross margin decreased from 24.9% of revenue in the third quarter of fiscal 2022 to 23.6% in the third quarter of fiscal 2023, due primarily to reduced sales decreasing the absorption of fixed costs.</w:t>
      </w:r>
    </w:p>
    <w:p>
      <w:pPr>
        <w:spacing w:after="0" w:line="218"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Operating Expenses</w:t>
      </w:r>
    </w:p>
    <w:p>
      <w:pPr>
        <w:spacing w:after="0" w:line="171" w:lineRule="exact"/>
        <w:rPr>
          <w:sz w:val="20"/>
          <w:szCs w:val="20"/>
          <w:color w:val="auto"/>
        </w:rPr>
      </w:pPr>
    </w:p>
    <w:p>
      <w:pPr>
        <w:jc w:val="both"/>
        <w:ind w:right="100" w:firstLine="464"/>
        <w:spacing w:after="0" w:line="263"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General and administrative expenses increased 38.7%, or $1.1 million, in the third quarter of fiscal 2023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third quarter of fiscal 2022. This comparative increase was primarily due to the acquisitions of Stay-Lite Lighting and Voltrek and an acceleration of stock-based compensation expense due to retirement-related modifications of existing restricted stock awards.</w:t>
      </w:r>
    </w:p>
    <w:p>
      <w:pPr>
        <w:spacing w:after="0" w:line="129" w:lineRule="exact"/>
        <w:rPr>
          <w:sz w:val="20"/>
          <w:szCs w:val="20"/>
          <w:color w:val="auto"/>
        </w:rPr>
      </w:pPr>
    </w:p>
    <w:p>
      <w:pPr>
        <w:jc w:val="both"/>
        <w:ind w:right="100" w:firstLine="464"/>
        <w:spacing w:after="0" w:line="277" w:lineRule="auto"/>
        <w:rPr>
          <w:sz w:val="20"/>
          <w:szCs w:val="20"/>
          <w:color w:val="auto"/>
        </w:rPr>
      </w:pPr>
      <w:r>
        <w:rPr>
          <w:rFonts w:ascii="Arial" w:cs="Arial" w:eastAsia="Arial" w:hAnsi="Arial"/>
          <w:sz w:val="18"/>
          <w:szCs w:val="18"/>
          <w:i w:val="1"/>
          <w:iCs w:val="1"/>
          <w:color w:val="auto"/>
        </w:rPr>
        <w:t xml:space="preserve">Acquisition Costs. </w:t>
      </w:r>
      <w:r>
        <w:rPr>
          <w:rFonts w:ascii="Arial" w:cs="Arial" w:eastAsia="Arial" w:hAnsi="Arial"/>
          <w:sz w:val="18"/>
          <w:szCs w:val="18"/>
          <w:color w:val="auto"/>
        </w:rPr>
        <w:t>Acquisition expenses increased $1.8 million in the third quarter of fiscal 2023 compared to the third quarter of fiscal 2022. This</w:t>
      </w:r>
      <w:r>
        <w:rPr>
          <w:rFonts w:ascii="Arial" w:cs="Arial" w:eastAsia="Arial" w:hAnsi="Arial"/>
          <w:sz w:val="18"/>
          <w:szCs w:val="18"/>
          <w:i w:val="1"/>
          <w:iCs w:val="1"/>
          <w:color w:val="auto"/>
        </w:rPr>
        <w:t xml:space="preserve"> </w:t>
      </w:r>
      <w:r>
        <w:rPr>
          <w:rFonts w:ascii="Arial" w:cs="Arial" w:eastAsia="Arial" w:hAnsi="Arial"/>
          <w:sz w:val="18"/>
          <w:szCs w:val="18"/>
          <w:color w:val="auto"/>
        </w:rPr>
        <w:t>comparative increase was primarily due to the earnout expense of $1.5 million related to the acquisition of Voltrek.</w:t>
      </w:r>
    </w:p>
    <w:p>
      <w:pPr>
        <w:spacing w:after="0" w:line="116" w:lineRule="exact"/>
        <w:rPr>
          <w:sz w:val="20"/>
          <w:szCs w:val="20"/>
          <w:color w:val="auto"/>
        </w:rPr>
      </w:pPr>
    </w:p>
    <w:p>
      <w:pPr>
        <w:jc w:val="both"/>
        <w:ind w:right="100" w:firstLine="464"/>
        <w:spacing w:after="0" w:line="263"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Sales and marketing expenses increased 4.2%, or $0.1 million, in the third quarter of fiscal 2023 compared to the third quarter</w:t>
      </w:r>
      <w:r>
        <w:rPr>
          <w:rFonts w:ascii="Arial" w:cs="Arial" w:eastAsia="Arial" w:hAnsi="Arial"/>
          <w:sz w:val="18"/>
          <w:szCs w:val="18"/>
          <w:i w:val="1"/>
          <w:iCs w:val="1"/>
          <w:color w:val="auto"/>
        </w:rPr>
        <w:t xml:space="preserve"> </w:t>
      </w:r>
      <w:r>
        <w:rPr>
          <w:rFonts w:ascii="Arial" w:cs="Arial" w:eastAsia="Arial" w:hAnsi="Arial"/>
          <w:sz w:val="18"/>
          <w:szCs w:val="18"/>
          <w:color w:val="auto"/>
        </w:rPr>
        <w:t>of fiscal 2022, reflecting a reduction in commission expense on lower sales, partially offset by costs of the acquired businesses which were not in the prior period.</w:t>
      </w:r>
    </w:p>
    <w:p>
      <w:pPr>
        <w:spacing w:after="0" w:line="183"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593" w:right="239" w:bottom="1440" w:gutter="0" w:footer="0" w:header="0"/>
        </w:sectPr>
      </w:pPr>
    </w:p>
    <w:bookmarkStart w:id="26" w:name="page27"/>
    <w:bookmarkEnd w:id="26"/>
    <w:p>
      <w:pPr>
        <w:jc w:val="both"/>
        <w:ind w:right="100" w:firstLine="464"/>
        <w:spacing w:after="0" w:line="277" w:lineRule="auto"/>
        <w:rPr>
          <w:sz w:val="20"/>
          <w:szCs w:val="20"/>
          <w:color w:val="auto"/>
        </w:rPr>
      </w:pPr>
      <w:r>
        <w:rPr>
          <w:rFonts w:ascii="Arial" w:cs="Arial" w:eastAsia="Arial" w:hAnsi="Arial"/>
          <w:sz w:val="18"/>
          <w:szCs w:val="18"/>
          <w:i w:val="1"/>
          <w:iCs w:val="1"/>
          <w:color w:val="auto"/>
        </w:rPr>
        <w:t xml:space="preserve">Research and Development. </w:t>
      </w:r>
      <w:r>
        <w:rPr>
          <w:rFonts w:ascii="Arial" w:cs="Arial" w:eastAsia="Arial" w:hAnsi="Arial"/>
          <w:sz w:val="18"/>
          <w:szCs w:val="18"/>
          <w:color w:val="auto"/>
        </w:rPr>
        <w:t>Research and development expenses were relatively flat, in the third quarter of fiscal 2023 compared to the third quarter</w:t>
      </w:r>
      <w:r>
        <w:rPr>
          <w:rFonts w:ascii="Arial" w:cs="Arial" w:eastAsia="Arial" w:hAnsi="Arial"/>
          <w:sz w:val="18"/>
          <w:szCs w:val="18"/>
          <w:i w:val="1"/>
          <w:iCs w:val="1"/>
          <w:color w:val="auto"/>
        </w:rPr>
        <w:t xml:space="preserve"> </w:t>
      </w:r>
      <w:r>
        <w:rPr>
          <w:rFonts w:ascii="Arial" w:cs="Arial" w:eastAsia="Arial" w:hAnsi="Arial"/>
          <w:sz w:val="18"/>
          <w:szCs w:val="18"/>
          <w:color w:val="auto"/>
        </w:rPr>
        <w:t>of fiscal 2022.</w:t>
      </w:r>
    </w:p>
    <w:p>
      <w:pPr>
        <w:spacing w:after="0" w:line="116" w:lineRule="exact"/>
        <w:rPr>
          <w:sz w:val="20"/>
          <w:szCs w:val="20"/>
          <w:color w:val="auto"/>
        </w:rPr>
      </w:pPr>
    </w:p>
    <w:p>
      <w:pPr>
        <w:jc w:val="both"/>
        <w:ind w:right="100" w:firstLine="464"/>
        <w:spacing w:after="0" w:line="277"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Based on our recent financial results and near-term expectations, a non-cash tax charge of $17.8 million has been recorded as a result</w:t>
      </w:r>
      <w:r>
        <w:rPr>
          <w:rFonts w:ascii="Arial" w:cs="Arial" w:eastAsia="Arial" w:hAnsi="Arial"/>
          <w:sz w:val="18"/>
          <w:szCs w:val="18"/>
          <w:i w:val="1"/>
          <w:iCs w:val="1"/>
          <w:color w:val="auto"/>
        </w:rPr>
        <w:t xml:space="preserve"> </w:t>
      </w:r>
      <w:r>
        <w:rPr>
          <w:rFonts w:ascii="Arial" w:cs="Arial" w:eastAsia="Arial" w:hAnsi="Arial"/>
          <w:sz w:val="18"/>
          <w:szCs w:val="18"/>
          <w:color w:val="auto"/>
        </w:rPr>
        <w:t>of the conclusion that it is more likely than not that the domestic deferred tax assets will not be realized.</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Orion Services Group Division</w:t>
      </w:r>
    </w:p>
    <w:p>
      <w:pPr>
        <w:spacing w:after="0" w:line="175" w:lineRule="exact"/>
        <w:rPr>
          <w:sz w:val="20"/>
          <w:szCs w:val="20"/>
          <w:color w:val="auto"/>
        </w:rPr>
      </w:pPr>
    </w:p>
    <w:p>
      <w:pPr>
        <w:jc w:val="both"/>
        <w:ind w:right="100" w:firstLine="469"/>
        <w:spacing w:after="0" w:line="263" w:lineRule="auto"/>
        <w:rPr>
          <w:sz w:val="20"/>
          <w:szCs w:val="20"/>
          <w:color w:val="auto"/>
        </w:rPr>
      </w:pPr>
      <w:r>
        <w:rPr>
          <w:rFonts w:ascii="Arial" w:cs="Arial" w:eastAsia="Arial" w:hAnsi="Arial"/>
          <w:sz w:val="18"/>
          <w:szCs w:val="18"/>
          <w:color w:val="auto"/>
        </w:rPr>
        <w:t>Our OSG segment develops and sells lighting products and provides construction, engineering along with installation and maintenance services for our commercial lighting and energy management systems. OSG provides engineering, design, lighting products and in many cases turnkey solutions for large national accounts, governments, municipalities, schools and other customers.</w:t>
      </w:r>
    </w:p>
    <w:p>
      <w:pPr>
        <w:spacing w:after="0" w:line="12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summarizes our OSG segment operating results (dollars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8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6"/>
          </w:tcPr>
          <w:p>
            <w:pPr>
              <w:jc w:val="right"/>
              <w:ind w:right="120"/>
              <w:spacing w:after="0"/>
              <w:rPr>
                <w:sz w:val="20"/>
                <w:szCs w:val="20"/>
                <w:color w:val="auto"/>
              </w:rPr>
            </w:pPr>
            <w:r>
              <w:rPr>
                <w:rFonts w:ascii="Arial" w:cs="Arial" w:eastAsia="Arial" w:hAnsi="Arial"/>
                <w:sz w:val="14"/>
                <w:szCs w:val="14"/>
                <w:b w:val="1"/>
                <w:bCs w:val="1"/>
                <w:color w:val="auto"/>
              </w:rPr>
              <w:t>Three Months Ended December 31,</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668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2022</w:t>
            </w: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jc w:val="right"/>
              <w:ind w:right="499"/>
              <w:spacing w:after="0" w:line="133"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668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4"/>
        </w:trPr>
        <w:tc>
          <w:tcPr>
            <w:tcW w:w="6680" w:type="dxa"/>
            <w:vAlign w:val="bottom"/>
          </w:tcPr>
          <w:p>
            <w:pPr>
              <w:ind w:left="20"/>
              <w:spacing w:after="0"/>
              <w:rPr>
                <w:sz w:val="20"/>
                <w:szCs w:val="20"/>
                <w:color w:val="auto"/>
              </w:rPr>
            </w:pPr>
            <w:r>
              <w:rPr>
                <w:rFonts w:ascii="Arial" w:cs="Arial" w:eastAsia="Arial" w:hAnsi="Arial"/>
                <w:sz w:val="18"/>
                <w:szCs w:val="18"/>
                <w:color w:val="auto"/>
              </w:rPr>
              <w:t>Revenues</w:t>
            </w:r>
          </w:p>
        </w:tc>
        <w:tc>
          <w:tcPr>
            <w:tcW w:w="880" w:type="dxa"/>
            <w:vAlign w:val="bottom"/>
            <w:tcBorders>
              <w:top w:val="single" w:sz="8" w:color="auto"/>
            </w:tcBorders>
          </w:tcPr>
          <w:p>
            <w:pPr>
              <w:jc w:val="right"/>
              <w:ind w:right="696"/>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8,623</w:t>
            </w:r>
          </w:p>
        </w:tc>
        <w:tc>
          <w:tcPr>
            <w:tcW w:w="240" w:type="dxa"/>
            <w:vAlign w:val="bottom"/>
          </w:tcPr>
          <w:p>
            <w:pPr>
              <w:spacing w:after="0"/>
              <w:rPr>
                <w:sz w:val="19"/>
                <w:szCs w:val="19"/>
                <w:color w:val="auto"/>
              </w:rPr>
            </w:pPr>
          </w:p>
        </w:tc>
        <w:tc>
          <w:tcPr>
            <w:tcW w:w="820" w:type="dxa"/>
            <w:vAlign w:val="bottom"/>
            <w:tcBorders>
              <w:top w:val="single" w:sz="8" w:color="auto"/>
            </w:tcBorders>
          </w:tcPr>
          <w:p>
            <w:pPr>
              <w:jc w:val="right"/>
              <w:ind w:right="636"/>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20,021</w:t>
            </w:r>
          </w:p>
        </w:tc>
        <w:tc>
          <w:tcPr>
            <w:tcW w:w="16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81"/>
              </w:rPr>
              <w:t>)%</w:t>
            </w:r>
          </w:p>
        </w:tc>
        <w:tc>
          <w:tcPr>
            <w:tcW w:w="0" w:type="dxa"/>
            <w:vAlign w:val="bottom"/>
          </w:tcPr>
          <w:p>
            <w:pPr>
              <w:spacing w:after="0"/>
              <w:rPr>
                <w:sz w:val="1"/>
                <w:szCs w:val="1"/>
                <w:color w:val="auto"/>
              </w:rPr>
            </w:pPr>
          </w:p>
        </w:tc>
      </w:tr>
      <w:tr>
        <w:trPr>
          <w:trHeight w:val="249"/>
        </w:trPr>
        <w:tc>
          <w:tcPr>
            <w:tcW w:w="6680" w:type="dxa"/>
            <w:vAlign w:val="bottom"/>
          </w:tcPr>
          <w:p>
            <w:pPr>
              <w:ind w:left="20"/>
              <w:spacing w:after="0"/>
              <w:rPr>
                <w:sz w:val="20"/>
                <w:szCs w:val="20"/>
                <w:color w:val="auto"/>
              </w:rPr>
            </w:pPr>
            <w:r>
              <w:rPr>
                <w:rFonts w:ascii="Arial" w:cs="Arial" w:eastAsia="Arial" w:hAnsi="Arial"/>
                <w:sz w:val="18"/>
                <w:szCs w:val="18"/>
                <w:color w:val="auto"/>
              </w:rPr>
              <w:t>Operating (loss) income</w:t>
            </w:r>
          </w:p>
        </w:tc>
        <w:tc>
          <w:tcPr>
            <w:tcW w:w="880" w:type="dxa"/>
            <w:vAlign w:val="bottom"/>
          </w:tcPr>
          <w:p>
            <w:pPr>
              <w:jc w:val="right"/>
              <w:ind w:right="696"/>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(1,858 )</w:t>
            </w:r>
          </w:p>
        </w:tc>
        <w:tc>
          <w:tcPr>
            <w:tcW w:w="820" w:type="dxa"/>
            <w:vAlign w:val="bottom"/>
          </w:tcPr>
          <w:p>
            <w:pPr>
              <w:jc w:val="right"/>
              <w:ind w:right="636"/>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970</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gridSpan w:val="3"/>
          </w:tcPr>
          <w:p>
            <w:pPr>
              <w:jc w:val="right"/>
              <w:ind w:righ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9"/>
        </w:trPr>
        <w:tc>
          <w:tcPr>
            <w:tcW w:w="6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margin</w:t>
            </w:r>
          </w:p>
        </w:tc>
        <w:tc>
          <w:tcPr>
            <w:tcW w:w="880" w:type="dxa"/>
            <w:vAlign w:val="bottom"/>
            <w:shd w:val="clear" w:color="auto" w:fill="CFF0FC"/>
          </w:tcPr>
          <w:p>
            <w:pPr>
              <w:spacing w:after="0"/>
              <w:rPr>
                <w:sz w:val="21"/>
                <w:szCs w:val="21"/>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(21.5 )%</w:t>
            </w:r>
          </w:p>
        </w:tc>
        <w:tc>
          <w:tcPr>
            <w:tcW w:w="820" w:type="dxa"/>
            <w:vAlign w:val="bottom"/>
            <w:shd w:val="clear" w:color="auto" w:fill="CFF0FC"/>
          </w:tcPr>
          <w:p>
            <w:pPr>
              <w:spacing w:after="0"/>
              <w:rPr>
                <w:sz w:val="21"/>
                <w:szCs w:val="21"/>
                <w:color w:val="auto"/>
              </w:rPr>
            </w:pPr>
          </w:p>
        </w:tc>
        <w:tc>
          <w:tcPr>
            <w:tcW w:w="980" w:type="dxa"/>
            <w:vAlign w:val="bottom"/>
            <w:gridSpan w:val="3"/>
            <w:shd w:val="clear" w:color="auto" w:fill="CFF0FC"/>
          </w:tcPr>
          <w:p>
            <w:pPr>
              <w:jc w:val="right"/>
              <w:ind w:right="300"/>
              <w:spacing w:after="0"/>
              <w:rPr>
                <w:sz w:val="20"/>
                <w:szCs w:val="20"/>
                <w:color w:val="auto"/>
              </w:rPr>
            </w:pPr>
            <w:r>
              <w:rPr>
                <w:rFonts w:ascii="Arial" w:cs="Arial" w:eastAsia="Arial" w:hAnsi="Arial"/>
                <w:sz w:val="18"/>
                <w:szCs w:val="18"/>
                <w:color w:val="auto"/>
              </w:rPr>
              <w:t>4.8 %</w:t>
            </w: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6680" w:type="dxa"/>
            <w:vAlign w:val="bottom"/>
          </w:tcPr>
          <w:p>
            <w:pPr>
              <w:spacing w:after="0"/>
              <w:rPr>
                <w:sz w:val="20"/>
                <w:szCs w:val="20"/>
                <w:color w:val="auto"/>
              </w:rPr>
            </w:pPr>
            <w:r>
              <w:rPr>
                <w:rFonts w:ascii="Arial" w:cs="Arial" w:eastAsia="Arial" w:hAnsi="Arial"/>
                <w:sz w:val="16"/>
                <w:szCs w:val="16"/>
                <w:color w:val="auto"/>
              </w:rPr>
              <w:t>* NM - Not Meaningful</w:t>
            </w:r>
          </w:p>
        </w:tc>
        <w:tc>
          <w:tcPr>
            <w:tcW w:w="8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-592455</wp:posOffset>
            </wp:positionV>
            <wp:extent cx="7132320" cy="15430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24" w:lineRule="exact"/>
        <w:rPr>
          <w:sz w:val="20"/>
          <w:szCs w:val="20"/>
          <w:color w:val="auto"/>
        </w:rPr>
      </w:pPr>
    </w:p>
    <w:p>
      <w:pPr>
        <w:jc w:val="both"/>
        <w:ind w:right="100" w:firstLine="469"/>
        <w:spacing w:after="0" w:line="259" w:lineRule="auto"/>
        <w:rPr>
          <w:sz w:val="20"/>
          <w:szCs w:val="20"/>
          <w:color w:val="auto"/>
        </w:rPr>
      </w:pPr>
      <w:r>
        <w:rPr>
          <w:rFonts w:ascii="Arial" w:cs="Arial" w:eastAsia="Arial" w:hAnsi="Arial"/>
          <w:sz w:val="18"/>
          <w:szCs w:val="18"/>
          <w:color w:val="auto"/>
        </w:rPr>
        <w:t>OSG segment revenue in the third quarter of fiscal 2023 decreased by 56.9%, or $11.4 million compared to the third quarter of fiscal 2022. The decrease in OSG segment revenue was due to a significant reduction of project volume from our largest customer and comparatively lower project volume from other customers. This revenue decrease was partially offset by the added revenue from Stay-Lite Lighting. This decrease led to a corresponding operating loss in this segment, as a result of decreased absorption of fixed costs.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Orion Distribution Services Division</w:t>
      </w:r>
    </w:p>
    <w:p>
      <w:pPr>
        <w:spacing w:after="0" w:line="175" w:lineRule="exact"/>
        <w:rPr>
          <w:sz w:val="20"/>
          <w:szCs w:val="20"/>
          <w:color w:val="auto"/>
        </w:rPr>
      </w:pPr>
    </w:p>
    <w:p>
      <w:pPr>
        <w:jc w:val="both"/>
        <w:ind w:right="100" w:firstLine="469"/>
        <w:spacing w:after="0" w:line="277" w:lineRule="auto"/>
        <w:rPr>
          <w:sz w:val="20"/>
          <w:szCs w:val="20"/>
          <w:color w:val="auto"/>
        </w:rPr>
      </w:pPr>
      <w:r>
        <w:rPr>
          <w:rFonts w:ascii="Arial" w:cs="Arial" w:eastAsia="Arial" w:hAnsi="Arial"/>
          <w:sz w:val="18"/>
          <w:szCs w:val="18"/>
          <w:color w:val="auto"/>
        </w:rPr>
        <w:t>Our ODS segment focuses on selling lighting products through manufacturer representative agencies and a network of North American broadline and electrical distributors and contractors.</w:t>
      </w:r>
    </w:p>
    <w:p>
      <w:pPr>
        <w:spacing w:after="0" w:line="11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summarizes our ODS segment operating results (dollars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8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6"/>
          </w:tcPr>
          <w:p>
            <w:pPr>
              <w:jc w:val="right"/>
              <w:ind w:right="120"/>
              <w:spacing w:after="0"/>
              <w:rPr>
                <w:sz w:val="20"/>
                <w:szCs w:val="20"/>
                <w:color w:val="auto"/>
              </w:rPr>
            </w:pPr>
            <w:r>
              <w:rPr>
                <w:rFonts w:ascii="Arial" w:cs="Arial" w:eastAsia="Arial" w:hAnsi="Arial"/>
                <w:sz w:val="14"/>
                <w:szCs w:val="14"/>
                <w:b w:val="1"/>
                <w:bCs w:val="1"/>
                <w:color w:val="auto"/>
              </w:rPr>
              <w:t>Three Months Ended December 31,</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668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2022</w:t>
            </w: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2021</w:t>
            </w: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jc w:val="right"/>
              <w:ind w:right="499"/>
              <w:spacing w:after="0" w:line="133"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66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4"/>
        </w:trPr>
        <w:tc>
          <w:tcPr>
            <w:tcW w:w="6680" w:type="dxa"/>
            <w:vAlign w:val="bottom"/>
          </w:tcPr>
          <w:p>
            <w:pPr>
              <w:ind w:left="20"/>
              <w:spacing w:after="0"/>
              <w:rPr>
                <w:sz w:val="20"/>
                <w:szCs w:val="20"/>
                <w:color w:val="auto"/>
              </w:rPr>
            </w:pPr>
            <w:r>
              <w:rPr>
                <w:rFonts w:ascii="Arial" w:cs="Arial" w:eastAsia="Arial" w:hAnsi="Arial"/>
                <w:sz w:val="18"/>
                <w:szCs w:val="18"/>
                <w:color w:val="auto"/>
              </w:rPr>
              <w:t>Revenues</w:t>
            </w:r>
          </w:p>
        </w:tc>
        <w:tc>
          <w:tcPr>
            <w:tcW w:w="920" w:type="dxa"/>
            <w:vAlign w:val="bottom"/>
            <w:tcBorders>
              <w:top w:val="single" w:sz="8" w:color="auto"/>
            </w:tcBorders>
          </w:tcPr>
          <w:p>
            <w:pPr>
              <w:jc w:val="right"/>
              <w:ind w:right="736"/>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3,711</w:t>
            </w:r>
          </w:p>
        </w:tc>
        <w:tc>
          <w:tcPr>
            <w:tcW w:w="240" w:type="dxa"/>
            <w:vAlign w:val="bottom"/>
          </w:tcPr>
          <w:p>
            <w:pPr>
              <w:spacing w:after="0"/>
              <w:rPr>
                <w:sz w:val="19"/>
                <w:szCs w:val="19"/>
                <w:color w:val="auto"/>
              </w:rPr>
            </w:pPr>
          </w:p>
        </w:tc>
        <w:tc>
          <w:tcPr>
            <w:tcW w:w="860" w:type="dxa"/>
            <w:vAlign w:val="bottom"/>
            <w:tcBorders>
              <w:top w:val="single" w:sz="8" w:color="auto"/>
            </w:tcBorders>
          </w:tcPr>
          <w:p>
            <w:pPr>
              <w:jc w:val="right"/>
              <w:ind w:right="676"/>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4,942</w:t>
            </w:r>
          </w:p>
        </w:tc>
        <w:tc>
          <w:tcPr>
            <w:tcW w:w="16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81"/>
              </w:rPr>
              <w:t>)%</w:t>
            </w:r>
          </w:p>
        </w:tc>
        <w:tc>
          <w:tcPr>
            <w:tcW w:w="0" w:type="dxa"/>
            <w:vAlign w:val="bottom"/>
          </w:tcPr>
          <w:p>
            <w:pPr>
              <w:spacing w:after="0"/>
              <w:rPr>
                <w:sz w:val="1"/>
                <w:szCs w:val="1"/>
                <w:color w:val="auto"/>
              </w:rPr>
            </w:pPr>
          </w:p>
        </w:tc>
      </w:tr>
      <w:tr>
        <w:trPr>
          <w:trHeight w:val="249"/>
        </w:trPr>
        <w:tc>
          <w:tcPr>
            <w:tcW w:w="6680" w:type="dxa"/>
            <w:vAlign w:val="bottom"/>
          </w:tcPr>
          <w:p>
            <w:pPr>
              <w:ind w:left="20"/>
              <w:spacing w:after="0"/>
              <w:rPr>
                <w:sz w:val="20"/>
                <w:szCs w:val="20"/>
                <w:color w:val="auto"/>
              </w:rPr>
            </w:pPr>
            <w:r>
              <w:rPr>
                <w:rFonts w:ascii="Arial" w:cs="Arial" w:eastAsia="Arial" w:hAnsi="Arial"/>
                <w:sz w:val="18"/>
                <w:szCs w:val="18"/>
                <w:color w:val="auto"/>
              </w:rPr>
              <w:t>Operating (loss) income</w:t>
            </w:r>
          </w:p>
        </w:tc>
        <w:tc>
          <w:tcPr>
            <w:tcW w:w="920" w:type="dxa"/>
            <w:vAlign w:val="bottom"/>
          </w:tcPr>
          <w:p>
            <w:pPr>
              <w:jc w:val="right"/>
              <w:ind w:right="736"/>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(77 )</w:t>
            </w:r>
          </w:p>
        </w:tc>
        <w:tc>
          <w:tcPr>
            <w:tcW w:w="860" w:type="dxa"/>
            <w:vAlign w:val="bottom"/>
          </w:tcPr>
          <w:p>
            <w:pPr>
              <w:jc w:val="right"/>
              <w:ind w:right="676"/>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491</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gridSpan w:val="3"/>
          </w:tcPr>
          <w:p>
            <w:pPr>
              <w:jc w:val="right"/>
              <w:ind w:righ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9"/>
        </w:trPr>
        <w:tc>
          <w:tcPr>
            <w:tcW w:w="6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margin</w:t>
            </w:r>
          </w:p>
        </w:tc>
        <w:tc>
          <w:tcPr>
            <w:tcW w:w="920" w:type="dxa"/>
            <w:vAlign w:val="bottom"/>
            <w:shd w:val="clear" w:color="auto" w:fill="CFF0FC"/>
          </w:tcPr>
          <w:p>
            <w:pPr>
              <w:spacing w:after="0"/>
              <w:rPr>
                <w:sz w:val="21"/>
                <w:szCs w:val="21"/>
                <w:color w:val="auto"/>
              </w:rPr>
            </w:pPr>
          </w:p>
        </w:tc>
        <w:tc>
          <w:tcPr>
            <w:tcW w:w="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(2.1 )%</w:t>
            </w:r>
          </w:p>
        </w:tc>
        <w:tc>
          <w:tcPr>
            <w:tcW w:w="860" w:type="dxa"/>
            <w:vAlign w:val="bottom"/>
            <w:shd w:val="clear" w:color="auto" w:fill="CFF0FC"/>
          </w:tcPr>
          <w:p>
            <w:pPr>
              <w:spacing w:after="0"/>
              <w:rPr>
                <w:sz w:val="21"/>
                <w:szCs w:val="21"/>
                <w:color w:val="auto"/>
              </w:rPr>
            </w:pPr>
          </w:p>
        </w:tc>
        <w:tc>
          <w:tcPr>
            <w:tcW w:w="940" w:type="dxa"/>
            <w:vAlign w:val="bottom"/>
            <w:gridSpan w:val="3"/>
            <w:shd w:val="clear" w:color="auto" w:fill="CFF0FC"/>
          </w:tcPr>
          <w:p>
            <w:pPr>
              <w:jc w:val="right"/>
              <w:ind w:right="300"/>
              <w:spacing w:after="0"/>
              <w:rPr>
                <w:sz w:val="20"/>
                <w:szCs w:val="20"/>
                <w:color w:val="auto"/>
              </w:rPr>
            </w:pPr>
            <w:r>
              <w:rPr>
                <w:rFonts w:ascii="Arial" w:cs="Arial" w:eastAsia="Arial" w:hAnsi="Arial"/>
                <w:sz w:val="18"/>
                <w:szCs w:val="18"/>
                <w:color w:val="auto"/>
              </w:rPr>
              <w:t>9.9 %</w:t>
            </w: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6680" w:type="dxa"/>
            <w:vAlign w:val="bottom"/>
          </w:tcPr>
          <w:p>
            <w:pPr>
              <w:spacing w:after="0"/>
              <w:rPr>
                <w:sz w:val="20"/>
                <w:szCs w:val="20"/>
                <w:color w:val="auto"/>
              </w:rPr>
            </w:pPr>
            <w:r>
              <w:rPr>
                <w:rFonts w:ascii="Arial" w:cs="Arial" w:eastAsia="Arial" w:hAnsi="Arial"/>
                <w:sz w:val="16"/>
                <w:szCs w:val="16"/>
                <w:color w:val="auto"/>
              </w:rPr>
              <w:t>* NM - Not Meaningful</w:t>
            </w:r>
          </w:p>
        </w:tc>
        <w:tc>
          <w:tcPr>
            <w:tcW w:w="9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-592455</wp:posOffset>
            </wp:positionV>
            <wp:extent cx="7132320" cy="15430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24" w:lineRule="exact"/>
        <w:rPr>
          <w:sz w:val="20"/>
          <w:szCs w:val="20"/>
          <w:color w:val="auto"/>
        </w:rPr>
      </w:pPr>
    </w:p>
    <w:p>
      <w:pPr>
        <w:ind w:right="100" w:firstLine="464"/>
        <w:spacing w:after="0" w:line="341" w:lineRule="auto"/>
        <w:rPr>
          <w:sz w:val="20"/>
          <w:szCs w:val="20"/>
          <w:color w:val="auto"/>
        </w:rPr>
      </w:pPr>
      <w:r>
        <w:rPr>
          <w:rFonts w:ascii="Arial" w:cs="Arial" w:eastAsia="Arial" w:hAnsi="Arial"/>
          <w:sz w:val="16"/>
          <w:szCs w:val="16"/>
          <w:color w:val="auto"/>
        </w:rPr>
        <w:t>ODS segment revenue in the third quarter of fiscal 2023 decreased by 24.9%, or $1.2 million, compared to the third quarter of fiscal 2022, primarily due to a decrease in sales to one customer. Operating income in this segment decreased as a result of increased allocation of corporate costs.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Orion U.S. Markets Division</w:t>
      </w:r>
    </w:p>
    <w:p>
      <w:pPr>
        <w:spacing w:after="0" w:line="175" w:lineRule="exact"/>
        <w:rPr>
          <w:sz w:val="20"/>
          <w:szCs w:val="20"/>
          <w:color w:val="auto"/>
        </w:rPr>
      </w:pPr>
    </w:p>
    <w:p>
      <w:pPr>
        <w:ind w:right="100" w:firstLine="469"/>
        <w:spacing w:after="0" w:line="277" w:lineRule="auto"/>
        <w:rPr>
          <w:sz w:val="20"/>
          <w:szCs w:val="20"/>
          <w:color w:val="auto"/>
        </w:rPr>
      </w:pPr>
      <w:r>
        <w:rPr>
          <w:rFonts w:ascii="Arial" w:cs="Arial" w:eastAsia="Arial" w:hAnsi="Arial"/>
          <w:sz w:val="18"/>
          <w:szCs w:val="18"/>
          <w:color w:val="auto"/>
        </w:rPr>
        <w:t>Our USM segment sells commercial lighting systems and energy management systems to the wholesale contractor markets. USM customers include ESCOs and contractors.</w:t>
      </w:r>
    </w:p>
    <w:p>
      <w:pPr>
        <w:spacing w:after="0" w:line="16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503" w:right="239" w:bottom="1440" w:gutter="0" w:footer="0" w:header="0"/>
        </w:sectPr>
      </w:pPr>
    </w:p>
    <w:bookmarkStart w:id="27" w:name="page28"/>
    <w:bookmarkEnd w:id="27"/>
    <w:p>
      <w:pPr>
        <w:ind w:left="480"/>
        <w:spacing w:after="0"/>
        <w:rPr>
          <w:sz w:val="20"/>
          <w:szCs w:val="20"/>
          <w:color w:val="auto"/>
        </w:rPr>
      </w:pPr>
      <w:r>
        <w:rPr>
          <w:rFonts w:ascii="Arial" w:cs="Arial" w:eastAsia="Arial" w:hAnsi="Arial"/>
          <w:sz w:val="18"/>
          <w:szCs w:val="18"/>
          <w:color w:val="auto"/>
        </w:rPr>
        <w:t>The following table summarizes our USM segment operating results (dollars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0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6"/>
          </w:tcPr>
          <w:p>
            <w:pPr>
              <w:jc w:val="right"/>
              <w:ind w:right="120"/>
              <w:spacing w:after="0"/>
              <w:rPr>
                <w:sz w:val="20"/>
                <w:szCs w:val="20"/>
                <w:color w:val="auto"/>
              </w:rPr>
            </w:pPr>
            <w:r>
              <w:rPr>
                <w:rFonts w:ascii="Arial" w:cs="Arial" w:eastAsia="Arial" w:hAnsi="Arial"/>
                <w:sz w:val="14"/>
                <w:szCs w:val="14"/>
                <w:b w:val="1"/>
                <w:bCs w:val="1"/>
                <w:color w:val="auto"/>
              </w:rPr>
              <w:t>Three Months Ended December 31,</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670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2022</w:t>
            </w: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2021</w:t>
            </w: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jc w:val="right"/>
              <w:ind w:right="499"/>
              <w:spacing w:after="0" w:line="133"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67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4"/>
        </w:trPr>
        <w:tc>
          <w:tcPr>
            <w:tcW w:w="6700" w:type="dxa"/>
            <w:vAlign w:val="bottom"/>
          </w:tcPr>
          <w:p>
            <w:pPr>
              <w:ind w:left="20"/>
              <w:spacing w:after="0"/>
              <w:rPr>
                <w:sz w:val="20"/>
                <w:szCs w:val="20"/>
                <w:color w:val="auto"/>
              </w:rPr>
            </w:pPr>
            <w:r>
              <w:rPr>
                <w:rFonts w:ascii="Arial" w:cs="Arial" w:eastAsia="Arial" w:hAnsi="Arial"/>
                <w:sz w:val="18"/>
                <w:szCs w:val="18"/>
                <w:color w:val="auto"/>
              </w:rPr>
              <w:t>Revenues</w:t>
            </w:r>
          </w:p>
        </w:tc>
        <w:tc>
          <w:tcPr>
            <w:tcW w:w="900" w:type="dxa"/>
            <w:vAlign w:val="bottom"/>
            <w:tcBorders>
              <w:top w:val="single" w:sz="8" w:color="auto"/>
            </w:tcBorders>
          </w:tcPr>
          <w:p>
            <w:pPr>
              <w:jc w:val="right"/>
              <w:ind w:right="716"/>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5,124</w:t>
            </w:r>
          </w:p>
        </w:tc>
        <w:tc>
          <w:tcPr>
            <w:tcW w:w="220" w:type="dxa"/>
            <w:vAlign w:val="bottom"/>
          </w:tcPr>
          <w:p>
            <w:pPr>
              <w:spacing w:after="0"/>
              <w:rPr>
                <w:sz w:val="19"/>
                <w:szCs w:val="19"/>
                <w:color w:val="auto"/>
              </w:rPr>
            </w:pPr>
          </w:p>
        </w:tc>
        <w:tc>
          <w:tcPr>
            <w:tcW w:w="880" w:type="dxa"/>
            <w:vAlign w:val="bottom"/>
            <w:tcBorders>
              <w:top w:val="single" w:sz="8" w:color="auto"/>
            </w:tcBorders>
          </w:tcPr>
          <w:p>
            <w:pPr>
              <w:jc w:val="right"/>
              <w:ind w:right="696"/>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5,751</w:t>
            </w:r>
          </w:p>
        </w:tc>
        <w:tc>
          <w:tcPr>
            <w:tcW w:w="16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81"/>
              </w:rPr>
              <w:t>)%</w:t>
            </w:r>
          </w:p>
        </w:tc>
        <w:tc>
          <w:tcPr>
            <w:tcW w:w="0" w:type="dxa"/>
            <w:vAlign w:val="bottom"/>
          </w:tcPr>
          <w:p>
            <w:pPr>
              <w:spacing w:after="0"/>
              <w:rPr>
                <w:sz w:val="1"/>
                <w:szCs w:val="1"/>
                <w:color w:val="auto"/>
              </w:rPr>
            </w:pPr>
          </w:p>
        </w:tc>
      </w:tr>
      <w:tr>
        <w:trPr>
          <w:trHeight w:val="249"/>
        </w:trPr>
        <w:tc>
          <w:tcPr>
            <w:tcW w:w="670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900" w:type="dxa"/>
            <w:vAlign w:val="bottom"/>
          </w:tcPr>
          <w:p>
            <w:pPr>
              <w:jc w:val="right"/>
              <w:ind w:right="716"/>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532</w:t>
            </w:r>
          </w:p>
        </w:tc>
        <w:tc>
          <w:tcPr>
            <w:tcW w:w="220" w:type="dxa"/>
            <w:vAlign w:val="bottom"/>
          </w:tcPr>
          <w:p>
            <w:pPr>
              <w:spacing w:after="0"/>
              <w:rPr>
                <w:sz w:val="21"/>
                <w:szCs w:val="21"/>
                <w:color w:val="auto"/>
              </w:rPr>
            </w:pPr>
          </w:p>
        </w:tc>
        <w:tc>
          <w:tcPr>
            <w:tcW w:w="880" w:type="dxa"/>
            <w:vAlign w:val="bottom"/>
          </w:tcPr>
          <w:p>
            <w:pPr>
              <w:jc w:val="right"/>
              <w:ind w:right="696"/>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7"/>
              </w:rPr>
              <w:t>1,250</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(57.4 )%</w:t>
            </w:r>
          </w:p>
        </w:tc>
        <w:tc>
          <w:tcPr>
            <w:tcW w:w="0" w:type="dxa"/>
            <w:vAlign w:val="bottom"/>
          </w:tcPr>
          <w:p>
            <w:pPr>
              <w:spacing w:after="0"/>
              <w:rPr>
                <w:sz w:val="1"/>
                <w:szCs w:val="1"/>
                <w:color w:val="auto"/>
              </w:rPr>
            </w:pPr>
          </w:p>
        </w:tc>
      </w:tr>
      <w:tr>
        <w:trPr>
          <w:trHeight w:val="249"/>
        </w:trPr>
        <w:tc>
          <w:tcPr>
            <w:tcW w:w="6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margin</w:t>
            </w:r>
          </w:p>
        </w:tc>
        <w:tc>
          <w:tcPr>
            <w:tcW w:w="90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10.4 %</w:t>
            </w:r>
          </w:p>
        </w:tc>
        <w:tc>
          <w:tcPr>
            <w:tcW w:w="880" w:type="dxa"/>
            <w:vAlign w:val="bottom"/>
            <w:shd w:val="clear" w:color="auto" w:fill="CFF0FC"/>
          </w:tcPr>
          <w:p>
            <w:pPr>
              <w:spacing w:after="0"/>
              <w:rPr>
                <w:sz w:val="21"/>
                <w:szCs w:val="21"/>
                <w:color w:val="auto"/>
              </w:rPr>
            </w:pPr>
          </w:p>
        </w:tc>
        <w:tc>
          <w:tcPr>
            <w:tcW w:w="940" w:type="dxa"/>
            <w:vAlign w:val="bottom"/>
            <w:gridSpan w:val="3"/>
            <w:shd w:val="clear" w:color="auto" w:fill="CFF0FC"/>
          </w:tcPr>
          <w:p>
            <w:pPr>
              <w:jc w:val="right"/>
              <w:ind w:right="300"/>
              <w:spacing w:after="0"/>
              <w:rPr>
                <w:sz w:val="20"/>
                <w:szCs w:val="20"/>
                <w:color w:val="auto"/>
              </w:rPr>
            </w:pPr>
            <w:r>
              <w:rPr>
                <w:rFonts w:ascii="Arial" w:cs="Arial" w:eastAsia="Arial" w:hAnsi="Arial"/>
                <w:sz w:val="18"/>
                <w:szCs w:val="18"/>
                <w:color w:val="auto"/>
              </w:rPr>
              <w:t>21.7 %</w:t>
            </w: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-461645</wp:posOffset>
            </wp:positionV>
            <wp:extent cx="7132320" cy="15430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81" w:lineRule="exact"/>
        <w:rPr>
          <w:sz w:val="20"/>
          <w:szCs w:val="20"/>
          <w:color w:val="auto"/>
        </w:rPr>
      </w:pPr>
    </w:p>
    <w:p>
      <w:pPr>
        <w:jc w:val="both"/>
        <w:ind w:right="100" w:firstLine="464"/>
        <w:spacing w:after="0" w:line="341" w:lineRule="auto"/>
        <w:rPr>
          <w:sz w:val="20"/>
          <w:szCs w:val="20"/>
          <w:color w:val="auto"/>
        </w:rPr>
      </w:pPr>
      <w:r>
        <w:rPr>
          <w:rFonts w:ascii="Arial" w:cs="Arial" w:eastAsia="Arial" w:hAnsi="Arial"/>
          <w:sz w:val="16"/>
          <w:szCs w:val="16"/>
          <w:color w:val="auto"/>
        </w:rPr>
        <w:t>USM segment revenue in the third quarter of fiscal 2023 decreased by 10.9%, or $0.6 million, compared to the third quarter of fiscal 2022, primarily due to a less diversified customer base. Operating income in this segment decreased as a result of lower revenue and increased allocation of corporate costs.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Orion Electric Vehicle Division</w:t>
      </w:r>
    </w:p>
    <w:p>
      <w:pPr>
        <w:spacing w:after="0" w:line="171" w:lineRule="exact"/>
        <w:rPr>
          <w:sz w:val="20"/>
          <w:szCs w:val="20"/>
          <w:color w:val="auto"/>
        </w:rPr>
      </w:pPr>
    </w:p>
    <w:p>
      <w:pPr>
        <w:jc w:val="both"/>
        <w:ind w:right="100" w:firstLine="464"/>
        <w:spacing w:after="0" w:line="277" w:lineRule="auto"/>
        <w:rPr>
          <w:sz w:val="20"/>
          <w:szCs w:val="20"/>
          <w:color w:val="auto"/>
        </w:rPr>
      </w:pPr>
      <w:r>
        <w:rPr>
          <w:rFonts w:ascii="Arial" w:cs="Arial" w:eastAsia="Arial" w:hAnsi="Arial"/>
          <w:sz w:val="18"/>
          <w:szCs w:val="18"/>
          <w:color w:val="auto"/>
        </w:rPr>
        <w:t>With the acquisition of Voltrek on October 5, 2022, our new EV segment offers leading electric vehicle charging expertise and provides turnkey solutions with ongoing support to all commercial verticals.</w:t>
      </w:r>
    </w:p>
    <w:p>
      <w:pPr>
        <w:spacing w:after="0" w:line="11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summarizes our EV segment operations results (dollars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58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6"/>
          </w:tcPr>
          <w:p>
            <w:pPr>
              <w:ind w:left="340"/>
              <w:spacing w:after="0"/>
              <w:rPr>
                <w:sz w:val="20"/>
                <w:szCs w:val="20"/>
                <w:color w:val="auto"/>
              </w:rPr>
            </w:pPr>
            <w:r>
              <w:rPr>
                <w:rFonts w:ascii="Arial" w:cs="Arial" w:eastAsia="Arial" w:hAnsi="Arial"/>
                <w:sz w:val="14"/>
                <w:szCs w:val="14"/>
                <w:b w:val="1"/>
                <w:bCs w:val="1"/>
                <w:color w:val="auto"/>
                <w:w w:val="99"/>
              </w:rPr>
              <w:t>Three Months Ended December 31,</w:t>
            </w: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658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2022</w:t>
            </w: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rPr>
              <w:t>2021</w:t>
            </w: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jc w:val="right"/>
              <w:ind w:right="559"/>
              <w:spacing w:after="0" w:line="13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5"/>
        </w:trPr>
        <w:tc>
          <w:tcPr>
            <w:tcW w:w="6580" w:type="dxa"/>
            <w:vAlign w:val="bottom"/>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259"/>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236"/>
        </w:trPr>
        <w:tc>
          <w:tcPr>
            <w:tcW w:w="6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Revenues</w:t>
            </w:r>
          </w:p>
        </w:tc>
        <w:tc>
          <w:tcPr>
            <w:tcW w:w="900" w:type="dxa"/>
            <w:vAlign w:val="bottom"/>
            <w:shd w:val="clear" w:color="auto" w:fill="CFF0FC"/>
          </w:tcPr>
          <w:p>
            <w:pPr>
              <w:jc w:val="right"/>
              <w:ind w:right="696"/>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2,830</w:t>
            </w: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jc w:val="right"/>
              <w:ind w:right="756"/>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FF0FC"/>
          </w:tcPr>
          <w:p>
            <w:pPr>
              <w:ind w:left="160"/>
              <w:spacing w:after="0"/>
              <w:rPr>
                <w:sz w:val="20"/>
                <w:szCs w:val="20"/>
                <w:color w:val="auto"/>
              </w:rPr>
            </w:pPr>
            <w:r>
              <w:rPr>
                <w:rFonts w:ascii="Arial" w:cs="Arial" w:eastAsia="Arial" w:hAnsi="Arial"/>
                <w:sz w:val="18"/>
                <w:szCs w:val="18"/>
                <w:color w:val="auto"/>
                <w:w w:val="88"/>
              </w:rPr>
              <w:t>—</w:t>
            </w:r>
          </w:p>
        </w:tc>
        <w:tc>
          <w:tcPr>
            <w:tcW w:w="2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080" w:type="dxa"/>
            <w:vAlign w:val="bottom"/>
            <w:shd w:val="clear" w:color="auto" w:fill="CFF0FC"/>
          </w:tcPr>
          <w:p>
            <w:pPr>
              <w:ind w:left="780"/>
              <w:spacing w:after="0"/>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r>
        <w:trPr>
          <w:trHeight w:val="236"/>
        </w:trPr>
        <w:tc>
          <w:tcPr>
            <w:tcW w:w="658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900" w:type="dxa"/>
            <w:vAlign w:val="bottom"/>
          </w:tcPr>
          <w:p>
            <w:pPr>
              <w:jc w:val="right"/>
              <w:ind w:right="696"/>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(1,500 )</w:t>
            </w:r>
          </w:p>
        </w:tc>
        <w:tc>
          <w:tcPr>
            <w:tcW w:w="940" w:type="dxa"/>
            <w:vAlign w:val="bottom"/>
          </w:tcPr>
          <w:p>
            <w:pPr>
              <w:jc w:val="right"/>
              <w:ind w:right="756"/>
              <w:spacing w:after="0"/>
              <w:rPr>
                <w:sz w:val="20"/>
                <w:szCs w:val="20"/>
                <w:color w:val="auto"/>
              </w:rPr>
            </w:pPr>
            <w:r>
              <w:rPr>
                <w:rFonts w:ascii="Arial" w:cs="Arial" w:eastAsia="Arial" w:hAnsi="Arial"/>
                <w:sz w:val="18"/>
                <w:szCs w:val="18"/>
                <w:color w:val="auto"/>
                <w:w w:val="79"/>
              </w:rPr>
              <w:t>$</w:t>
            </w:r>
          </w:p>
        </w:tc>
        <w:tc>
          <w:tcPr>
            <w:tcW w:w="94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1080" w:type="dxa"/>
            <w:vAlign w:val="bottom"/>
          </w:tcPr>
          <w:p>
            <w:pPr>
              <w:ind w:left="780"/>
              <w:spacing w:after="0"/>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r>
        <w:trPr>
          <w:trHeight w:val="249"/>
        </w:trPr>
        <w:tc>
          <w:tcPr>
            <w:tcW w:w="6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margin</w:t>
            </w:r>
          </w:p>
        </w:tc>
        <w:tc>
          <w:tcPr>
            <w:tcW w:w="90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(53.0 )%</w:t>
            </w:r>
          </w:p>
        </w:tc>
        <w:tc>
          <w:tcPr>
            <w:tcW w:w="940" w:type="dxa"/>
            <w:vAlign w:val="bottom"/>
            <w:shd w:val="clear" w:color="auto" w:fill="CFF0FC"/>
          </w:tcPr>
          <w:p>
            <w:pPr>
              <w:spacing w:after="0"/>
              <w:rPr>
                <w:sz w:val="21"/>
                <w:szCs w:val="21"/>
                <w:color w:val="auto"/>
              </w:rPr>
            </w:pPr>
          </w:p>
        </w:tc>
        <w:tc>
          <w:tcPr>
            <w:tcW w:w="940" w:type="dxa"/>
            <w:vAlign w:val="bottom"/>
            <w:gridSpan w:val="3"/>
            <w:shd w:val="clear" w:color="auto" w:fill="CFF0FC"/>
          </w:tcPr>
          <w:p>
            <w:pPr>
              <w:ind w:left="160"/>
              <w:spacing w:after="0"/>
              <w:rPr>
                <w:sz w:val="20"/>
                <w:szCs w:val="20"/>
                <w:color w:val="auto"/>
              </w:rPr>
            </w:pPr>
            <w:r>
              <w:rPr>
                <w:rFonts w:ascii="Arial" w:cs="Arial" w:eastAsia="Arial" w:hAnsi="Arial"/>
                <w:sz w:val="18"/>
                <w:szCs w:val="18"/>
                <w:color w:val="auto"/>
              </w:rPr>
              <w:t>— %</w:t>
            </w:r>
          </w:p>
        </w:tc>
        <w:tc>
          <w:tcPr>
            <w:tcW w:w="10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6580" w:type="dxa"/>
            <w:vAlign w:val="bottom"/>
          </w:tcPr>
          <w:p>
            <w:pPr>
              <w:spacing w:after="0"/>
              <w:rPr>
                <w:sz w:val="20"/>
                <w:szCs w:val="20"/>
                <w:color w:val="auto"/>
              </w:rPr>
            </w:pPr>
            <w:r>
              <w:rPr>
                <w:rFonts w:ascii="Arial" w:cs="Arial" w:eastAsia="Arial" w:hAnsi="Arial"/>
                <w:sz w:val="16"/>
                <w:szCs w:val="16"/>
                <w:color w:val="auto"/>
              </w:rPr>
              <w:t>* NM - Not Meaningful</w:t>
            </w:r>
          </w:p>
        </w:tc>
        <w:tc>
          <w:tcPr>
            <w:tcW w:w="9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ind w:right="100" w:firstLine="464"/>
        <w:spacing w:after="0" w:line="277" w:lineRule="auto"/>
        <w:rPr>
          <w:sz w:val="20"/>
          <w:szCs w:val="20"/>
          <w:color w:val="auto"/>
        </w:rPr>
      </w:pPr>
      <w:r>
        <w:rPr>
          <w:rFonts w:ascii="Arial" w:cs="Arial" w:eastAsia="Arial" w:hAnsi="Arial"/>
          <w:sz w:val="18"/>
          <w:szCs w:val="18"/>
          <w:color w:val="auto"/>
        </w:rPr>
        <w:t>EV segment revenue generated by Voltrek in the third quarter of fiscal 2023 was $2.8 million. Operating loss in this segment was primarily a result of $1.5 million earnout expense included in acquisition costs.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Nine Months Ended December 31, 2022 versus Nine Months Ended December 31, 2021</w:t>
      </w:r>
    </w:p>
    <w:p>
      <w:pPr>
        <w:spacing w:after="0" w:line="175" w:lineRule="exact"/>
        <w:rPr>
          <w:sz w:val="20"/>
          <w:szCs w:val="20"/>
          <w:color w:val="auto"/>
        </w:rPr>
      </w:pPr>
    </w:p>
    <w:p>
      <w:pPr>
        <w:jc w:val="both"/>
        <w:ind w:right="120" w:firstLine="464"/>
        <w:spacing w:after="0" w:line="263" w:lineRule="auto"/>
        <w:rPr>
          <w:sz w:val="20"/>
          <w:szCs w:val="20"/>
          <w:color w:val="auto"/>
        </w:rPr>
      </w:pPr>
      <w:r>
        <w:rPr>
          <w:rFonts w:ascii="Arial" w:cs="Arial" w:eastAsia="Arial" w:hAnsi="Arial"/>
          <w:sz w:val="18"/>
          <w:szCs w:val="18"/>
          <w:color w:val="auto"/>
        </w:rPr>
        <w:t>The following table sets forth the line items of our Condensed Consolidated Statements of Operations and as a relative percentage of our total revenue for each applicable period, together with the relative percentage change in such line item between applicable comparable periods (dollars in thousands, except percentages):</w:t>
      </w:r>
    </w:p>
    <w:p>
      <w:pPr>
        <w:spacing w:after="0" w:line="39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503" w:right="2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85"/>
        </w:trPr>
        <w:tc>
          <w:tcPr>
            <w:tcW w:w="50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740" w:type="dxa"/>
            <w:vAlign w:val="bottom"/>
            <w:tcBorders>
              <w:bottom w:val="single" w:sz="8" w:color="auto"/>
            </w:tcBorders>
            <w:gridSpan w:val="8"/>
          </w:tcPr>
          <w:p>
            <w:pPr>
              <w:jc w:val="right"/>
              <w:ind w:right="1080"/>
              <w:spacing w:after="0"/>
              <w:rPr>
                <w:sz w:val="20"/>
                <w:szCs w:val="20"/>
                <w:color w:val="auto"/>
              </w:rPr>
            </w:pPr>
            <w:r>
              <w:rPr>
                <w:rFonts w:ascii="Arial" w:cs="Arial" w:eastAsia="Arial" w:hAnsi="Arial"/>
                <w:sz w:val="14"/>
                <w:szCs w:val="14"/>
                <w:b w:val="1"/>
                <w:bCs w:val="1"/>
                <w:color w:val="auto"/>
              </w:rPr>
              <w:t>Nine Months Ended December 31,</w:t>
            </w:r>
          </w:p>
        </w:tc>
        <w:tc>
          <w:tcPr>
            <w:tcW w:w="9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0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89"/>
              </w:rPr>
              <w:t>2022</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6"/>
              </w:rPr>
              <w:t>2021</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0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1"/>
                <w:szCs w:val="11"/>
                <w:color w:val="auto"/>
              </w:rPr>
            </w:pPr>
          </w:p>
        </w:tc>
        <w:tc>
          <w:tcPr>
            <w:tcW w:w="102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Amount</w:t>
            </w:r>
          </w:p>
        </w:tc>
        <w:tc>
          <w:tcPr>
            <w:tcW w:w="1080" w:type="dxa"/>
            <w:vAlign w:val="bottom"/>
          </w:tcPr>
          <w:p>
            <w:pPr>
              <w:jc w:val="right"/>
              <w:ind w:right="372"/>
              <w:spacing w:after="0" w:line="133"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jc w:val="center"/>
              <w:ind w:right="73"/>
              <w:spacing w:after="0" w:line="133" w:lineRule="exact"/>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center"/>
              <w:ind w:right="53"/>
              <w:spacing w:after="0" w:line="133"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5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44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rPr>
              <w:t>Change</w:t>
            </w:r>
          </w:p>
        </w:tc>
        <w:tc>
          <w:tcPr>
            <w:tcW w:w="128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89"/>
              </w:rPr>
              <w:t>Revenue</w:t>
            </w:r>
          </w:p>
        </w:tc>
        <w:tc>
          <w:tcPr>
            <w:tcW w:w="1120" w:type="dxa"/>
            <w:vAlign w:val="bottom"/>
            <w:gridSpan w:val="2"/>
          </w:tcPr>
          <w:p>
            <w:pPr>
              <w:jc w:val="center"/>
              <w:ind w:right="250"/>
              <w:spacing w:after="0"/>
              <w:rPr>
                <w:sz w:val="20"/>
                <w:szCs w:val="20"/>
                <w:color w:val="auto"/>
              </w:rPr>
            </w:pPr>
            <w:r>
              <w:rPr>
                <w:rFonts w:ascii="Arial" w:cs="Arial" w:eastAsia="Arial" w:hAnsi="Arial"/>
                <w:sz w:val="14"/>
                <w:szCs w:val="14"/>
                <w:b w:val="1"/>
                <w:bCs w:val="1"/>
                <w:color w:val="auto"/>
                <w:w w:val="92"/>
              </w:rPr>
              <w:t>Revenue</w:t>
            </w:r>
          </w:p>
        </w:tc>
        <w:tc>
          <w:tcPr>
            <w:tcW w:w="0" w:type="dxa"/>
            <w:vAlign w:val="bottom"/>
          </w:tcPr>
          <w:p>
            <w:pPr>
              <w:spacing w:after="0"/>
              <w:rPr>
                <w:sz w:val="1"/>
                <w:szCs w:val="1"/>
                <w:color w:val="auto"/>
              </w:rPr>
            </w:pPr>
          </w:p>
        </w:tc>
      </w:tr>
      <w:tr>
        <w:trPr>
          <w:trHeight w:val="224"/>
        </w:trPr>
        <w:tc>
          <w:tcPr>
            <w:tcW w:w="5060" w:type="dxa"/>
            <w:vAlign w:val="bottom"/>
          </w:tcPr>
          <w:p>
            <w:pPr>
              <w:ind w:left="20"/>
              <w:spacing w:after="0"/>
              <w:rPr>
                <w:sz w:val="20"/>
                <w:szCs w:val="20"/>
                <w:color w:val="auto"/>
              </w:rPr>
            </w:pPr>
            <w:r>
              <w:rPr>
                <w:rFonts w:ascii="Arial" w:cs="Arial" w:eastAsia="Arial" w:hAnsi="Arial"/>
                <w:sz w:val="18"/>
                <w:szCs w:val="18"/>
                <w:color w:val="auto"/>
              </w:rPr>
              <w:t>Product revenue</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41,715</w:t>
            </w:r>
          </w:p>
        </w:tc>
        <w:tc>
          <w:tcPr>
            <w:tcW w:w="24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78,260</w:t>
            </w:r>
          </w:p>
        </w:tc>
        <w:tc>
          <w:tcPr>
            <w:tcW w:w="220" w:type="dxa"/>
            <w:vAlign w:val="bottom"/>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(46.7</w:t>
            </w:r>
          </w:p>
        </w:tc>
        <w:tc>
          <w:tcPr>
            <w:tcW w:w="220" w:type="dxa"/>
            <w:vAlign w:val="bottom"/>
          </w:tcPr>
          <w:p>
            <w:pPr>
              <w:jc w:val="right"/>
              <w:spacing w:after="0"/>
              <w:rPr>
                <w:sz w:val="20"/>
                <w:szCs w:val="20"/>
                <w:color w:val="auto"/>
              </w:rPr>
            </w:pPr>
            <w:r>
              <w:rPr>
                <w:rFonts w:ascii="Arial" w:cs="Arial" w:eastAsia="Arial" w:hAnsi="Arial"/>
                <w:sz w:val="18"/>
                <w:szCs w:val="18"/>
                <w:color w:val="auto"/>
                <w:w w:val="90"/>
              </w:rPr>
              <w:t>)%</w:t>
            </w:r>
          </w:p>
        </w:tc>
        <w:tc>
          <w:tcPr>
            <w:tcW w:w="1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74.8</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76.5</w:t>
            </w:r>
          </w:p>
        </w:tc>
        <w:tc>
          <w:tcPr>
            <w:tcW w:w="20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49"/>
        </w:trPr>
        <w:tc>
          <w:tcPr>
            <w:tcW w:w="5060" w:type="dxa"/>
            <w:vAlign w:val="bottom"/>
          </w:tcPr>
          <w:p>
            <w:pPr>
              <w:ind w:left="20"/>
              <w:spacing w:after="0"/>
              <w:rPr>
                <w:sz w:val="20"/>
                <w:szCs w:val="20"/>
                <w:color w:val="auto"/>
              </w:rPr>
            </w:pPr>
            <w:r>
              <w:rPr>
                <w:rFonts w:ascii="Arial" w:cs="Arial" w:eastAsia="Arial" w:hAnsi="Arial"/>
                <w:sz w:val="18"/>
                <w:szCs w:val="18"/>
                <w:color w:val="auto"/>
              </w:rPr>
              <w:t>Service revenue</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14,039</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24,065</w:t>
            </w:r>
          </w:p>
        </w:tc>
        <w:tc>
          <w:tcPr>
            <w:tcW w:w="220" w:type="dxa"/>
            <w:vAlign w:val="bottom"/>
          </w:tcPr>
          <w:p>
            <w:pPr>
              <w:spacing w:after="0"/>
              <w:rPr>
                <w:sz w:val="21"/>
                <w:szCs w:val="21"/>
                <w:color w:val="auto"/>
              </w:rPr>
            </w:pPr>
          </w:p>
        </w:tc>
        <w:tc>
          <w:tcPr>
            <w:tcW w:w="1440" w:type="dxa"/>
            <w:vAlign w:val="bottom"/>
            <w:gridSpan w:val="3"/>
          </w:tcPr>
          <w:p>
            <w:pPr>
              <w:jc w:val="right"/>
              <w:ind w:right="140"/>
              <w:spacing w:after="0"/>
              <w:rPr>
                <w:sz w:val="20"/>
                <w:szCs w:val="20"/>
                <w:color w:val="auto"/>
              </w:rPr>
            </w:pPr>
            <w:r>
              <w:rPr>
                <w:rFonts w:ascii="Arial" w:cs="Arial" w:eastAsia="Arial" w:hAnsi="Arial"/>
                <w:sz w:val="18"/>
                <w:szCs w:val="18"/>
                <w:color w:val="auto"/>
              </w:rPr>
              <w:t>(41.7 )%</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25.2 %</w:t>
            </w:r>
          </w:p>
        </w:tc>
        <w:tc>
          <w:tcPr>
            <w:tcW w:w="12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23.5 %</w:t>
            </w:r>
          </w:p>
        </w:tc>
        <w:tc>
          <w:tcPr>
            <w:tcW w:w="0" w:type="dxa"/>
            <w:vAlign w:val="bottom"/>
          </w:tcPr>
          <w:p>
            <w:pPr>
              <w:spacing w:after="0"/>
              <w:rPr>
                <w:sz w:val="1"/>
                <w:szCs w:val="1"/>
                <w:color w:val="auto"/>
              </w:rPr>
            </w:pPr>
          </w:p>
        </w:tc>
      </w:tr>
      <w:tr>
        <w:trPr>
          <w:trHeight w:val="230"/>
        </w:trPr>
        <w:tc>
          <w:tcPr>
            <w:tcW w:w="506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55,754</w:t>
            </w:r>
          </w:p>
        </w:tc>
        <w:tc>
          <w:tcPr>
            <w:tcW w:w="2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102,325</w:t>
            </w:r>
          </w:p>
        </w:tc>
        <w:tc>
          <w:tcPr>
            <w:tcW w:w="220" w:type="dxa"/>
            <w:vAlign w:val="bottom"/>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(45.5</w:t>
            </w:r>
          </w:p>
        </w:tc>
        <w:tc>
          <w:tcPr>
            <w:tcW w:w="220" w:type="dxa"/>
            <w:vAlign w:val="bottom"/>
          </w:tcPr>
          <w:p>
            <w:pPr>
              <w:jc w:val="right"/>
              <w:spacing w:after="0"/>
              <w:rPr>
                <w:sz w:val="20"/>
                <w:szCs w:val="20"/>
                <w:color w:val="auto"/>
              </w:rPr>
            </w:pPr>
            <w:r>
              <w:rPr>
                <w:rFonts w:ascii="Arial" w:cs="Arial" w:eastAsia="Arial" w:hAnsi="Arial"/>
                <w:sz w:val="18"/>
                <w:szCs w:val="18"/>
                <w:color w:val="auto"/>
                <w:w w:val="90"/>
              </w:rPr>
              <w:t>)%</w:t>
            </w:r>
          </w:p>
        </w:tc>
        <w:tc>
          <w:tcPr>
            <w:tcW w:w="1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42"/>
        </w:trPr>
        <w:tc>
          <w:tcPr>
            <w:tcW w:w="5060" w:type="dxa"/>
            <w:vAlign w:val="bottom"/>
          </w:tcPr>
          <w:p>
            <w:pPr>
              <w:ind w:left="20"/>
              <w:spacing w:after="0"/>
              <w:rPr>
                <w:sz w:val="20"/>
                <w:szCs w:val="20"/>
                <w:color w:val="auto"/>
              </w:rPr>
            </w:pPr>
            <w:r>
              <w:rPr>
                <w:rFonts w:ascii="Arial" w:cs="Arial" w:eastAsia="Arial" w:hAnsi="Arial"/>
                <w:sz w:val="18"/>
                <w:szCs w:val="18"/>
                <w:color w:val="auto"/>
              </w:rPr>
              <w:t>Cost of product revenue</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31,152</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54,724</w:t>
            </w:r>
          </w:p>
        </w:tc>
        <w:tc>
          <w:tcPr>
            <w:tcW w:w="220" w:type="dxa"/>
            <w:vAlign w:val="bottom"/>
          </w:tcPr>
          <w:p>
            <w:pPr>
              <w:spacing w:after="0"/>
              <w:rPr>
                <w:sz w:val="21"/>
                <w:szCs w:val="21"/>
                <w:color w:val="auto"/>
              </w:rPr>
            </w:pPr>
          </w:p>
        </w:tc>
        <w:tc>
          <w:tcPr>
            <w:tcW w:w="1440" w:type="dxa"/>
            <w:vAlign w:val="bottom"/>
            <w:gridSpan w:val="3"/>
          </w:tcPr>
          <w:p>
            <w:pPr>
              <w:jc w:val="right"/>
              <w:ind w:right="140"/>
              <w:spacing w:after="0"/>
              <w:rPr>
                <w:sz w:val="20"/>
                <w:szCs w:val="20"/>
                <w:color w:val="auto"/>
              </w:rPr>
            </w:pPr>
            <w:r>
              <w:rPr>
                <w:rFonts w:ascii="Arial" w:cs="Arial" w:eastAsia="Arial" w:hAnsi="Arial"/>
                <w:sz w:val="18"/>
                <w:szCs w:val="18"/>
                <w:color w:val="auto"/>
              </w:rPr>
              <w:t>(43.1 )%</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55.9 %</w:t>
            </w:r>
          </w:p>
        </w:tc>
        <w:tc>
          <w:tcPr>
            <w:tcW w:w="12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53.5 %</w:t>
            </w:r>
          </w:p>
        </w:tc>
        <w:tc>
          <w:tcPr>
            <w:tcW w:w="0" w:type="dxa"/>
            <w:vAlign w:val="bottom"/>
          </w:tcPr>
          <w:p>
            <w:pPr>
              <w:spacing w:after="0"/>
              <w:rPr>
                <w:sz w:val="1"/>
                <w:szCs w:val="1"/>
                <w:color w:val="auto"/>
              </w:rPr>
            </w:pPr>
          </w:p>
        </w:tc>
      </w:tr>
      <w:tr>
        <w:trPr>
          <w:trHeight w:val="243"/>
        </w:trPr>
        <w:tc>
          <w:tcPr>
            <w:tcW w:w="5060" w:type="dxa"/>
            <w:vAlign w:val="bottom"/>
          </w:tcPr>
          <w:p>
            <w:pPr>
              <w:ind w:left="20"/>
              <w:spacing w:after="0"/>
              <w:rPr>
                <w:sz w:val="20"/>
                <w:szCs w:val="20"/>
                <w:color w:val="auto"/>
              </w:rPr>
            </w:pPr>
            <w:r>
              <w:rPr>
                <w:rFonts w:ascii="Arial" w:cs="Arial" w:eastAsia="Arial" w:hAnsi="Arial"/>
                <w:sz w:val="18"/>
                <w:szCs w:val="18"/>
                <w:color w:val="auto"/>
              </w:rPr>
              <w:t>Cost of service revenue</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11,832</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18,942</w:t>
            </w:r>
          </w:p>
        </w:tc>
        <w:tc>
          <w:tcPr>
            <w:tcW w:w="220" w:type="dxa"/>
            <w:vAlign w:val="bottom"/>
          </w:tcPr>
          <w:p>
            <w:pPr>
              <w:spacing w:after="0"/>
              <w:rPr>
                <w:sz w:val="21"/>
                <w:szCs w:val="21"/>
                <w:color w:val="auto"/>
              </w:rPr>
            </w:pPr>
          </w:p>
        </w:tc>
        <w:tc>
          <w:tcPr>
            <w:tcW w:w="1440" w:type="dxa"/>
            <w:vAlign w:val="bottom"/>
            <w:gridSpan w:val="3"/>
          </w:tcPr>
          <w:p>
            <w:pPr>
              <w:jc w:val="right"/>
              <w:ind w:right="140"/>
              <w:spacing w:after="0"/>
              <w:rPr>
                <w:sz w:val="20"/>
                <w:szCs w:val="20"/>
                <w:color w:val="auto"/>
              </w:rPr>
            </w:pPr>
            <w:r>
              <w:rPr>
                <w:rFonts w:ascii="Arial" w:cs="Arial" w:eastAsia="Arial" w:hAnsi="Arial"/>
                <w:sz w:val="18"/>
                <w:szCs w:val="18"/>
                <w:color w:val="auto"/>
              </w:rPr>
              <w:t>(37.5 )%</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21.2 %</w:t>
            </w:r>
          </w:p>
        </w:tc>
        <w:tc>
          <w:tcPr>
            <w:tcW w:w="12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18.5 %</w:t>
            </w:r>
          </w:p>
        </w:tc>
        <w:tc>
          <w:tcPr>
            <w:tcW w:w="0" w:type="dxa"/>
            <w:vAlign w:val="bottom"/>
          </w:tcPr>
          <w:p>
            <w:pPr>
              <w:spacing w:after="0"/>
              <w:rPr>
                <w:sz w:val="1"/>
                <w:szCs w:val="1"/>
                <w:color w:val="auto"/>
              </w:rPr>
            </w:pPr>
          </w:p>
        </w:tc>
      </w:tr>
      <w:tr>
        <w:trPr>
          <w:trHeight w:val="27"/>
        </w:trPr>
        <w:tc>
          <w:tcPr>
            <w:tcW w:w="5060" w:type="dxa"/>
            <w:vAlign w:val="bottom"/>
            <w:vMerge w:val="restart"/>
          </w:tcPr>
          <w:p>
            <w:pPr>
              <w:ind w:left="20"/>
              <w:spacing w:after="0"/>
              <w:rPr>
                <w:sz w:val="20"/>
                <w:szCs w:val="20"/>
                <w:color w:val="auto"/>
              </w:rPr>
            </w:pPr>
            <w:r>
              <w:rPr>
                <w:rFonts w:ascii="Arial" w:cs="Arial" w:eastAsia="Arial" w:hAnsi="Arial"/>
                <w:sz w:val="18"/>
                <w:szCs w:val="18"/>
                <w:color w:val="auto"/>
              </w:rPr>
              <w:t>Total cost of revenue</w:t>
            </w:r>
          </w:p>
        </w:tc>
        <w:tc>
          <w:tcPr>
            <w:tcW w:w="1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506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42,984</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73,666</w:t>
            </w:r>
          </w:p>
        </w:tc>
        <w:tc>
          <w:tcPr>
            <w:tcW w:w="220" w:type="dxa"/>
            <w:vAlign w:val="bottom"/>
          </w:tcPr>
          <w:p>
            <w:pPr>
              <w:spacing w:after="0"/>
              <w:rPr>
                <w:sz w:val="20"/>
                <w:szCs w:val="20"/>
                <w:color w:val="auto"/>
              </w:rPr>
            </w:pPr>
          </w:p>
        </w:tc>
        <w:tc>
          <w:tcPr>
            <w:tcW w:w="1440" w:type="dxa"/>
            <w:vAlign w:val="bottom"/>
            <w:gridSpan w:val="3"/>
          </w:tcPr>
          <w:p>
            <w:pPr>
              <w:jc w:val="right"/>
              <w:ind w:right="140"/>
              <w:spacing w:after="0"/>
              <w:rPr>
                <w:sz w:val="20"/>
                <w:szCs w:val="20"/>
                <w:color w:val="auto"/>
              </w:rPr>
            </w:pPr>
            <w:r>
              <w:rPr>
                <w:rFonts w:ascii="Arial" w:cs="Arial" w:eastAsia="Arial" w:hAnsi="Arial"/>
                <w:sz w:val="18"/>
                <w:szCs w:val="18"/>
                <w:color w:val="auto"/>
              </w:rPr>
              <w:t xml:space="preserve">(41.7 </w:t>
            </w:r>
            <w:r>
              <w:rPr>
                <w:rFonts w:ascii="Arial" w:cs="Arial" w:eastAsia="Arial" w:hAnsi="Arial"/>
                <w:sz w:val="18"/>
                <w:szCs w:val="18"/>
                <w:color w:val="auto"/>
                <w:highlight w:val="white"/>
              </w:rPr>
              <w:t>)</w:t>
            </w: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 xml:space="preserve">77.1 </w:t>
            </w:r>
            <w:r>
              <w:rPr>
                <w:rFonts w:ascii="Arial" w:cs="Arial" w:eastAsia="Arial" w:hAnsi="Arial"/>
                <w:sz w:val="18"/>
                <w:szCs w:val="18"/>
                <w:color w:val="auto"/>
                <w:highlight w:val="white"/>
              </w:rPr>
              <w:t>%</w:t>
            </w:r>
          </w:p>
        </w:tc>
        <w:tc>
          <w:tcPr>
            <w:tcW w:w="12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 xml:space="preserve">72.0 </w:t>
            </w:r>
            <w:r>
              <w:rPr>
                <w:rFonts w:ascii="Arial" w:cs="Arial" w:eastAsia="Arial" w:hAnsi="Arial"/>
                <w:sz w:val="18"/>
                <w:szCs w:val="18"/>
                <w:color w:val="auto"/>
                <w:highlight w:val="white"/>
              </w:rPr>
              <w:t>%</w:t>
            </w:r>
          </w:p>
        </w:tc>
        <w:tc>
          <w:tcPr>
            <w:tcW w:w="0" w:type="dxa"/>
            <w:vAlign w:val="bottom"/>
          </w:tcPr>
          <w:p>
            <w:pPr>
              <w:spacing w:after="0"/>
              <w:rPr>
                <w:sz w:val="1"/>
                <w:szCs w:val="1"/>
                <w:color w:val="auto"/>
              </w:rPr>
            </w:pPr>
          </w:p>
        </w:tc>
      </w:tr>
      <w:tr>
        <w:trPr>
          <w:trHeight w:val="230"/>
        </w:trPr>
        <w:tc>
          <w:tcPr>
            <w:tcW w:w="506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1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12,770</w:t>
            </w:r>
          </w:p>
        </w:tc>
        <w:tc>
          <w:tcPr>
            <w:tcW w:w="2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28,659</w:t>
            </w:r>
          </w:p>
        </w:tc>
        <w:tc>
          <w:tcPr>
            <w:tcW w:w="220" w:type="dxa"/>
            <w:vAlign w:val="bottom"/>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(55.4</w:t>
            </w:r>
          </w:p>
        </w:tc>
        <w:tc>
          <w:tcPr>
            <w:tcW w:w="220" w:type="dxa"/>
            <w:vAlign w:val="bottom"/>
          </w:tcPr>
          <w:p>
            <w:pPr>
              <w:jc w:val="right"/>
              <w:spacing w:after="0"/>
              <w:rPr>
                <w:sz w:val="20"/>
                <w:szCs w:val="20"/>
                <w:color w:val="auto"/>
              </w:rPr>
            </w:pPr>
            <w:r>
              <w:rPr>
                <w:rFonts w:ascii="Arial" w:cs="Arial" w:eastAsia="Arial" w:hAnsi="Arial"/>
                <w:sz w:val="18"/>
                <w:szCs w:val="18"/>
                <w:color w:val="auto"/>
                <w:w w:val="90"/>
              </w:rPr>
              <w:t>)%</w:t>
            </w:r>
          </w:p>
        </w:tc>
        <w:tc>
          <w:tcPr>
            <w:tcW w:w="1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28.0</w:t>
            </w:r>
          </w:p>
        </w:tc>
        <w:tc>
          <w:tcPr>
            <w:tcW w:w="20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42"/>
        </w:trPr>
        <w:tc>
          <w:tcPr>
            <w:tcW w:w="5060" w:type="dxa"/>
            <w:vAlign w:val="bottom"/>
          </w:tcPr>
          <w:p>
            <w:pPr>
              <w:ind w:left="20"/>
              <w:spacing w:after="0"/>
              <w:rPr>
                <w:sz w:val="20"/>
                <w:szCs w:val="20"/>
                <w:color w:val="auto"/>
              </w:rPr>
            </w:pPr>
            <w:r>
              <w:rPr>
                <w:rFonts w:ascii="Arial" w:cs="Arial" w:eastAsia="Arial" w:hAnsi="Arial"/>
                <w:sz w:val="18"/>
                <w:szCs w:val="18"/>
                <w:color w:val="auto"/>
              </w:rPr>
              <w:t>General and administrative expenses</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11,683</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8,737</w:t>
            </w:r>
          </w:p>
        </w:tc>
        <w:tc>
          <w:tcPr>
            <w:tcW w:w="220" w:type="dxa"/>
            <w:vAlign w:val="bottom"/>
          </w:tcPr>
          <w:p>
            <w:pPr>
              <w:spacing w:after="0"/>
              <w:rPr>
                <w:sz w:val="21"/>
                <w:szCs w:val="21"/>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33.7 %</w:t>
            </w:r>
          </w:p>
        </w:tc>
        <w:tc>
          <w:tcPr>
            <w:tcW w:w="14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21.0 %</w:t>
            </w:r>
          </w:p>
        </w:tc>
        <w:tc>
          <w:tcPr>
            <w:tcW w:w="12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8.5 %</w:t>
            </w:r>
          </w:p>
        </w:tc>
        <w:tc>
          <w:tcPr>
            <w:tcW w:w="0" w:type="dxa"/>
            <w:vAlign w:val="bottom"/>
          </w:tcPr>
          <w:p>
            <w:pPr>
              <w:spacing w:after="0"/>
              <w:rPr>
                <w:sz w:val="1"/>
                <w:szCs w:val="1"/>
                <w:color w:val="auto"/>
              </w:rPr>
            </w:pPr>
          </w:p>
        </w:tc>
      </w:tr>
      <w:tr>
        <w:trPr>
          <w:trHeight w:val="243"/>
        </w:trPr>
        <w:tc>
          <w:tcPr>
            <w:tcW w:w="5060" w:type="dxa"/>
            <w:vAlign w:val="bottom"/>
          </w:tcPr>
          <w:p>
            <w:pPr>
              <w:ind w:left="20"/>
              <w:spacing w:after="0"/>
              <w:rPr>
                <w:sz w:val="20"/>
                <w:szCs w:val="20"/>
                <w:color w:val="auto"/>
              </w:rPr>
            </w:pPr>
            <w:r>
              <w:rPr>
                <w:rFonts w:ascii="Arial" w:cs="Arial" w:eastAsia="Arial" w:hAnsi="Arial"/>
                <w:sz w:val="18"/>
                <w:szCs w:val="18"/>
                <w:color w:val="auto"/>
              </w:rPr>
              <w:t>Acquisition costs</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2,340</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178</w:t>
            </w:r>
          </w:p>
        </w:tc>
        <w:tc>
          <w:tcPr>
            <w:tcW w:w="220" w:type="dxa"/>
            <w:vAlign w:val="bottom"/>
          </w:tcPr>
          <w:p>
            <w:pPr>
              <w:spacing w:after="0"/>
              <w:rPr>
                <w:sz w:val="21"/>
                <w:szCs w:val="21"/>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1214.6 %</w:t>
            </w:r>
          </w:p>
        </w:tc>
        <w:tc>
          <w:tcPr>
            <w:tcW w:w="14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4.2 %</w:t>
            </w:r>
          </w:p>
        </w:tc>
        <w:tc>
          <w:tcPr>
            <w:tcW w:w="12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0.3 %</w:t>
            </w:r>
          </w:p>
        </w:tc>
        <w:tc>
          <w:tcPr>
            <w:tcW w:w="0" w:type="dxa"/>
            <w:vAlign w:val="bottom"/>
          </w:tcPr>
          <w:p>
            <w:pPr>
              <w:spacing w:after="0"/>
              <w:rPr>
                <w:sz w:val="1"/>
                <w:szCs w:val="1"/>
                <w:color w:val="auto"/>
              </w:rPr>
            </w:pPr>
          </w:p>
        </w:tc>
      </w:tr>
      <w:tr>
        <w:trPr>
          <w:trHeight w:val="243"/>
        </w:trPr>
        <w:tc>
          <w:tcPr>
            <w:tcW w:w="5060" w:type="dxa"/>
            <w:vAlign w:val="bottom"/>
          </w:tcPr>
          <w:p>
            <w:pPr>
              <w:ind w:left="20"/>
              <w:spacing w:after="0"/>
              <w:rPr>
                <w:sz w:val="20"/>
                <w:szCs w:val="20"/>
                <w:color w:val="auto"/>
              </w:rPr>
            </w:pPr>
            <w:r>
              <w:rPr>
                <w:rFonts w:ascii="Arial" w:cs="Arial" w:eastAsia="Arial" w:hAnsi="Arial"/>
                <w:sz w:val="18"/>
                <w:szCs w:val="18"/>
                <w:color w:val="auto"/>
              </w:rPr>
              <w:t>Sales and marketing expenses</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8,521</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8,794</w:t>
            </w:r>
          </w:p>
        </w:tc>
        <w:tc>
          <w:tcPr>
            <w:tcW w:w="220" w:type="dxa"/>
            <w:vAlign w:val="bottom"/>
          </w:tcPr>
          <w:p>
            <w:pPr>
              <w:spacing w:after="0"/>
              <w:rPr>
                <w:sz w:val="21"/>
                <w:szCs w:val="21"/>
                <w:color w:val="auto"/>
              </w:rPr>
            </w:pPr>
          </w:p>
        </w:tc>
        <w:tc>
          <w:tcPr>
            <w:tcW w:w="1440" w:type="dxa"/>
            <w:vAlign w:val="bottom"/>
            <w:gridSpan w:val="3"/>
          </w:tcPr>
          <w:p>
            <w:pPr>
              <w:jc w:val="right"/>
              <w:ind w:right="140"/>
              <w:spacing w:after="0"/>
              <w:rPr>
                <w:sz w:val="20"/>
                <w:szCs w:val="20"/>
                <w:color w:val="auto"/>
              </w:rPr>
            </w:pPr>
            <w:r>
              <w:rPr>
                <w:rFonts w:ascii="Arial" w:cs="Arial" w:eastAsia="Arial" w:hAnsi="Arial"/>
                <w:sz w:val="18"/>
                <w:szCs w:val="18"/>
                <w:color w:val="auto"/>
              </w:rPr>
              <w:t>(3.1 )%</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15.3 %</w:t>
            </w:r>
          </w:p>
        </w:tc>
        <w:tc>
          <w:tcPr>
            <w:tcW w:w="12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8.6 %</w:t>
            </w:r>
          </w:p>
        </w:tc>
        <w:tc>
          <w:tcPr>
            <w:tcW w:w="0" w:type="dxa"/>
            <w:vAlign w:val="bottom"/>
          </w:tcPr>
          <w:p>
            <w:pPr>
              <w:spacing w:after="0"/>
              <w:rPr>
                <w:sz w:val="1"/>
                <w:szCs w:val="1"/>
                <w:color w:val="auto"/>
              </w:rPr>
            </w:pPr>
          </w:p>
        </w:tc>
      </w:tr>
      <w:tr>
        <w:trPr>
          <w:trHeight w:val="243"/>
        </w:trPr>
        <w:tc>
          <w:tcPr>
            <w:tcW w:w="5060" w:type="dxa"/>
            <w:vAlign w:val="bottom"/>
          </w:tcPr>
          <w:p>
            <w:pPr>
              <w:ind w:left="20"/>
              <w:spacing w:after="0"/>
              <w:rPr>
                <w:sz w:val="20"/>
                <w:szCs w:val="20"/>
                <w:color w:val="auto"/>
              </w:rPr>
            </w:pPr>
            <w:r>
              <w:rPr>
                <w:rFonts w:ascii="Arial" w:cs="Arial" w:eastAsia="Arial" w:hAnsi="Arial"/>
                <w:sz w:val="18"/>
                <w:szCs w:val="18"/>
                <w:color w:val="auto"/>
              </w:rPr>
              <w:t>Research and development expenses</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1,374</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1,169</w:t>
            </w:r>
          </w:p>
        </w:tc>
        <w:tc>
          <w:tcPr>
            <w:tcW w:w="220" w:type="dxa"/>
            <w:vAlign w:val="bottom"/>
          </w:tcPr>
          <w:p>
            <w:pPr>
              <w:spacing w:after="0"/>
              <w:rPr>
                <w:sz w:val="21"/>
                <w:szCs w:val="21"/>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17.5 %</w:t>
            </w:r>
          </w:p>
        </w:tc>
        <w:tc>
          <w:tcPr>
            <w:tcW w:w="14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2.5 %</w:t>
            </w:r>
          </w:p>
        </w:tc>
        <w:tc>
          <w:tcPr>
            <w:tcW w:w="12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7"/>
        </w:trPr>
        <w:tc>
          <w:tcPr>
            <w:tcW w:w="5060" w:type="dxa"/>
            <w:vAlign w:val="bottom"/>
            <w:vMerge w:val="restart"/>
          </w:tcPr>
          <w:p>
            <w:pPr>
              <w:ind w:left="20"/>
              <w:spacing w:after="0"/>
              <w:rPr>
                <w:sz w:val="20"/>
                <w:szCs w:val="20"/>
                <w:color w:val="auto"/>
              </w:rPr>
            </w:pPr>
            <w:r>
              <w:rPr>
                <w:rFonts w:ascii="Arial" w:cs="Arial" w:eastAsia="Arial" w:hAnsi="Arial"/>
                <w:sz w:val="18"/>
                <w:szCs w:val="18"/>
                <w:color w:val="auto"/>
              </w:rPr>
              <w:t>(Loss) income from operations</w:t>
            </w:r>
          </w:p>
        </w:tc>
        <w:tc>
          <w:tcPr>
            <w:tcW w:w="1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06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(11,148 )</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9,781</w:t>
            </w:r>
          </w:p>
        </w:tc>
        <w:tc>
          <w:tcPr>
            <w:tcW w:w="220" w:type="dxa"/>
            <w:vAlign w:val="bottom"/>
          </w:tcPr>
          <w:p>
            <w:pPr>
              <w:spacing w:after="0"/>
              <w:rPr>
                <w:sz w:val="20"/>
                <w:szCs w:val="20"/>
                <w:color w:val="auto"/>
              </w:rPr>
            </w:pPr>
          </w:p>
        </w:tc>
        <w:tc>
          <w:tcPr>
            <w:tcW w:w="1440" w:type="dxa"/>
            <w:vAlign w:val="bottom"/>
            <w:gridSpan w:val="3"/>
          </w:tcPr>
          <w:p>
            <w:pPr>
              <w:jc w:val="right"/>
              <w:ind w:right="140"/>
              <w:spacing w:after="0"/>
              <w:rPr>
                <w:sz w:val="20"/>
                <w:szCs w:val="20"/>
                <w:color w:val="auto"/>
              </w:rPr>
            </w:pPr>
            <w:r>
              <w:rPr>
                <w:rFonts w:ascii="Arial" w:cs="Arial" w:eastAsia="Arial" w:hAnsi="Arial"/>
                <w:sz w:val="18"/>
                <w:szCs w:val="18"/>
                <w:color w:val="auto"/>
              </w:rPr>
              <w:t xml:space="preserve">(214.0 </w:t>
            </w:r>
            <w:r>
              <w:rPr>
                <w:rFonts w:ascii="Arial" w:cs="Arial" w:eastAsia="Arial" w:hAnsi="Arial"/>
                <w:sz w:val="18"/>
                <w:szCs w:val="18"/>
                <w:color w:val="auto"/>
                <w:highlight w:val="white"/>
              </w:rPr>
              <w:t>)</w:t>
            </w:r>
            <w:r>
              <w:rPr>
                <w:rFonts w:ascii="Arial" w:cs="Arial" w:eastAsia="Arial" w:hAnsi="Arial"/>
                <w:sz w:val="18"/>
                <w:szCs w:val="18"/>
                <w:color w:val="auto"/>
              </w:rPr>
              <w:t>%</w:t>
            </w:r>
          </w:p>
        </w:tc>
        <w:tc>
          <w:tcPr>
            <w:tcW w:w="1280" w:type="dxa"/>
            <w:vAlign w:val="bottom"/>
            <w:gridSpan w:val="3"/>
          </w:tcPr>
          <w:p>
            <w:pPr>
              <w:jc w:val="right"/>
              <w:ind w:right="120"/>
              <w:spacing w:after="0"/>
              <w:rPr>
                <w:sz w:val="20"/>
                <w:szCs w:val="20"/>
                <w:color w:val="auto"/>
              </w:rPr>
            </w:pPr>
            <w:r>
              <w:rPr>
                <w:rFonts w:ascii="Arial" w:cs="Arial" w:eastAsia="Arial" w:hAnsi="Arial"/>
                <w:sz w:val="18"/>
                <w:szCs w:val="18"/>
                <w:color w:val="auto"/>
              </w:rPr>
              <w:t xml:space="preserve">(20.0 </w:t>
            </w:r>
            <w:r>
              <w:rPr>
                <w:rFonts w:ascii="Arial" w:cs="Arial" w:eastAsia="Arial" w:hAnsi="Arial"/>
                <w:sz w:val="18"/>
                <w:szCs w:val="18"/>
                <w:color w:val="auto"/>
                <w:highlight w:val="white"/>
              </w:rPr>
              <w:t>)</w:t>
            </w: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 xml:space="preserve">9.6 </w:t>
            </w:r>
            <w:r>
              <w:rPr>
                <w:rFonts w:ascii="Arial" w:cs="Arial" w:eastAsia="Arial" w:hAnsi="Arial"/>
                <w:sz w:val="18"/>
                <w:szCs w:val="18"/>
                <w:color w:val="auto"/>
                <w:highlight w:val="white"/>
              </w:rPr>
              <w:t>%</w:t>
            </w:r>
          </w:p>
        </w:tc>
        <w:tc>
          <w:tcPr>
            <w:tcW w:w="0" w:type="dxa"/>
            <w:vAlign w:val="bottom"/>
          </w:tcPr>
          <w:p>
            <w:pPr>
              <w:spacing w:after="0"/>
              <w:rPr>
                <w:sz w:val="1"/>
                <w:szCs w:val="1"/>
                <w:color w:val="auto"/>
              </w:rPr>
            </w:pPr>
          </w:p>
        </w:tc>
      </w:tr>
      <w:tr>
        <w:trPr>
          <w:trHeight w:val="242"/>
        </w:trPr>
        <w:tc>
          <w:tcPr>
            <w:tcW w:w="5060" w:type="dxa"/>
            <w:vAlign w:val="bottom"/>
          </w:tcPr>
          <w:p>
            <w:pPr>
              <w:ind w:left="20"/>
              <w:spacing w:after="0"/>
              <w:rPr>
                <w:sz w:val="20"/>
                <w:szCs w:val="20"/>
                <w:color w:val="auto"/>
              </w:rPr>
            </w:pPr>
            <w:r>
              <w:rPr>
                <w:rFonts w:ascii="Arial" w:cs="Arial" w:eastAsia="Arial" w:hAnsi="Arial"/>
                <w:sz w:val="18"/>
                <w:szCs w:val="18"/>
                <w:color w:val="auto"/>
              </w:rPr>
              <w:t>Other income</w:t>
            </w:r>
          </w:p>
        </w:tc>
        <w:tc>
          <w:tcPr>
            <w:tcW w:w="180" w:type="dxa"/>
            <w:vAlign w:val="bottom"/>
          </w:tcPr>
          <w:p>
            <w:pPr>
              <w:spacing w:after="0"/>
              <w:rPr>
                <w:sz w:val="21"/>
                <w:szCs w:val="21"/>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1"/>
                <w:szCs w:val="21"/>
                <w:color w:val="auto"/>
              </w:rPr>
            </w:pPr>
          </w:p>
        </w:tc>
        <w:tc>
          <w:tcPr>
            <w:tcW w:w="1440" w:type="dxa"/>
            <w:vAlign w:val="bottom"/>
            <w:gridSpan w:val="3"/>
          </w:tcPr>
          <w:p>
            <w:pPr>
              <w:jc w:val="right"/>
              <w:ind w:right="360"/>
              <w:spacing w:after="0"/>
              <w:rPr>
                <w:sz w:val="20"/>
                <w:szCs w:val="20"/>
                <w:color w:val="auto"/>
              </w:rPr>
            </w:pPr>
            <w:r>
              <w:rPr>
                <w:rFonts w:ascii="Arial" w:cs="Arial" w:eastAsia="Arial" w:hAnsi="Arial"/>
                <w:sz w:val="18"/>
                <w:szCs w:val="18"/>
                <w:color w:val="auto"/>
              </w:rPr>
              <w:t>NM</w:t>
            </w:r>
          </w:p>
        </w:tc>
        <w:tc>
          <w:tcPr>
            <w:tcW w:w="128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0.0 %</w:t>
            </w:r>
          </w:p>
        </w:tc>
        <w:tc>
          <w:tcPr>
            <w:tcW w:w="0" w:type="dxa"/>
            <w:vAlign w:val="bottom"/>
          </w:tcPr>
          <w:p>
            <w:pPr>
              <w:spacing w:after="0"/>
              <w:rPr>
                <w:sz w:val="1"/>
                <w:szCs w:val="1"/>
                <w:color w:val="auto"/>
              </w:rPr>
            </w:pPr>
          </w:p>
        </w:tc>
      </w:tr>
      <w:tr>
        <w:trPr>
          <w:trHeight w:val="243"/>
        </w:trPr>
        <w:tc>
          <w:tcPr>
            <w:tcW w:w="50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21"/>
                <w:szCs w:val="21"/>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(97 )</w:t>
            </w:r>
          </w:p>
        </w:tc>
        <w:tc>
          <w:tcPr>
            <w:tcW w:w="160" w:type="dxa"/>
            <w:vAlign w:val="bottom"/>
          </w:tcPr>
          <w:p>
            <w:pPr>
              <w:spacing w:after="0"/>
              <w:rPr>
                <w:sz w:val="21"/>
                <w:szCs w:val="21"/>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(59 )</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64.4 %</w:t>
            </w:r>
          </w:p>
        </w:tc>
        <w:tc>
          <w:tcPr>
            <w:tcW w:w="140" w:type="dxa"/>
            <w:vAlign w:val="bottom"/>
          </w:tcPr>
          <w:p>
            <w:pPr>
              <w:spacing w:after="0"/>
              <w:rPr>
                <w:sz w:val="21"/>
                <w:szCs w:val="21"/>
                <w:color w:val="auto"/>
              </w:rPr>
            </w:pPr>
          </w:p>
        </w:tc>
        <w:tc>
          <w:tcPr>
            <w:tcW w:w="1280" w:type="dxa"/>
            <w:vAlign w:val="bottom"/>
            <w:gridSpan w:val="3"/>
          </w:tcPr>
          <w:p>
            <w:pPr>
              <w:jc w:val="right"/>
              <w:ind w:right="120"/>
              <w:spacing w:after="0"/>
              <w:rPr>
                <w:sz w:val="20"/>
                <w:szCs w:val="20"/>
                <w:color w:val="auto"/>
              </w:rPr>
            </w:pPr>
            <w:r>
              <w:rPr>
                <w:rFonts w:ascii="Arial" w:cs="Arial" w:eastAsia="Arial" w:hAnsi="Arial"/>
                <w:sz w:val="18"/>
                <w:szCs w:val="18"/>
                <w:color w:val="auto"/>
              </w:rPr>
              <w:t>(0.2 )%</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43"/>
        </w:trPr>
        <w:tc>
          <w:tcPr>
            <w:tcW w:w="5060" w:type="dxa"/>
            <w:vAlign w:val="bottom"/>
          </w:tcPr>
          <w:p>
            <w:pPr>
              <w:ind w:left="20"/>
              <w:spacing w:after="0"/>
              <w:rPr>
                <w:sz w:val="20"/>
                <w:szCs w:val="20"/>
                <w:color w:val="auto"/>
              </w:rPr>
            </w:pPr>
            <w:r>
              <w:rPr>
                <w:rFonts w:ascii="Arial" w:cs="Arial" w:eastAsia="Arial" w:hAnsi="Arial"/>
                <w:sz w:val="18"/>
                <w:szCs w:val="18"/>
                <w:color w:val="auto"/>
              </w:rPr>
              <w:t>Amortization of debt issue costs</w:t>
            </w:r>
          </w:p>
        </w:tc>
        <w:tc>
          <w:tcPr>
            <w:tcW w:w="180" w:type="dxa"/>
            <w:vAlign w:val="bottom"/>
          </w:tcPr>
          <w:p>
            <w:pPr>
              <w:spacing w:after="0"/>
              <w:rPr>
                <w:sz w:val="21"/>
                <w:szCs w:val="21"/>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(47 )</w:t>
            </w:r>
          </w:p>
        </w:tc>
        <w:tc>
          <w:tcPr>
            <w:tcW w:w="160" w:type="dxa"/>
            <w:vAlign w:val="bottom"/>
          </w:tcPr>
          <w:p>
            <w:pPr>
              <w:spacing w:after="0"/>
              <w:rPr>
                <w:sz w:val="21"/>
                <w:szCs w:val="21"/>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(46 )</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2.2 %</w:t>
            </w:r>
          </w:p>
        </w:tc>
        <w:tc>
          <w:tcPr>
            <w:tcW w:w="140" w:type="dxa"/>
            <w:vAlign w:val="bottom"/>
          </w:tcPr>
          <w:p>
            <w:pPr>
              <w:spacing w:after="0"/>
              <w:rPr>
                <w:sz w:val="21"/>
                <w:szCs w:val="21"/>
                <w:color w:val="auto"/>
              </w:rPr>
            </w:pPr>
          </w:p>
        </w:tc>
        <w:tc>
          <w:tcPr>
            <w:tcW w:w="1280" w:type="dxa"/>
            <w:vAlign w:val="bottom"/>
            <w:gridSpan w:val="3"/>
          </w:tcPr>
          <w:p>
            <w:pPr>
              <w:jc w:val="right"/>
              <w:ind w:right="120"/>
              <w:spacing w:after="0"/>
              <w:rPr>
                <w:sz w:val="20"/>
                <w:szCs w:val="20"/>
                <w:color w:val="auto"/>
              </w:rPr>
            </w:pPr>
            <w:r>
              <w:rPr>
                <w:rFonts w:ascii="Arial" w:cs="Arial" w:eastAsia="Arial" w:hAnsi="Arial"/>
                <w:sz w:val="18"/>
                <w:szCs w:val="18"/>
                <w:color w:val="auto"/>
              </w:rPr>
              <w:t>(0.1 )%</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(0.0 )%</w:t>
            </w:r>
          </w:p>
        </w:tc>
        <w:tc>
          <w:tcPr>
            <w:tcW w:w="0" w:type="dxa"/>
            <w:vAlign w:val="bottom"/>
          </w:tcPr>
          <w:p>
            <w:pPr>
              <w:spacing w:after="0"/>
              <w:rPr>
                <w:sz w:val="1"/>
                <w:szCs w:val="1"/>
                <w:color w:val="auto"/>
              </w:rPr>
            </w:pPr>
          </w:p>
        </w:tc>
      </w:tr>
      <w:tr>
        <w:trPr>
          <w:trHeight w:val="27"/>
        </w:trPr>
        <w:tc>
          <w:tcPr>
            <w:tcW w:w="5060" w:type="dxa"/>
            <w:vAlign w:val="bottom"/>
            <w:vMerge w:val="restart"/>
          </w:tcPr>
          <w:p>
            <w:pPr>
              <w:ind w:left="20"/>
              <w:spacing w:after="0"/>
              <w:rPr>
                <w:sz w:val="20"/>
                <w:szCs w:val="20"/>
                <w:color w:val="auto"/>
              </w:rPr>
            </w:pPr>
            <w:r>
              <w:rPr>
                <w:rFonts w:ascii="Arial" w:cs="Arial" w:eastAsia="Arial" w:hAnsi="Arial"/>
                <w:sz w:val="18"/>
                <w:szCs w:val="18"/>
                <w:color w:val="auto"/>
              </w:rPr>
              <w:t>(Loss) income before income tax</w:t>
            </w:r>
          </w:p>
        </w:tc>
        <w:tc>
          <w:tcPr>
            <w:tcW w:w="1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06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(11,292 )</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9,677</w:t>
            </w:r>
          </w:p>
        </w:tc>
        <w:tc>
          <w:tcPr>
            <w:tcW w:w="220" w:type="dxa"/>
            <w:vAlign w:val="bottom"/>
          </w:tcPr>
          <w:p>
            <w:pPr>
              <w:spacing w:after="0"/>
              <w:rPr>
                <w:sz w:val="20"/>
                <w:szCs w:val="20"/>
                <w:color w:val="auto"/>
              </w:rPr>
            </w:pPr>
          </w:p>
        </w:tc>
        <w:tc>
          <w:tcPr>
            <w:tcW w:w="1440" w:type="dxa"/>
            <w:vAlign w:val="bottom"/>
            <w:gridSpan w:val="3"/>
          </w:tcPr>
          <w:p>
            <w:pPr>
              <w:jc w:val="right"/>
              <w:ind w:right="360"/>
              <w:spacing w:after="0"/>
              <w:rPr>
                <w:sz w:val="20"/>
                <w:szCs w:val="20"/>
                <w:color w:val="auto"/>
              </w:rPr>
            </w:pPr>
            <w:r>
              <w:rPr>
                <w:rFonts w:ascii="Arial" w:cs="Arial" w:eastAsia="Arial" w:hAnsi="Arial"/>
                <w:sz w:val="18"/>
                <w:szCs w:val="18"/>
                <w:color w:val="auto"/>
              </w:rPr>
              <w:t>NM</w:t>
            </w:r>
          </w:p>
        </w:tc>
        <w:tc>
          <w:tcPr>
            <w:tcW w:w="1280" w:type="dxa"/>
            <w:vAlign w:val="bottom"/>
            <w:gridSpan w:val="3"/>
          </w:tcPr>
          <w:p>
            <w:pPr>
              <w:jc w:val="right"/>
              <w:ind w:right="120"/>
              <w:spacing w:after="0"/>
              <w:rPr>
                <w:sz w:val="20"/>
                <w:szCs w:val="20"/>
                <w:color w:val="auto"/>
              </w:rPr>
            </w:pPr>
            <w:r>
              <w:rPr>
                <w:rFonts w:ascii="Arial" w:cs="Arial" w:eastAsia="Arial" w:hAnsi="Arial"/>
                <w:sz w:val="18"/>
                <w:szCs w:val="18"/>
                <w:color w:val="auto"/>
              </w:rPr>
              <w:t xml:space="preserve">(20.3 </w:t>
            </w:r>
            <w:r>
              <w:rPr>
                <w:rFonts w:ascii="Arial" w:cs="Arial" w:eastAsia="Arial" w:hAnsi="Arial"/>
                <w:sz w:val="18"/>
                <w:szCs w:val="18"/>
                <w:color w:val="auto"/>
                <w:highlight w:val="white"/>
              </w:rPr>
              <w:t>)</w:t>
            </w: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color w:val="auto"/>
                <w:highlight w:val="white"/>
              </w:rPr>
              <w:t>%</w:t>
            </w:r>
          </w:p>
        </w:tc>
        <w:tc>
          <w:tcPr>
            <w:tcW w:w="0" w:type="dxa"/>
            <w:vAlign w:val="bottom"/>
          </w:tcPr>
          <w:p>
            <w:pPr>
              <w:spacing w:after="0"/>
              <w:rPr>
                <w:sz w:val="1"/>
                <w:szCs w:val="1"/>
                <w:color w:val="auto"/>
              </w:rPr>
            </w:pPr>
          </w:p>
        </w:tc>
      </w:tr>
      <w:tr>
        <w:trPr>
          <w:trHeight w:val="242"/>
        </w:trPr>
        <w:tc>
          <w:tcPr>
            <w:tcW w:w="5060" w:type="dxa"/>
            <w:vAlign w:val="bottom"/>
          </w:tcPr>
          <w:p>
            <w:pPr>
              <w:ind w:left="20"/>
              <w:spacing w:after="0"/>
              <w:rPr>
                <w:sz w:val="20"/>
                <w:szCs w:val="20"/>
                <w:color w:val="auto"/>
              </w:rPr>
            </w:pPr>
            <w:r>
              <w:rPr>
                <w:rFonts w:ascii="Arial" w:cs="Arial" w:eastAsia="Arial" w:hAnsi="Arial"/>
                <w:sz w:val="18"/>
                <w:szCs w:val="18"/>
                <w:color w:val="auto"/>
              </w:rPr>
              <w:t>Income tax (benefit) expense</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17,933</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2,406</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NM</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32.2 %</w:t>
            </w:r>
          </w:p>
        </w:tc>
        <w:tc>
          <w:tcPr>
            <w:tcW w:w="12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7"/>
        </w:trPr>
        <w:tc>
          <w:tcPr>
            <w:tcW w:w="5060" w:type="dxa"/>
            <w:vAlign w:val="bottom"/>
            <w:vMerge w:val="restart"/>
          </w:tcPr>
          <w:p>
            <w:pPr>
              <w:ind w:left="20"/>
              <w:spacing w:after="0"/>
              <w:rPr>
                <w:sz w:val="20"/>
                <w:szCs w:val="20"/>
                <w:color w:val="auto"/>
              </w:rPr>
            </w:pPr>
            <w:r>
              <w:rPr>
                <w:rFonts w:ascii="Arial" w:cs="Arial" w:eastAsia="Arial" w:hAnsi="Arial"/>
                <w:sz w:val="18"/>
                <w:szCs w:val="18"/>
                <w:color w:val="auto"/>
              </w:rPr>
              <w:t>Net (loss) income</w:t>
            </w:r>
          </w:p>
        </w:tc>
        <w:tc>
          <w:tcPr>
            <w:tcW w:w="1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060" w:type="dxa"/>
            <w:vAlign w:val="bottom"/>
            <w:vMerge w:val="continue"/>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(29,225 )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7,271</w:t>
            </w:r>
          </w:p>
        </w:tc>
        <w:tc>
          <w:tcPr>
            <w:tcW w:w="220" w:type="dxa"/>
            <w:vAlign w:val="bottom"/>
          </w:tcPr>
          <w:p>
            <w:pPr>
              <w:spacing w:after="0"/>
              <w:rPr>
                <w:sz w:val="20"/>
                <w:szCs w:val="20"/>
                <w:color w:val="auto"/>
              </w:rPr>
            </w:pPr>
          </w:p>
        </w:tc>
        <w:tc>
          <w:tcPr>
            <w:tcW w:w="1440" w:type="dxa"/>
            <w:vAlign w:val="bottom"/>
            <w:gridSpan w:val="3"/>
          </w:tcPr>
          <w:p>
            <w:pPr>
              <w:jc w:val="right"/>
              <w:ind w:right="360"/>
              <w:spacing w:after="0"/>
              <w:rPr>
                <w:sz w:val="20"/>
                <w:szCs w:val="20"/>
                <w:color w:val="auto"/>
              </w:rPr>
            </w:pPr>
            <w:r>
              <w:rPr>
                <w:rFonts w:ascii="Arial" w:cs="Arial" w:eastAsia="Arial" w:hAnsi="Arial"/>
                <w:sz w:val="18"/>
                <w:szCs w:val="18"/>
                <w:color w:val="auto"/>
              </w:rPr>
              <w:t>NM</w:t>
            </w:r>
          </w:p>
        </w:tc>
        <w:tc>
          <w:tcPr>
            <w:tcW w:w="1280" w:type="dxa"/>
            <w:vAlign w:val="bottom"/>
            <w:gridSpan w:val="3"/>
          </w:tcPr>
          <w:p>
            <w:pPr>
              <w:jc w:val="right"/>
              <w:ind w:right="120"/>
              <w:spacing w:after="0"/>
              <w:rPr>
                <w:sz w:val="20"/>
                <w:szCs w:val="20"/>
                <w:color w:val="auto"/>
              </w:rPr>
            </w:pPr>
            <w:r>
              <w:rPr>
                <w:rFonts w:ascii="Arial" w:cs="Arial" w:eastAsia="Arial" w:hAnsi="Arial"/>
                <w:sz w:val="18"/>
                <w:szCs w:val="18"/>
                <w:color w:val="auto"/>
              </w:rPr>
              <w:t xml:space="preserve">(52.4 </w:t>
            </w:r>
            <w:r>
              <w:rPr>
                <w:rFonts w:ascii="Arial" w:cs="Arial" w:eastAsia="Arial" w:hAnsi="Arial"/>
                <w:sz w:val="18"/>
                <w:szCs w:val="18"/>
                <w:color w:val="auto"/>
                <w:highlight w:val="white"/>
              </w:rPr>
              <w:t>)</w:t>
            </w: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color w:val="auto"/>
                <w:highlight w:val="white"/>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-2816860</wp:posOffset>
            </wp:positionV>
            <wp:extent cx="7132320" cy="15430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-2499995</wp:posOffset>
            </wp:positionV>
            <wp:extent cx="7132320" cy="15430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-2192020</wp:posOffset>
            </wp:positionV>
            <wp:extent cx="7132320" cy="47942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4794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-1558290</wp:posOffset>
            </wp:positionV>
            <wp:extent cx="7132320" cy="15430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-1250315</wp:posOffset>
            </wp:positionV>
            <wp:extent cx="7132320" cy="47117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4711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-624840</wp:posOffset>
            </wp:positionV>
            <wp:extent cx="7132320" cy="65913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659130"/>
                    </a:xfrm>
                    <a:prstGeom prst="rect">
                      <a:avLst/>
                    </a:prstGeom>
                    <a:noFill/>
                  </pic:spPr>
                </pic:pic>
              </a:graphicData>
            </a:graphic>
          </wp:anchor>
        </w:drawing>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NM - Not Meaningful</w:t>
      </w:r>
    </w:p>
    <w:p>
      <w:pPr>
        <w:spacing w:after="0" w:line="176" w:lineRule="exact"/>
        <w:rPr>
          <w:sz w:val="20"/>
          <w:szCs w:val="20"/>
          <w:color w:val="auto"/>
        </w:rPr>
      </w:pPr>
    </w:p>
    <w:p>
      <w:pPr>
        <w:jc w:val="both"/>
        <w:ind w:right="100" w:firstLine="464"/>
        <w:spacing w:after="0" w:line="288" w:lineRule="auto"/>
        <w:rPr>
          <w:sz w:val="20"/>
          <w:szCs w:val="20"/>
          <w:color w:val="auto"/>
        </w:rPr>
      </w:pPr>
      <w:r>
        <w:rPr>
          <w:rFonts w:ascii="Arial" w:cs="Arial" w:eastAsia="Arial" w:hAnsi="Arial"/>
          <w:sz w:val="16"/>
          <w:szCs w:val="16"/>
          <w:i w:val="1"/>
          <w:iCs w:val="1"/>
          <w:color w:val="auto"/>
        </w:rPr>
        <w:t xml:space="preserve">Revenue, Cost of Revenue and Gross Margin. </w:t>
      </w:r>
      <w:r>
        <w:rPr>
          <w:rFonts w:ascii="Arial" w:cs="Arial" w:eastAsia="Arial" w:hAnsi="Arial"/>
          <w:sz w:val="16"/>
          <w:szCs w:val="16"/>
          <w:color w:val="auto"/>
        </w:rPr>
        <w:t>Product revenue decreased 46.7%, or $36.5 million, for the first nine months of fiscal 2023 versus the</w:t>
      </w:r>
      <w:r>
        <w:rPr>
          <w:rFonts w:ascii="Arial" w:cs="Arial" w:eastAsia="Arial" w:hAnsi="Arial"/>
          <w:sz w:val="16"/>
          <w:szCs w:val="16"/>
          <w:i w:val="1"/>
          <w:iCs w:val="1"/>
          <w:color w:val="auto"/>
        </w:rPr>
        <w:t xml:space="preserve"> </w:t>
      </w:r>
      <w:r>
        <w:rPr>
          <w:rFonts w:ascii="Arial" w:cs="Arial" w:eastAsia="Arial" w:hAnsi="Arial"/>
          <w:sz w:val="16"/>
          <w:szCs w:val="16"/>
          <w:color w:val="auto"/>
        </w:rPr>
        <w:t>first nine months of fiscal 2022. Service revenue decreased 41.7%, or $10.0 million, for the first nine months of fiscal 2023 versus the first nine months of fiscal 2022. The decrease in product and service revenue was due to the expected significantly lower project revenues from our largest customer and comparatively lower project volume from other customers, primarily caused by the response of customers to supply chain disruptions and other delays. The revenue from our existing large national retail customer represented 16.1% of total revenue in the first nine months of fiscal 2023 compared to 53.0% in the first nine months of fiscal 2022. This decrease in revenue was partially offset by revenues due to the acquisitions of Stay-Lite Lighting and Voltrek. Cost of product revenue decreased by 43.1%, or $23.6 million, in the first nine months of fiscal 2023 versus the comparable period in fiscal 2022. Cost of service revenue decreased by 37.5%, or $7.1 million, in the first nine months of fiscal 2023 versus the comparable period in fiscal 2022. The decrease in product and service costs was primarily due to the decrease in revenue. Gross margin decreased from 28.0% in the first nine months of fiscal 2022 to 22.9% in the first nine months of fiscal 2023, due primarily to reduced sales decreasing the absorption of fixed costs.</w:t>
      </w:r>
    </w:p>
    <w:p>
      <w:pPr>
        <w:spacing w:after="0" w:line="206"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Operating Expenses</w:t>
      </w:r>
    </w:p>
    <w:p>
      <w:pPr>
        <w:spacing w:after="0" w:line="171" w:lineRule="exact"/>
        <w:rPr>
          <w:sz w:val="20"/>
          <w:szCs w:val="20"/>
          <w:color w:val="auto"/>
        </w:rPr>
      </w:pPr>
    </w:p>
    <w:p>
      <w:pPr>
        <w:jc w:val="both"/>
        <w:ind w:right="100" w:firstLine="464"/>
        <w:spacing w:after="0" w:line="263"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General and administrative expenses increased 33.7%, or $2.9 million, in the first nine months of fiscal 2023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the first nine months of fiscal 2022. This comparative increase was primarily due to the acquisitions of Stay-Lite Lighting and Voltrek and an acceleration of stock-based compensation expense due to retirement modifications of existing restricted stock awards.</w:t>
      </w:r>
    </w:p>
    <w:p>
      <w:pPr>
        <w:spacing w:after="0" w:line="129" w:lineRule="exact"/>
        <w:rPr>
          <w:sz w:val="20"/>
          <w:szCs w:val="20"/>
          <w:color w:val="auto"/>
        </w:rPr>
      </w:pPr>
    </w:p>
    <w:p>
      <w:pPr>
        <w:jc w:val="both"/>
        <w:ind w:right="100" w:firstLine="464"/>
        <w:spacing w:after="0" w:line="277" w:lineRule="auto"/>
        <w:rPr>
          <w:sz w:val="20"/>
          <w:szCs w:val="20"/>
          <w:color w:val="auto"/>
        </w:rPr>
      </w:pPr>
      <w:r>
        <w:rPr>
          <w:rFonts w:ascii="Arial" w:cs="Arial" w:eastAsia="Arial" w:hAnsi="Arial"/>
          <w:sz w:val="18"/>
          <w:szCs w:val="18"/>
          <w:i w:val="1"/>
          <w:iCs w:val="1"/>
          <w:color w:val="auto"/>
        </w:rPr>
        <w:t xml:space="preserve">Acquisition Costs. </w:t>
      </w:r>
      <w:r>
        <w:rPr>
          <w:rFonts w:ascii="Arial" w:cs="Arial" w:eastAsia="Arial" w:hAnsi="Arial"/>
          <w:sz w:val="18"/>
          <w:szCs w:val="18"/>
          <w:color w:val="auto"/>
        </w:rPr>
        <w:t>Acquisition expenses increased $2.2 million in the third quarter of fiscal 2023 compared to the third quarter of fiscal 2022. This</w:t>
      </w:r>
      <w:r>
        <w:rPr>
          <w:rFonts w:ascii="Arial" w:cs="Arial" w:eastAsia="Arial" w:hAnsi="Arial"/>
          <w:sz w:val="18"/>
          <w:szCs w:val="18"/>
          <w:i w:val="1"/>
          <w:iCs w:val="1"/>
          <w:color w:val="auto"/>
        </w:rPr>
        <w:t xml:space="preserve"> </w:t>
      </w:r>
      <w:r>
        <w:rPr>
          <w:rFonts w:ascii="Arial" w:cs="Arial" w:eastAsia="Arial" w:hAnsi="Arial"/>
          <w:sz w:val="18"/>
          <w:szCs w:val="18"/>
          <w:color w:val="auto"/>
        </w:rPr>
        <w:t>comparative increase was primarily due to the earnout expense of $1.5 million, related to the acquisition of Voltrek.</w:t>
      </w:r>
    </w:p>
    <w:p>
      <w:pPr>
        <w:spacing w:after="0" w:line="116" w:lineRule="exact"/>
        <w:rPr>
          <w:sz w:val="20"/>
          <w:szCs w:val="20"/>
          <w:color w:val="auto"/>
        </w:rPr>
      </w:pPr>
    </w:p>
    <w:p>
      <w:pPr>
        <w:jc w:val="both"/>
        <w:ind w:right="100" w:firstLine="464"/>
        <w:spacing w:after="0" w:line="307" w:lineRule="auto"/>
        <w:rPr>
          <w:sz w:val="20"/>
          <w:szCs w:val="20"/>
          <w:color w:val="auto"/>
        </w:rPr>
      </w:pPr>
      <w:r>
        <w:rPr>
          <w:rFonts w:ascii="Arial" w:cs="Arial" w:eastAsia="Arial" w:hAnsi="Arial"/>
          <w:sz w:val="17"/>
          <w:szCs w:val="17"/>
          <w:i w:val="1"/>
          <w:iCs w:val="1"/>
          <w:color w:val="auto"/>
        </w:rPr>
        <w:t xml:space="preserve">Sales and Marketing. </w:t>
      </w:r>
      <w:r>
        <w:rPr>
          <w:rFonts w:ascii="Arial" w:cs="Arial" w:eastAsia="Arial" w:hAnsi="Arial"/>
          <w:sz w:val="17"/>
          <w:szCs w:val="17"/>
          <w:color w:val="auto"/>
        </w:rPr>
        <w:t>Sales and marketing expenses decreased 3.1%, or $0.3 million, in the first nine months of fiscal 2023 compared to the first nine</w:t>
      </w:r>
      <w:r>
        <w:rPr>
          <w:rFonts w:ascii="Arial" w:cs="Arial" w:eastAsia="Arial" w:hAnsi="Arial"/>
          <w:sz w:val="17"/>
          <w:szCs w:val="17"/>
          <w:i w:val="1"/>
          <w:iCs w:val="1"/>
          <w:color w:val="auto"/>
        </w:rPr>
        <w:t xml:space="preserve"> </w:t>
      </w:r>
      <w:r>
        <w:rPr>
          <w:rFonts w:ascii="Arial" w:cs="Arial" w:eastAsia="Arial" w:hAnsi="Arial"/>
          <w:sz w:val="17"/>
          <w:szCs w:val="17"/>
          <w:color w:val="auto"/>
        </w:rPr>
        <w:t>months of fiscal 2022, reflecting a reduction in commission expense on lower sales, partially offset by increased employment costs.</w:t>
      </w:r>
    </w:p>
    <w:p>
      <w:pPr>
        <w:spacing w:after="0" w:line="93" w:lineRule="exact"/>
        <w:rPr>
          <w:sz w:val="20"/>
          <w:szCs w:val="20"/>
          <w:color w:val="auto"/>
        </w:rPr>
      </w:pPr>
    </w:p>
    <w:p>
      <w:pPr>
        <w:jc w:val="both"/>
        <w:ind w:right="100" w:firstLine="464"/>
        <w:spacing w:after="0" w:line="277" w:lineRule="auto"/>
        <w:rPr>
          <w:sz w:val="20"/>
          <w:szCs w:val="20"/>
          <w:color w:val="auto"/>
        </w:rPr>
      </w:pPr>
      <w:r>
        <w:rPr>
          <w:rFonts w:ascii="Arial" w:cs="Arial" w:eastAsia="Arial" w:hAnsi="Arial"/>
          <w:sz w:val="18"/>
          <w:szCs w:val="18"/>
          <w:i w:val="1"/>
          <w:iCs w:val="1"/>
          <w:color w:val="auto"/>
        </w:rPr>
        <w:t xml:space="preserve">Research and Development. </w:t>
      </w:r>
      <w:r>
        <w:rPr>
          <w:rFonts w:ascii="Arial" w:cs="Arial" w:eastAsia="Arial" w:hAnsi="Arial"/>
          <w:sz w:val="18"/>
          <w:szCs w:val="18"/>
          <w:color w:val="auto"/>
        </w:rPr>
        <w:t>Research and development expenses increased 17.5%, or $0.2 million, in the first nine months of fiscal 2023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the first nine months of fiscal 2022, as a result of increased employment costs and testing.</w:t>
      </w:r>
    </w:p>
    <w:p>
      <w:pPr>
        <w:spacing w:after="0" w:line="16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346" w:right="239" w:bottom="1440" w:gutter="0" w:footer="0" w:header="0"/>
        </w:sectPr>
      </w:pPr>
    </w:p>
    <w:bookmarkStart w:id="29" w:name="page30"/>
    <w:bookmarkEnd w:id="29"/>
    <w:p>
      <w:pPr>
        <w:jc w:val="both"/>
        <w:ind w:right="120" w:firstLine="464"/>
        <w:spacing w:after="0" w:line="277"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Based on our recent financial results and near-term expectations, a non-cash tax charge of $17.8 million has been recorded as a result</w:t>
      </w:r>
      <w:r>
        <w:rPr>
          <w:rFonts w:ascii="Arial" w:cs="Arial" w:eastAsia="Arial" w:hAnsi="Arial"/>
          <w:sz w:val="18"/>
          <w:szCs w:val="18"/>
          <w:i w:val="1"/>
          <w:iCs w:val="1"/>
          <w:color w:val="auto"/>
        </w:rPr>
        <w:t xml:space="preserve"> </w:t>
      </w:r>
      <w:r>
        <w:rPr>
          <w:rFonts w:ascii="Arial" w:cs="Arial" w:eastAsia="Arial" w:hAnsi="Arial"/>
          <w:sz w:val="18"/>
          <w:szCs w:val="18"/>
          <w:color w:val="auto"/>
        </w:rPr>
        <w:t>of the conclusion that it is more likely than not that the domestic deferred tax assets will not be realized.</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Orion Services Group Division</w:t>
      </w:r>
    </w:p>
    <w:p>
      <w:pPr>
        <w:spacing w:after="0" w:line="175" w:lineRule="exact"/>
        <w:rPr>
          <w:sz w:val="20"/>
          <w:szCs w:val="20"/>
          <w:color w:val="auto"/>
        </w:rPr>
      </w:pPr>
    </w:p>
    <w:p>
      <w:pPr>
        <w:jc w:val="both"/>
        <w:ind w:right="100" w:firstLine="469"/>
        <w:spacing w:after="0" w:line="263" w:lineRule="auto"/>
        <w:rPr>
          <w:sz w:val="20"/>
          <w:szCs w:val="20"/>
          <w:color w:val="auto"/>
        </w:rPr>
      </w:pPr>
      <w:r>
        <w:rPr>
          <w:rFonts w:ascii="Arial" w:cs="Arial" w:eastAsia="Arial" w:hAnsi="Arial"/>
          <w:sz w:val="18"/>
          <w:szCs w:val="18"/>
          <w:color w:val="auto"/>
        </w:rPr>
        <w:t>Our OSG segment develops and sells lighting products and provides construction, engineering along with installation and maintenance services for our commercial lighting and energy management systems. OSG provides engineering, design, lighting products and in many cases turnkey solutions for large national accounts, governments, municipalities, schools and other customers.</w:t>
      </w:r>
    </w:p>
    <w:p>
      <w:pPr>
        <w:spacing w:after="0" w:line="12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summarizes our OSG segment operating results (dollars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8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6"/>
          </w:tcPr>
          <w:p>
            <w:pPr>
              <w:jc w:val="right"/>
              <w:ind w:right="140"/>
              <w:spacing w:after="0"/>
              <w:rPr>
                <w:sz w:val="20"/>
                <w:szCs w:val="20"/>
                <w:color w:val="auto"/>
              </w:rPr>
            </w:pPr>
            <w:r>
              <w:rPr>
                <w:rFonts w:ascii="Arial" w:cs="Arial" w:eastAsia="Arial" w:hAnsi="Arial"/>
                <w:sz w:val="14"/>
                <w:szCs w:val="14"/>
                <w:b w:val="1"/>
                <w:bCs w:val="1"/>
                <w:color w:val="auto"/>
              </w:rPr>
              <w:t>Nine Months Ended December 31,</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668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2022</w:t>
            </w: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tcPr>
          <w:p>
            <w:pPr>
              <w:jc w:val="right"/>
              <w:ind w:right="499"/>
              <w:spacing w:after="0" w:line="133"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668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4"/>
        </w:trPr>
        <w:tc>
          <w:tcPr>
            <w:tcW w:w="6680" w:type="dxa"/>
            <w:vAlign w:val="bottom"/>
          </w:tcPr>
          <w:p>
            <w:pPr>
              <w:ind w:left="20"/>
              <w:spacing w:after="0"/>
              <w:rPr>
                <w:sz w:val="20"/>
                <w:szCs w:val="20"/>
                <w:color w:val="auto"/>
              </w:rPr>
            </w:pPr>
            <w:r>
              <w:rPr>
                <w:rFonts w:ascii="Arial" w:cs="Arial" w:eastAsia="Arial" w:hAnsi="Arial"/>
                <w:sz w:val="18"/>
                <w:szCs w:val="18"/>
                <w:color w:val="auto"/>
              </w:rPr>
              <w:t>Revenues</w:t>
            </w:r>
          </w:p>
        </w:tc>
        <w:tc>
          <w:tcPr>
            <w:tcW w:w="880" w:type="dxa"/>
            <w:vAlign w:val="bottom"/>
            <w:tcBorders>
              <w:top w:val="single" w:sz="8" w:color="auto"/>
            </w:tcBorders>
          </w:tcPr>
          <w:p>
            <w:pPr>
              <w:jc w:val="right"/>
              <w:ind w:right="696"/>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27,405</w:t>
            </w:r>
          </w:p>
        </w:tc>
        <w:tc>
          <w:tcPr>
            <w:tcW w:w="240" w:type="dxa"/>
            <w:vAlign w:val="bottom"/>
          </w:tcPr>
          <w:p>
            <w:pPr>
              <w:spacing w:after="0"/>
              <w:rPr>
                <w:sz w:val="19"/>
                <w:szCs w:val="19"/>
                <w:color w:val="auto"/>
              </w:rPr>
            </w:pPr>
          </w:p>
        </w:tc>
        <w:tc>
          <w:tcPr>
            <w:tcW w:w="820" w:type="dxa"/>
            <w:vAlign w:val="bottom"/>
            <w:tcBorders>
              <w:top w:val="single" w:sz="8" w:color="auto"/>
            </w:tcBorders>
          </w:tcPr>
          <w:p>
            <w:pPr>
              <w:jc w:val="right"/>
              <w:ind w:right="636"/>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68,961</w:t>
            </w:r>
          </w:p>
        </w:tc>
        <w:tc>
          <w:tcPr>
            <w:tcW w:w="1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81"/>
              </w:rPr>
              <w:t>)%</w:t>
            </w:r>
          </w:p>
        </w:tc>
        <w:tc>
          <w:tcPr>
            <w:tcW w:w="0" w:type="dxa"/>
            <w:vAlign w:val="bottom"/>
          </w:tcPr>
          <w:p>
            <w:pPr>
              <w:spacing w:after="0"/>
              <w:rPr>
                <w:sz w:val="1"/>
                <w:szCs w:val="1"/>
                <w:color w:val="auto"/>
              </w:rPr>
            </w:pPr>
          </w:p>
        </w:tc>
      </w:tr>
      <w:tr>
        <w:trPr>
          <w:trHeight w:val="249"/>
        </w:trPr>
        <w:tc>
          <w:tcPr>
            <w:tcW w:w="6680" w:type="dxa"/>
            <w:vAlign w:val="bottom"/>
          </w:tcPr>
          <w:p>
            <w:pPr>
              <w:ind w:left="20"/>
              <w:spacing w:after="0"/>
              <w:rPr>
                <w:sz w:val="20"/>
                <w:szCs w:val="20"/>
                <w:color w:val="auto"/>
              </w:rPr>
            </w:pPr>
            <w:r>
              <w:rPr>
                <w:rFonts w:ascii="Arial" w:cs="Arial" w:eastAsia="Arial" w:hAnsi="Arial"/>
                <w:sz w:val="18"/>
                <w:szCs w:val="18"/>
                <w:color w:val="auto"/>
              </w:rPr>
              <w:t>Operating (loss) income</w:t>
            </w:r>
          </w:p>
        </w:tc>
        <w:tc>
          <w:tcPr>
            <w:tcW w:w="880" w:type="dxa"/>
            <w:vAlign w:val="bottom"/>
          </w:tcPr>
          <w:p>
            <w:pPr>
              <w:jc w:val="right"/>
              <w:ind w:right="696"/>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(5,630 )</w:t>
            </w:r>
          </w:p>
        </w:tc>
        <w:tc>
          <w:tcPr>
            <w:tcW w:w="820" w:type="dxa"/>
            <w:vAlign w:val="bottom"/>
          </w:tcPr>
          <w:p>
            <w:pPr>
              <w:jc w:val="right"/>
              <w:ind w:right="636"/>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7,115</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9"/>
        </w:trPr>
        <w:tc>
          <w:tcPr>
            <w:tcW w:w="6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margin</w:t>
            </w:r>
          </w:p>
        </w:tc>
        <w:tc>
          <w:tcPr>
            <w:tcW w:w="880" w:type="dxa"/>
            <w:vAlign w:val="bottom"/>
            <w:shd w:val="clear" w:color="auto" w:fill="CFF0FC"/>
          </w:tcPr>
          <w:p>
            <w:pPr>
              <w:spacing w:after="0"/>
              <w:rPr>
                <w:sz w:val="21"/>
                <w:szCs w:val="21"/>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(20.5 )%</w:t>
            </w:r>
          </w:p>
        </w:tc>
        <w:tc>
          <w:tcPr>
            <w:tcW w:w="820" w:type="dxa"/>
            <w:vAlign w:val="bottom"/>
            <w:shd w:val="clear" w:color="auto" w:fill="CFF0FC"/>
          </w:tcPr>
          <w:p>
            <w:pPr>
              <w:spacing w:after="0"/>
              <w:rPr>
                <w:sz w:val="21"/>
                <w:szCs w:val="21"/>
                <w:color w:val="auto"/>
              </w:rPr>
            </w:pPr>
          </w:p>
        </w:tc>
        <w:tc>
          <w:tcPr>
            <w:tcW w:w="960" w:type="dxa"/>
            <w:vAlign w:val="bottom"/>
            <w:gridSpan w:val="3"/>
            <w:shd w:val="clear" w:color="auto" w:fill="CFF0FC"/>
          </w:tcPr>
          <w:p>
            <w:pPr>
              <w:jc w:val="right"/>
              <w:ind w:right="280"/>
              <w:spacing w:after="0"/>
              <w:rPr>
                <w:sz w:val="20"/>
                <w:szCs w:val="20"/>
                <w:color w:val="auto"/>
              </w:rPr>
            </w:pPr>
            <w:r>
              <w:rPr>
                <w:rFonts w:ascii="Arial" w:cs="Arial" w:eastAsia="Arial" w:hAnsi="Arial"/>
                <w:sz w:val="18"/>
                <w:szCs w:val="18"/>
                <w:color w:val="auto"/>
              </w:rPr>
              <w:t>10.3 %</w:t>
            </w: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6680" w:type="dxa"/>
            <w:vAlign w:val="bottom"/>
          </w:tcPr>
          <w:p>
            <w:pPr>
              <w:spacing w:after="0"/>
              <w:rPr>
                <w:sz w:val="20"/>
                <w:szCs w:val="20"/>
                <w:color w:val="auto"/>
              </w:rPr>
            </w:pPr>
            <w:r>
              <w:rPr>
                <w:rFonts w:ascii="Arial" w:cs="Arial" w:eastAsia="Arial" w:hAnsi="Arial"/>
                <w:sz w:val="16"/>
                <w:szCs w:val="16"/>
                <w:color w:val="auto"/>
              </w:rPr>
              <w:t>* NM - Not Meaningful</w:t>
            </w:r>
          </w:p>
        </w:tc>
        <w:tc>
          <w:tcPr>
            <w:tcW w:w="8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-592455</wp:posOffset>
            </wp:positionV>
            <wp:extent cx="7132320" cy="15430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24" w:lineRule="exact"/>
        <w:rPr>
          <w:sz w:val="20"/>
          <w:szCs w:val="20"/>
          <w:color w:val="auto"/>
        </w:rPr>
      </w:pPr>
    </w:p>
    <w:p>
      <w:pPr>
        <w:jc w:val="both"/>
        <w:ind w:right="100" w:firstLine="469"/>
        <w:spacing w:after="0" w:line="256" w:lineRule="auto"/>
        <w:rPr>
          <w:sz w:val="20"/>
          <w:szCs w:val="20"/>
          <w:color w:val="auto"/>
        </w:rPr>
      </w:pPr>
      <w:r>
        <w:rPr>
          <w:rFonts w:ascii="Arial" w:cs="Arial" w:eastAsia="Arial" w:hAnsi="Arial"/>
          <w:sz w:val="18"/>
          <w:szCs w:val="18"/>
          <w:color w:val="auto"/>
        </w:rPr>
        <w:t>OSG segment revenue in the first nine months of fiscal 2023 decreased by 60.3%, or $41.6 million, compared to the first nine months of fiscal 2022. The decrease in revenue was due to a significant reduction of project volume from our largest customer and comparatively lower project volume from other customers, primarily caused by the response of customers to supply chain disruptions and other delays. This revenue decrease is partially offset by the added revenue from Stay-Lite Lighting. This decrease led to a corresponding operating loss in this segment, as a result of revenue decreased absorption of fixed costs.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Orion Distribution Services Division</w:t>
      </w:r>
    </w:p>
    <w:p>
      <w:pPr>
        <w:spacing w:after="0" w:line="175" w:lineRule="exact"/>
        <w:rPr>
          <w:sz w:val="20"/>
          <w:szCs w:val="20"/>
          <w:color w:val="auto"/>
        </w:rPr>
      </w:pPr>
    </w:p>
    <w:p>
      <w:pPr>
        <w:jc w:val="both"/>
        <w:ind w:right="100" w:firstLine="469"/>
        <w:spacing w:after="0" w:line="277" w:lineRule="auto"/>
        <w:rPr>
          <w:sz w:val="20"/>
          <w:szCs w:val="20"/>
          <w:color w:val="auto"/>
        </w:rPr>
      </w:pPr>
      <w:r>
        <w:rPr>
          <w:rFonts w:ascii="Arial" w:cs="Arial" w:eastAsia="Arial" w:hAnsi="Arial"/>
          <w:sz w:val="18"/>
          <w:szCs w:val="18"/>
          <w:color w:val="auto"/>
        </w:rPr>
        <w:t>Our ODS segment focuses on selling lighting products through manufacturer representative agencies and a network of North American broadline and electrical distributors and contractors.</w:t>
      </w:r>
    </w:p>
    <w:p>
      <w:pPr>
        <w:spacing w:after="0" w:line="11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summarizes our ODS segment operating results (dollars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2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6"/>
          </w:tcPr>
          <w:p>
            <w:pPr>
              <w:ind w:left="340"/>
              <w:spacing w:after="0"/>
              <w:rPr>
                <w:sz w:val="20"/>
                <w:szCs w:val="20"/>
                <w:color w:val="auto"/>
              </w:rPr>
            </w:pPr>
            <w:r>
              <w:rPr>
                <w:rFonts w:ascii="Arial" w:cs="Arial" w:eastAsia="Arial" w:hAnsi="Arial"/>
                <w:sz w:val="14"/>
                <w:szCs w:val="14"/>
                <w:b w:val="1"/>
                <w:bCs w:val="1"/>
                <w:color w:val="auto"/>
                <w:w w:val="99"/>
              </w:rPr>
              <w:t>Nine Months Ended December 31,</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662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2022</w:t>
            </w: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jc w:val="right"/>
              <w:ind w:right="539"/>
              <w:spacing w:after="0" w:line="133"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66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4"/>
        </w:trPr>
        <w:tc>
          <w:tcPr>
            <w:tcW w:w="6620" w:type="dxa"/>
            <w:vAlign w:val="bottom"/>
          </w:tcPr>
          <w:p>
            <w:pPr>
              <w:ind w:left="20"/>
              <w:spacing w:after="0"/>
              <w:rPr>
                <w:sz w:val="20"/>
                <w:szCs w:val="20"/>
                <w:color w:val="auto"/>
              </w:rPr>
            </w:pPr>
            <w:r>
              <w:rPr>
                <w:rFonts w:ascii="Arial" w:cs="Arial" w:eastAsia="Arial" w:hAnsi="Arial"/>
                <w:sz w:val="18"/>
                <w:szCs w:val="18"/>
                <w:color w:val="auto"/>
              </w:rPr>
              <w:t>Revenues</w:t>
            </w:r>
          </w:p>
        </w:tc>
        <w:tc>
          <w:tcPr>
            <w:tcW w:w="860" w:type="dxa"/>
            <w:vAlign w:val="bottom"/>
            <w:tcBorders>
              <w:top w:val="single" w:sz="8" w:color="auto"/>
            </w:tcBorders>
          </w:tcPr>
          <w:p>
            <w:pPr>
              <w:jc w:val="right"/>
              <w:ind w:right="659"/>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12,846</w:t>
            </w:r>
          </w:p>
        </w:tc>
        <w:tc>
          <w:tcPr>
            <w:tcW w:w="240" w:type="dxa"/>
            <w:vAlign w:val="bottom"/>
          </w:tcPr>
          <w:p>
            <w:pPr>
              <w:spacing w:after="0"/>
              <w:rPr>
                <w:sz w:val="19"/>
                <w:szCs w:val="19"/>
                <w:color w:val="auto"/>
              </w:rPr>
            </w:pPr>
          </w:p>
        </w:tc>
        <w:tc>
          <w:tcPr>
            <w:tcW w:w="840" w:type="dxa"/>
            <w:vAlign w:val="bottom"/>
            <w:tcBorders>
              <w:top w:val="single" w:sz="8" w:color="auto"/>
            </w:tcBorders>
          </w:tcPr>
          <w:p>
            <w:pPr>
              <w:jc w:val="right"/>
              <w:ind w:right="659"/>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18,264</w:t>
            </w:r>
          </w:p>
        </w:tc>
        <w:tc>
          <w:tcPr>
            <w:tcW w:w="16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81"/>
              </w:rPr>
              <w:t>)%</w:t>
            </w:r>
          </w:p>
        </w:tc>
        <w:tc>
          <w:tcPr>
            <w:tcW w:w="0" w:type="dxa"/>
            <w:vAlign w:val="bottom"/>
          </w:tcPr>
          <w:p>
            <w:pPr>
              <w:spacing w:after="0"/>
              <w:rPr>
                <w:sz w:val="1"/>
                <w:szCs w:val="1"/>
                <w:color w:val="auto"/>
              </w:rPr>
            </w:pPr>
          </w:p>
        </w:tc>
      </w:tr>
      <w:tr>
        <w:trPr>
          <w:trHeight w:val="249"/>
        </w:trPr>
        <w:tc>
          <w:tcPr>
            <w:tcW w:w="662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8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3,173</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(99.8 )%</w:t>
            </w:r>
          </w:p>
        </w:tc>
        <w:tc>
          <w:tcPr>
            <w:tcW w:w="0" w:type="dxa"/>
            <w:vAlign w:val="bottom"/>
          </w:tcPr>
          <w:p>
            <w:pPr>
              <w:spacing w:after="0"/>
              <w:rPr>
                <w:sz w:val="1"/>
                <w:szCs w:val="1"/>
                <w:color w:val="auto"/>
              </w:rPr>
            </w:pPr>
          </w:p>
        </w:tc>
      </w:tr>
      <w:tr>
        <w:trPr>
          <w:trHeight w:val="249"/>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margin</w:t>
            </w:r>
          </w:p>
        </w:tc>
        <w:tc>
          <w:tcPr>
            <w:tcW w:w="860" w:type="dxa"/>
            <w:vAlign w:val="bottom"/>
            <w:shd w:val="clear" w:color="auto" w:fill="CFF0FC"/>
          </w:tcPr>
          <w:p>
            <w:pPr>
              <w:spacing w:after="0"/>
              <w:rPr>
                <w:sz w:val="21"/>
                <w:szCs w:val="21"/>
                <w:color w:val="auto"/>
              </w:rPr>
            </w:pPr>
          </w:p>
        </w:tc>
        <w:tc>
          <w:tcPr>
            <w:tcW w:w="7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0.0 %</w:t>
            </w:r>
          </w:p>
        </w:tc>
        <w:tc>
          <w:tcPr>
            <w:tcW w:w="840" w:type="dxa"/>
            <w:vAlign w:val="bottom"/>
            <w:shd w:val="clear" w:color="auto" w:fill="CFF0FC"/>
          </w:tcPr>
          <w:p>
            <w:pPr>
              <w:spacing w:after="0"/>
              <w:rPr>
                <w:sz w:val="21"/>
                <w:szCs w:val="21"/>
                <w:color w:val="auto"/>
              </w:rPr>
            </w:pPr>
          </w:p>
        </w:tc>
        <w:tc>
          <w:tcPr>
            <w:tcW w:w="1000" w:type="dxa"/>
            <w:vAlign w:val="bottom"/>
            <w:gridSpan w:val="3"/>
            <w:shd w:val="clear" w:color="auto" w:fill="CFF0FC"/>
          </w:tcPr>
          <w:p>
            <w:pPr>
              <w:jc w:val="right"/>
              <w:ind w:right="320"/>
              <w:spacing w:after="0"/>
              <w:rPr>
                <w:sz w:val="20"/>
                <w:szCs w:val="20"/>
                <w:color w:val="auto"/>
              </w:rPr>
            </w:pPr>
            <w:r>
              <w:rPr>
                <w:rFonts w:ascii="Arial" w:cs="Arial" w:eastAsia="Arial" w:hAnsi="Arial"/>
                <w:sz w:val="18"/>
                <w:szCs w:val="18"/>
                <w:color w:val="auto"/>
              </w:rPr>
              <w:t>17.4 %</w:t>
            </w: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-461645</wp:posOffset>
            </wp:positionV>
            <wp:extent cx="7132320" cy="15430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81" w:lineRule="exact"/>
        <w:rPr>
          <w:sz w:val="20"/>
          <w:szCs w:val="20"/>
          <w:color w:val="auto"/>
        </w:rPr>
      </w:pPr>
    </w:p>
    <w:p>
      <w:pPr>
        <w:jc w:val="both"/>
        <w:ind w:right="100" w:firstLine="469"/>
        <w:spacing w:after="0" w:line="263" w:lineRule="auto"/>
        <w:rPr>
          <w:sz w:val="20"/>
          <w:szCs w:val="20"/>
          <w:color w:val="auto"/>
        </w:rPr>
      </w:pPr>
      <w:r>
        <w:rPr>
          <w:rFonts w:ascii="Arial" w:cs="Arial" w:eastAsia="Arial" w:hAnsi="Arial"/>
          <w:sz w:val="18"/>
          <w:szCs w:val="18"/>
          <w:color w:val="auto"/>
        </w:rPr>
        <w:t>ODS segment revenue in the first nine months of fiscal 2023 decreased by 29.7%, or $5.4 million, compared to the first nine months of fiscal 2022, primarily due to a decrease in sales to one customer. The decrease in sales resulted in a corresponding operating loss in this segment based on operating leverage.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Orion U.S. Markets Division</w:t>
      </w:r>
    </w:p>
    <w:p>
      <w:pPr>
        <w:spacing w:after="0" w:line="175" w:lineRule="exact"/>
        <w:rPr>
          <w:sz w:val="20"/>
          <w:szCs w:val="20"/>
          <w:color w:val="auto"/>
        </w:rPr>
      </w:pPr>
    </w:p>
    <w:p>
      <w:pPr>
        <w:jc w:val="both"/>
        <w:ind w:right="100" w:firstLine="469"/>
        <w:spacing w:after="0" w:line="277" w:lineRule="auto"/>
        <w:rPr>
          <w:sz w:val="20"/>
          <w:szCs w:val="20"/>
          <w:color w:val="auto"/>
        </w:rPr>
      </w:pPr>
      <w:r>
        <w:rPr>
          <w:rFonts w:ascii="Arial" w:cs="Arial" w:eastAsia="Arial" w:hAnsi="Arial"/>
          <w:sz w:val="18"/>
          <w:szCs w:val="18"/>
          <w:color w:val="auto"/>
        </w:rPr>
        <w:t>Our USM segment sells commercial lighting systems and energy management systems to the wholesale contractor markets. USM customers include ESCOs and contractors.</w:t>
      </w:r>
    </w:p>
    <w:p>
      <w:pPr>
        <w:spacing w:after="0" w:line="11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summarizes our USM segment operating results (dollars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42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6"/>
          </w:tcPr>
          <w:p>
            <w:pPr>
              <w:ind w:left="340"/>
              <w:spacing w:after="0"/>
              <w:rPr>
                <w:sz w:val="20"/>
                <w:szCs w:val="20"/>
                <w:color w:val="auto"/>
              </w:rPr>
            </w:pPr>
            <w:r>
              <w:rPr>
                <w:rFonts w:ascii="Arial" w:cs="Arial" w:eastAsia="Arial" w:hAnsi="Arial"/>
                <w:sz w:val="14"/>
                <w:szCs w:val="14"/>
                <w:b w:val="1"/>
                <w:bCs w:val="1"/>
                <w:color w:val="auto"/>
                <w:w w:val="99"/>
              </w:rPr>
              <w:t>Nine Months Ended December 31,</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420" w:type="dxa"/>
            <w:vAlign w:val="bottom"/>
          </w:tcPr>
          <w:p>
            <w:pPr>
              <w:spacing w:after="0"/>
              <w:rPr>
                <w:sz w:val="11"/>
                <w:szCs w:val="11"/>
                <w:color w:val="auto"/>
              </w:rPr>
            </w:pPr>
          </w:p>
        </w:tc>
        <w:tc>
          <w:tcPr>
            <w:tcW w:w="40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2022</w:t>
            </w: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jc w:val="right"/>
              <w:ind w:right="539"/>
              <w:spacing w:after="0" w:line="133"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3420" w:type="dxa"/>
            <w:vAlign w:val="bottom"/>
          </w:tcPr>
          <w:p>
            <w:pPr>
              <w:spacing w:after="0"/>
              <w:rPr>
                <w:sz w:val="16"/>
                <w:szCs w:val="16"/>
                <w:color w:val="auto"/>
              </w:rPr>
            </w:pPr>
          </w:p>
        </w:tc>
        <w:tc>
          <w:tcPr>
            <w:tcW w:w="4060" w:type="dxa"/>
            <w:vAlign w:val="bottom"/>
            <w:gridSpan w:val="2"/>
            <w:vMerge w:val="continue"/>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4"/>
        </w:trPr>
        <w:tc>
          <w:tcPr>
            <w:tcW w:w="3420" w:type="dxa"/>
            <w:vAlign w:val="bottom"/>
          </w:tcPr>
          <w:p>
            <w:pPr>
              <w:ind w:left="20"/>
              <w:spacing w:after="0"/>
              <w:rPr>
                <w:sz w:val="20"/>
                <w:szCs w:val="20"/>
                <w:color w:val="auto"/>
              </w:rPr>
            </w:pPr>
            <w:r>
              <w:rPr>
                <w:rFonts w:ascii="Arial" w:cs="Arial" w:eastAsia="Arial" w:hAnsi="Arial"/>
                <w:sz w:val="18"/>
                <w:szCs w:val="18"/>
                <w:color w:val="auto"/>
              </w:rPr>
              <w:t>Revenues</w:t>
            </w:r>
          </w:p>
        </w:tc>
        <w:tc>
          <w:tcPr>
            <w:tcW w:w="3200" w:type="dxa"/>
            <w:vAlign w:val="bottom"/>
          </w:tcPr>
          <w:p>
            <w:pPr>
              <w:spacing w:after="0"/>
              <w:rPr>
                <w:sz w:val="19"/>
                <w:szCs w:val="19"/>
                <w:color w:val="auto"/>
              </w:rPr>
            </w:pPr>
          </w:p>
        </w:tc>
        <w:tc>
          <w:tcPr>
            <w:tcW w:w="860" w:type="dxa"/>
            <w:vAlign w:val="bottom"/>
            <w:tcBorders>
              <w:top w:val="single" w:sz="8" w:color="auto"/>
            </w:tcBorders>
          </w:tcPr>
          <w:p>
            <w:pPr>
              <w:jc w:val="right"/>
              <w:ind w:right="650"/>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12,673</w:t>
            </w:r>
          </w:p>
        </w:tc>
        <w:tc>
          <w:tcPr>
            <w:tcW w:w="240" w:type="dxa"/>
            <w:vAlign w:val="bottom"/>
          </w:tcPr>
          <w:p>
            <w:pPr>
              <w:spacing w:after="0"/>
              <w:rPr>
                <w:sz w:val="19"/>
                <w:szCs w:val="19"/>
                <w:color w:val="auto"/>
              </w:rPr>
            </w:pPr>
          </w:p>
        </w:tc>
        <w:tc>
          <w:tcPr>
            <w:tcW w:w="840" w:type="dxa"/>
            <w:vAlign w:val="bottom"/>
            <w:tcBorders>
              <w:top w:val="single" w:sz="8" w:color="auto"/>
            </w:tcBorders>
          </w:tcPr>
          <w:p>
            <w:pPr>
              <w:jc w:val="right"/>
              <w:ind w:right="659"/>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15,100</w:t>
            </w:r>
          </w:p>
        </w:tc>
        <w:tc>
          <w:tcPr>
            <w:tcW w:w="16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81"/>
              </w:rPr>
              <w:t>)%</w:t>
            </w:r>
          </w:p>
        </w:tc>
        <w:tc>
          <w:tcPr>
            <w:tcW w:w="0" w:type="dxa"/>
            <w:vAlign w:val="bottom"/>
          </w:tcPr>
          <w:p>
            <w:pPr>
              <w:spacing w:after="0"/>
              <w:rPr>
                <w:sz w:val="1"/>
                <w:szCs w:val="1"/>
                <w:color w:val="auto"/>
              </w:rPr>
            </w:pPr>
          </w:p>
        </w:tc>
      </w:tr>
      <w:tr>
        <w:trPr>
          <w:trHeight w:val="249"/>
        </w:trPr>
        <w:tc>
          <w:tcPr>
            <w:tcW w:w="342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3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1,028</w:t>
            </w: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3,198</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(67.9 )%</w:t>
            </w:r>
          </w:p>
        </w:tc>
        <w:tc>
          <w:tcPr>
            <w:tcW w:w="0" w:type="dxa"/>
            <w:vAlign w:val="bottom"/>
          </w:tcPr>
          <w:p>
            <w:pPr>
              <w:spacing w:after="0"/>
              <w:rPr>
                <w:sz w:val="1"/>
                <w:szCs w:val="1"/>
                <w:color w:val="auto"/>
              </w:rPr>
            </w:pPr>
          </w:p>
        </w:tc>
      </w:tr>
      <w:tr>
        <w:trPr>
          <w:trHeight w:val="249"/>
        </w:trPr>
        <w:tc>
          <w:tcPr>
            <w:tcW w:w="34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margin</w:t>
            </w:r>
          </w:p>
        </w:tc>
        <w:tc>
          <w:tcPr>
            <w:tcW w:w="320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7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8.1 %</w:t>
            </w:r>
          </w:p>
        </w:tc>
        <w:tc>
          <w:tcPr>
            <w:tcW w:w="840" w:type="dxa"/>
            <w:vAlign w:val="bottom"/>
            <w:shd w:val="clear" w:color="auto" w:fill="CFF0FC"/>
          </w:tcPr>
          <w:p>
            <w:pPr>
              <w:spacing w:after="0"/>
              <w:rPr>
                <w:sz w:val="21"/>
                <w:szCs w:val="21"/>
                <w:color w:val="auto"/>
              </w:rPr>
            </w:pPr>
          </w:p>
        </w:tc>
        <w:tc>
          <w:tcPr>
            <w:tcW w:w="1000" w:type="dxa"/>
            <w:vAlign w:val="bottom"/>
            <w:gridSpan w:val="3"/>
            <w:shd w:val="clear" w:color="auto" w:fill="CFF0FC"/>
          </w:tcPr>
          <w:p>
            <w:pPr>
              <w:jc w:val="right"/>
              <w:ind w:right="320"/>
              <w:spacing w:after="0"/>
              <w:rPr>
                <w:sz w:val="20"/>
                <w:szCs w:val="20"/>
                <w:color w:val="auto"/>
              </w:rPr>
            </w:pPr>
            <w:r>
              <w:rPr>
                <w:rFonts w:ascii="Arial" w:cs="Arial" w:eastAsia="Arial" w:hAnsi="Arial"/>
                <w:sz w:val="18"/>
                <w:szCs w:val="18"/>
                <w:color w:val="auto"/>
              </w:rPr>
              <w:t>21.2 %</w:t>
            </w: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47"/>
        </w:trPr>
        <w:tc>
          <w:tcPr>
            <w:tcW w:w="3420" w:type="dxa"/>
            <w:vAlign w:val="bottom"/>
          </w:tcPr>
          <w:p>
            <w:pPr>
              <w:spacing w:after="0"/>
              <w:rPr>
                <w:sz w:val="24"/>
                <w:szCs w:val="24"/>
                <w:color w:val="auto"/>
              </w:rPr>
            </w:pPr>
          </w:p>
        </w:tc>
        <w:tc>
          <w:tcPr>
            <w:tcW w:w="3200" w:type="dxa"/>
            <w:vAlign w:val="bottom"/>
          </w:tcPr>
          <w:p>
            <w:pPr>
              <w:jc w:val="right"/>
              <w:ind w:right="819"/>
              <w:spacing w:after="0"/>
              <w:rPr>
                <w:sz w:val="20"/>
                <w:szCs w:val="20"/>
                <w:color w:val="auto"/>
              </w:rPr>
            </w:pPr>
            <w:r>
              <w:rPr>
                <w:rFonts w:ascii="Arial" w:cs="Arial" w:eastAsia="Arial" w:hAnsi="Arial"/>
                <w:sz w:val="18"/>
                <w:szCs w:val="18"/>
                <w:color w:val="auto"/>
              </w:rPr>
              <w:t>30</w:t>
            </w: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420" w:type="dxa"/>
            <w:vAlign w:val="bottom"/>
            <w:tcBorders>
              <w:bottom w:val="single" w:sz="8" w:color="9A9A9A"/>
            </w:tcBorders>
          </w:tcPr>
          <w:p>
            <w:pPr>
              <w:spacing w:after="0"/>
              <w:rPr>
                <w:sz w:val="9"/>
                <w:szCs w:val="9"/>
                <w:color w:val="auto"/>
              </w:rPr>
            </w:pPr>
          </w:p>
        </w:tc>
        <w:tc>
          <w:tcPr>
            <w:tcW w:w="320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-958215</wp:posOffset>
            </wp:positionV>
            <wp:extent cx="7132320" cy="15430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40"/>
          </w:cols>
          <w:pgMar w:left="320" w:top="503" w:right="239" w:bottom="1440" w:gutter="0" w:footer="0" w:header="0"/>
        </w:sectPr>
      </w:pPr>
    </w:p>
    <w:bookmarkStart w:id="30" w:name="page31"/>
    <w:bookmarkEnd w:id="30"/>
    <w:p>
      <w:pPr>
        <w:jc w:val="both"/>
        <w:ind w:right="20" w:firstLine="469"/>
        <w:spacing w:after="0" w:line="341" w:lineRule="auto"/>
        <w:rPr>
          <w:sz w:val="20"/>
          <w:szCs w:val="20"/>
          <w:color w:val="auto"/>
        </w:rPr>
      </w:pPr>
      <w:r>
        <w:rPr>
          <w:rFonts w:ascii="Arial" w:cs="Arial" w:eastAsia="Arial" w:hAnsi="Arial"/>
          <w:sz w:val="16"/>
          <w:szCs w:val="16"/>
          <w:color w:val="auto"/>
        </w:rPr>
        <w:t>USM segment revenue in the first nine months of fiscal 2023 decreased by 16.1%, or $2.4 million, compared to the first nine months of fiscal 2022, primarily due to a less diversified customer base. Operating income in this segment decreased as a result of increased allocation of corporate costs.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Orion Electric Vehicle Division</w:t>
      </w:r>
    </w:p>
    <w:p>
      <w:pPr>
        <w:spacing w:after="0" w:line="171" w:lineRule="exact"/>
        <w:rPr>
          <w:sz w:val="20"/>
          <w:szCs w:val="20"/>
          <w:color w:val="auto"/>
        </w:rPr>
      </w:pPr>
    </w:p>
    <w:p>
      <w:pPr>
        <w:ind w:left="480"/>
        <w:spacing w:after="0"/>
        <w:rPr>
          <w:sz w:val="20"/>
          <w:szCs w:val="20"/>
          <w:color w:val="auto"/>
        </w:rPr>
      </w:pPr>
      <w:r>
        <w:rPr>
          <w:rFonts w:ascii="Arial" w:cs="Arial" w:eastAsia="Arial" w:hAnsi="Arial"/>
          <w:sz w:val="16"/>
          <w:szCs w:val="16"/>
          <w:color w:val="auto"/>
        </w:rPr>
        <w:t>Our EV segment offers leading electric vehicle charging expertise and provides turnkey solutions with ongoing support to all commercial verticals.</w:t>
      </w:r>
    </w:p>
    <w:p>
      <w:pPr>
        <w:spacing w:after="0" w:line="19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summarizes our EV segment operating results (dollars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58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6"/>
          </w:tcPr>
          <w:p>
            <w:pPr>
              <w:jc w:val="center"/>
              <w:ind w:left="115"/>
              <w:spacing w:after="0"/>
              <w:rPr>
                <w:sz w:val="20"/>
                <w:szCs w:val="20"/>
                <w:color w:val="auto"/>
              </w:rPr>
            </w:pPr>
            <w:r>
              <w:rPr>
                <w:rFonts w:ascii="Arial" w:cs="Arial" w:eastAsia="Arial" w:hAnsi="Arial"/>
                <w:sz w:val="14"/>
                <w:szCs w:val="14"/>
                <w:b w:val="1"/>
                <w:bCs w:val="1"/>
                <w:color w:val="auto"/>
                <w:w w:val="93"/>
              </w:rPr>
              <w:t>Nine Months Ended December 31,</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658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2022</w:t>
            </w: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rPr>
              <w:t>2021</w:t>
            </w: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tcPr>
          <w:p>
            <w:pPr>
              <w:jc w:val="right"/>
              <w:ind w:right="559"/>
              <w:spacing w:after="0" w:line="13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5"/>
        </w:trPr>
        <w:tc>
          <w:tcPr>
            <w:tcW w:w="6580" w:type="dxa"/>
            <w:vAlign w:val="bottom"/>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239"/>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236"/>
        </w:trPr>
        <w:tc>
          <w:tcPr>
            <w:tcW w:w="6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Revenues</w:t>
            </w:r>
          </w:p>
        </w:tc>
        <w:tc>
          <w:tcPr>
            <w:tcW w:w="900" w:type="dxa"/>
            <w:vAlign w:val="bottom"/>
            <w:shd w:val="clear" w:color="auto" w:fill="CFF0FC"/>
          </w:tcPr>
          <w:p>
            <w:pPr>
              <w:jc w:val="right"/>
              <w:ind w:right="699"/>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2,830</w:t>
            </w: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jc w:val="right"/>
              <w:ind w:right="759"/>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FF0FC"/>
          </w:tcPr>
          <w:p>
            <w:pPr>
              <w:ind w:left="160"/>
              <w:spacing w:after="0"/>
              <w:rPr>
                <w:sz w:val="20"/>
                <w:szCs w:val="20"/>
                <w:color w:val="auto"/>
              </w:rPr>
            </w:pPr>
            <w:r>
              <w:rPr>
                <w:rFonts w:ascii="Arial" w:cs="Arial" w:eastAsia="Arial" w:hAnsi="Arial"/>
                <w:sz w:val="18"/>
                <w:szCs w:val="18"/>
                <w:color w:val="auto"/>
                <w:w w:val="88"/>
              </w:rPr>
              <w:t>—</w:t>
            </w: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00" w:type="dxa"/>
            <w:vAlign w:val="bottom"/>
            <w:shd w:val="clear" w:color="auto" w:fill="CFF0FC"/>
          </w:tcPr>
          <w:p>
            <w:pPr>
              <w:ind w:left="800"/>
              <w:spacing w:after="0"/>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r>
        <w:trPr>
          <w:trHeight w:val="236"/>
        </w:trPr>
        <w:tc>
          <w:tcPr>
            <w:tcW w:w="658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90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(1,500 )</w:t>
            </w:r>
          </w:p>
        </w:tc>
        <w:tc>
          <w:tcPr>
            <w:tcW w:w="940" w:type="dxa"/>
            <w:vAlign w:val="bottom"/>
          </w:tcPr>
          <w:p>
            <w:pPr>
              <w:spacing w:after="0"/>
              <w:rPr>
                <w:sz w:val="20"/>
                <w:szCs w:val="20"/>
                <w:color w:val="auto"/>
              </w:rPr>
            </w:pPr>
          </w:p>
        </w:tc>
        <w:tc>
          <w:tcPr>
            <w:tcW w:w="92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1100" w:type="dxa"/>
            <w:vAlign w:val="bottom"/>
          </w:tcPr>
          <w:p>
            <w:pPr>
              <w:ind w:left="800"/>
              <w:spacing w:after="0"/>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r>
        <w:trPr>
          <w:trHeight w:val="249"/>
        </w:trPr>
        <w:tc>
          <w:tcPr>
            <w:tcW w:w="6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margin</w:t>
            </w:r>
          </w:p>
        </w:tc>
        <w:tc>
          <w:tcPr>
            <w:tcW w:w="90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(53.0 )%</w:t>
            </w:r>
          </w:p>
        </w:tc>
        <w:tc>
          <w:tcPr>
            <w:tcW w:w="940" w:type="dxa"/>
            <w:vAlign w:val="bottom"/>
            <w:shd w:val="clear" w:color="auto" w:fill="CFF0FC"/>
          </w:tcPr>
          <w:p>
            <w:pPr>
              <w:spacing w:after="0"/>
              <w:rPr>
                <w:sz w:val="21"/>
                <w:szCs w:val="21"/>
                <w:color w:val="auto"/>
              </w:rPr>
            </w:pPr>
          </w:p>
        </w:tc>
        <w:tc>
          <w:tcPr>
            <w:tcW w:w="920" w:type="dxa"/>
            <w:vAlign w:val="bottom"/>
            <w:gridSpan w:val="3"/>
            <w:shd w:val="clear" w:color="auto" w:fill="CFF0FC"/>
          </w:tcPr>
          <w:p>
            <w:pPr>
              <w:ind w:left="160"/>
              <w:spacing w:after="0"/>
              <w:rPr>
                <w:sz w:val="20"/>
                <w:szCs w:val="20"/>
                <w:color w:val="auto"/>
              </w:rPr>
            </w:pPr>
            <w:r>
              <w:rPr>
                <w:rFonts w:ascii="Arial" w:cs="Arial" w:eastAsia="Arial" w:hAnsi="Arial"/>
                <w:sz w:val="18"/>
                <w:szCs w:val="18"/>
                <w:color w:val="auto"/>
              </w:rPr>
              <w:t>— %</w:t>
            </w:r>
          </w:p>
        </w:tc>
        <w:tc>
          <w:tcPr>
            <w:tcW w:w="1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6580" w:type="dxa"/>
            <w:vAlign w:val="bottom"/>
          </w:tcPr>
          <w:p>
            <w:pPr>
              <w:spacing w:after="0"/>
              <w:rPr>
                <w:sz w:val="20"/>
                <w:szCs w:val="20"/>
                <w:color w:val="auto"/>
              </w:rPr>
            </w:pPr>
            <w:r>
              <w:rPr>
                <w:rFonts w:ascii="Arial" w:cs="Arial" w:eastAsia="Arial" w:hAnsi="Arial"/>
                <w:sz w:val="16"/>
                <w:szCs w:val="16"/>
                <w:color w:val="auto"/>
              </w:rPr>
              <w:t>* NM - Not Meaningful</w:t>
            </w:r>
          </w:p>
        </w:tc>
        <w:tc>
          <w:tcPr>
            <w:tcW w:w="9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ind w:firstLine="464"/>
        <w:spacing w:after="0" w:line="277" w:lineRule="auto"/>
        <w:rPr>
          <w:sz w:val="20"/>
          <w:szCs w:val="20"/>
          <w:color w:val="auto"/>
        </w:rPr>
      </w:pPr>
      <w:r>
        <w:rPr>
          <w:rFonts w:ascii="Arial" w:cs="Arial" w:eastAsia="Arial" w:hAnsi="Arial"/>
          <w:sz w:val="18"/>
          <w:szCs w:val="18"/>
          <w:color w:val="auto"/>
        </w:rPr>
        <w:t>With our acquisition of Voltrek on October 5, 2022, EV segment revenue in the first nine months of fiscal 2023 was $2.8 million. Operating loss in this segment was primarily a result of $1.5 million earnout expense in acquisition costs.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71" w:lineRule="exact"/>
        <w:rPr>
          <w:sz w:val="20"/>
          <w:szCs w:val="20"/>
          <w:color w:val="auto"/>
        </w:rPr>
      </w:pPr>
    </w:p>
    <w:p>
      <w:pPr>
        <w:jc w:val="both"/>
        <w:ind w:firstLine="469"/>
        <w:spacing w:after="0" w:line="263" w:lineRule="auto"/>
        <w:rPr>
          <w:sz w:val="20"/>
          <w:szCs w:val="20"/>
          <w:color w:val="auto"/>
        </w:rPr>
      </w:pPr>
      <w:r>
        <w:rPr>
          <w:rFonts w:ascii="Arial" w:cs="Arial" w:eastAsia="Arial" w:hAnsi="Arial"/>
          <w:sz w:val="18"/>
          <w:szCs w:val="18"/>
          <w:color w:val="auto"/>
        </w:rPr>
        <w:t>We believe our existing cash and operating cash flow provide us with the financial flexibility needed to meet our capital requirements, including to fund targeted capital expenditures, acquisitions and working capital for at least one year from the date of this report, as well as our longer-term capital requirements for periods beyond at least one year from the date of this report.</w:t>
      </w:r>
    </w:p>
    <w:p>
      <w:pPr>
        <w:spacing w:after="0" w:line="129" w:lineRule="exact"/>
        <w:rPr>
          <w:sz w:val="20"/>
          <w:szCs w:val="20"/>
          <w:color w:val="auto"/>
        </w:rPr>
      </w:pPr>
    </w:p>
    <w:p>
      <w:pPr>
        <w:jc w:val="both"/>
        <w:ind w:firstLine="469"/>
        <w:spacing w:after="0" w:line="307" w:lineRule="auto"/>
        <w:rPr>
          <w:sz w:val="20"/>
          <w:szCs w:val="20"/>
          <w:color w:val="auto"/>
        </w:rPr>
      </w:pPr>
      <w:r>
        <w:rPr>
          <w:rFonts w:ascii="Arial" w:cs="Arial" w:eastAsia="Arial" w:hAnsi="Arial"/>
          <w:sz w:val="17"/>
          <w:szCs w:val="17"/>
          <w:color w:val="auto"/>
        </w:rPr>
        <w:t>We had approximately $8.1 million in cash and cash equivalents as of December 31, 2022, compared to $14.5 million at March 31, 2022. Our cash position decreased as a result of an operating loss and an overall use of working capital during the first nine months of fiscal 2023.</w:t>
      </w:r>
    </w:p>
    <w:p>
      <w:pPr>
        <w:spacing w:after="0" w:line="93" w:lineRule="exact"/>
        <w:rPr>
          <w:sz w:val="20"/>
          <w:szCs w:val="20"/>
          <w:color w:val="auto"/>
        </w:rPr>
      </w:pPr>
    </w:p>
    <w:p>
      <w:pPr>
        <w:jc w:val="both"/>
        <w:ind w:firstLine="469"/>
        <w:spacing w:after="0" w:line="296" w:lineRule="auto"/>
        <w:rPr>
          <w:sz w:val="20"/>
          <w:szCs w:val="20"/>
          <w:color w:val="auto"/>
        </w:rPr>
      </w:pPr>
      <w:r>
        <w:rPr>
          <w:rFonts w:ascii="Arial" w:cs="Arial" w:eastAsia="Arial" w:hAnsi="Arial"/>
          <w:sz w:val="16"/>
          <w:szCs w:val="16"/>
          <w:color w:val="auto"/>
        </w:rPr>
        <w:t>Our future liquidity needs and forecasted cash flows are dependent upon many factors, including our relative revenue, gross margins, cash management practices, cost containment, working capital management, capital expenditures. While we believe that we will likely have adequate available cash and equivalents and credit availability under our Credit Agreement to satisfy our currently anticipated working capital and liquidity requirements for at least the next 12 months based on our current cash flow forecast. If we experience significant liquidity constraints, we may be required to issue equity or debt securities, reduce our sales efforts, implement additional cost savings initiatives or undertake other efforts to conserve our cash.</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7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summarizes our cash flows for the nine months ended December 31, 2022 and 2021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00" w:type="dxa"/>
            <w:vAlign w:val="bottom"/>
          </w:tcPr>
          <w:p>
            <w:pPr>
              <w:spacing w:after="0"/>
              <w:rPr>
                <w:sz w:val="16"/>
                <w:szCs w:val="16"/>
                <w:color w:val="auto"/>
              </w:rPr>
            </w:pPr>
          </w:p>
        </w:tc>
        <w:tc>
          <w:tcPr>
            <w:tcW w:w="2880" w:type="dxa"/>
            <w:vAlign w:val="bottom"/>
            <w:tcBorders>
              <w:bottom w:val="single" w:sz="8" w:color="auto"/>
            </w:tcBorders>
            <w:gridSpan w:val="4"/>
          </w:tcPr>
          <w:p>
            <w:pPr>
              <w:jc w:val="right"/>
              <w:ind w:right="16"/>
              <w:spacing w:after="0"/>
              <w:rPr>
                <w:sz w:val="20"/>
                <w:szCs w:val="20"/>
                <w:color w:val="auto"/>
              </w:rPr>
            </w:pPr>
            <w:r>
              <w:rPr>
                <w:rFonts w:ascii="Arial" w:cs="Arial" w:eastAsia="Arial" w:hAnsi="Arial"/>
                <w:sz w:val="14"/>
                <w:szCs w:val="14"/>
                <w:b w:val="1"/>
                <w:bCs w:val="1"/>
                <w:color w:val="auto"/>
              </w:rPr>
              <w:t>Nine Months Ended December 31,</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00" w:type="dxa"/>
            <w:vAlign w:val="bottom"/>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36"/>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activities</w:t>
            </w:r>
          </w:p>
        </w:tc>
        <w:tc>
          <w:tcPr>
            <w:tcW w:w="1020" w:type="dxa"/>
            <w:vAlign w:val="bottom"/>
            <w:shd w:val="clear" w:color="auto" w:fill="CFF0FC"/>
          </w:tcPr>
          <w:p>
            <w:pPr>
              <w:jc w:val="right"/>
              <w:ind w:right="819"/>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(5,248</w:t>
            </w:r>
          </w:p>
        </w:tc>
        <w:tc>
          <w:tcPr>
            <w:tcW w:w="280" w:type="dxa"/>
            <w:vAlign w:val="bottom"/>
            <w:shd w:val="clear" w:color="auto" w:fill="CFF0FC"/>
          </w:tcPr>
          <w:p>
            <w:pPr>
              <w:jc w:val="right"/>
              <w:ind w:right="141"/>
              <w:spacing w:after="0"/>
              <w:rPr>
                <w:sz w:val="20"/>
                <w:szCs w:val="20"/>
                <w:color w:val="auto"/>
              </w:rPr>
            </w:pPr>
            <w:r>
              <w:rPr>
                <w:rFonts w:ascii="Arial" w:cs="Arial" w:eastAsia="Arial" w:hAnsi="Arial"/>
                <w:sz w:val="16"/>
                <w:szCs w:val="16"/>
                <w:color w:val="auto"/>
                <w:w w:val="74"/>
              </w:rPr>
              <w:t>)</w:t>
            </w:r>
          </w:p>
        </w:tc>
        <w:tc>
          <w:tcPr>
            <w:tcW w:w="1020" w:type="dxa"/>
            <w:vAlign w:val="bottom"/>
            <w:shd w:val="clear" w:color="auto" w:fill="CFF0FC"/>
          </w:tcPr>
          <w:p>
            <w:pPr>
              <w:jc w:val="right"/>
              <w:ind w:right="836"/>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2,315</w:t>
            </w:r>
          </w:p>
        </w:tc>
        <w:tc>
          <w:tcPr>
            <w:tcW w:w="100" w:type="dxa"/>
            <w:vAlign w:val="bottom"/>
            <w:shd w:val="clear" w:color="auto" w:fill="CFF0FC"/>
          </w:tcPr>
          <w:p>
            <w:pPr>
              <w:spacing w:after="0"/>
              <w:rPr>
                <w:sz w:val="20"/>
                <w:szCs w:val="20"/>
                <w:color w:val="auto"/>
              </w:rPr>
            </w:pPr>
          </w:p>
        </w:tc>
      </w:tr>
      <w:tr>
        <w:trPr>
          <w:trHeight w:val="236"/>
        </w:trPr>
        <w:tc>
          <w:tcPr>
            <w:tcW w:w="7700" w:type="dxa"/>
            <w:vAlign w:val="bottom"/>
          </w:tcPr>
          <w:p>
            <w:pPr>
              <w:ind w:left="20"/>
              <w:spacing w:after="0"/>
              <w:rPr>
                <w:sz w:val="20"/>
                <w:szCs w:val="20"/>
                <w:color w:val="auto"/>
              </w:rPr>
            </w:pPr>
            <w:r>
              <w:rPr>
                <w:rFonts w:ascii="Arial" w:cs="Arial" w:eastAsia="Arial" w:hAnsi="Arial"/>
                <w:sz w:val="18"/>
                <w:szCs w:val="18"/>
                <w:color w:val="auto"/>
              </w:rPr>
              <w:t>Investing activities</w:t>
            </w:r>
          </w:p>
        </w:tc>
        <w:tc>
          <w:tcPr>
            <w:tcW w:w="1020" w:type="dxa"/>
            <w:vAlign w:val="bottom"/>
          </w:tcPr>
          <w:p>
            <w:pPr>
              <w:spacing w:after="0"/>
              <w:rPr>
                <w:sz w:val="20"/>
                <w:szCs w:val="20"/>
                <w:color w:val="auto"/>
              </w:rPr>
            </w:pPr>
          </w:p>
        </w:tc>
        <w:tc>
          <w:tcPr>
            <w:tcW w:w="840" w:type="dxa"/>
            <w:vAlign w:val="bottom"/>
            <w:gridSpan w:val="2"/>
          </w:tcPr>
          <w:p>
            <w:pPr>
              <w:jc w:val="right"/>
              <w:ind w:right="141"/>
              <w:spacing w:after="0"/>
              <w:rPr>
                <w:sz w:val="20"/>
                <w:szCs w:val="20"/>
                <w:color w:val="auto"/>
              </w:rPr>
            </w:pPr>
            <w:r>
              <w:rPr>
                <w:rFonts w:ascii="Arial" w:cs="Arial" w:eastAsia="Arial" w:hAnsi="Arial"/>
                <w:sz w:val="18"/>
                <w:szCs w:val="18"/>
                <w:color w:val="auto"/>
                <w:w w:val="96"/>
              </w:rPr>
              <w:t>(6,090 )</w:t>
            </w:r>
          </w:p>
        </w:tc>
        <w:tc>
          <w:tcPr>
            <w:tcW w:w="1020" w:type="dxa"/>
            <w:vAlign w:val="bottom"/>
          </w:tcPr>
          <w:p>
            <w:pPr>
              <w:spacing w:after="0"/>
              <w:rPr>
                <w:sz w:val="20"/>
                <w:szCs w:val="20"/>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96"/>
              </w:rPr>
              <w:t>(4,548 )</w:t>
            </w:r>
          </w:p>
        </w:tc>
      </w:tr>
      <w:tr>
        <w:trPr>
          <w:trHeight w:val="243"/>
        </w:trPr>
        <w:tc>
          <w:tcPr>
            <w:tcW w:w="7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Financing activities</w:t>
            </w:r>
          </w:p>
        </w:tc>
        <w:tc>
          <w:tcPr>
            <w:tcW w:w="1020" w:type="dxa"/>
            <w:vAlign w:val="bottom"/>
            <w:tcBorders>
              <w:bottom w:val="single" w:sz="8" w:color="auto"/>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5,014</w:t>
            </w:r>
          </w:p>
        </w:tc>
        <w:tc>
          <w:tcPr>
            <w:tcW w:w="28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00" w:type="dxa"/>
            <w:vAlign w:val="bottom"/>
          </w:tcPr>
          <w:p>
            <w:pPr>
              <w:ind w:left="20"/>
              <w:spacing w:after="0"/>
              <w:rPr>
                <w:sz w:val="20"/>
                <w:szCs w:val="20"/>
                <w:color w:val="auto"/>
              </w:rPr>
            </w:pPr>
            <w:r>
              <w:rPr>
                <w:rFonts w:ascii="Arial" w:cs="Arial" w:eastAsia="Arial" w:hAnsi="Arial"/>
                <w:sz w:val="18"/>
                <w:szCs w:val="18"/>
                <w:color w:val="auto"/>
              </w:rPr>
              <w:t>Decrease in cash and cash equivalents</w:t>
            </w:r>
          </w:p>
        </w:tc>
        <w:tc>
          <w:tcPr>
            <w:tcW w:w="1020" w:type="dxa"/>
            <w:vAlign w:val="bottom"/>
          </w:tcPr>
          <w:p>
            <w:pPr>
              <w:jc w:val="right"/>
              <w:ind w:right="819"/>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141"/>
              <w:spacing w:after="0"/>
              <w:rPr>
                <w:sz w:val="20"/>
                <w:szCs w:val="20"/>
                <w:color w:val="auto"/>
              </w:rPr>
            </w:pPr>
            <w:r>
              <w:rPr>
                <w:rFonts w:ascii="Arial" w:cs="Arial" w:eastAsia="Arial" w:hAnsi="Arial"/>
                <w:sz w:val="18"/>
                <w:szCs w:val="18"/>
                <w:color w:val="auto"/>
                <w:w w:val="96"/>
              </w:rPr>
              <w:t>(6,324 )</w:t>
            </w:r>
          </w:p>
        </w:tc>
        <w:tc>
          <w:tcPr>
            <w:tcW w:w="1020" w:type="dxa"/>
            <w:vAlign w:val="bottom"/>
          </w:tcPr>
          <w:p>
            <w:pPr>
              <w:jc w:val="right"/>
              <w:ind w:right="836"/>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96"/>
              </w:rPr>
              <w:t>(2,129 )</w:t>
            </w:r>
          </w:p>
        </w:tc>
      </w:tr>
      <w:tr>
        <w:trPr>
          <w:trHeight w:val="20"/>
        </w:trPr>
        <w:tc>
          <w:tcPr>
            <w:tcW w:w="77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5887085</wp:posOffset>
            </wp:positionH>
            <wp:positionV relativeFrom="paragraph">
              <wp:posOffset>-187960</wp:posOffset>
            </wp:positionV>
            <wp:extent cx="68580" cy="18859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81" w:lineRule="exact"/>
        <w:rPr>
          <w:sz w:val="20"/>
          <w:szCs w:val="20"/>
          <w:color w:val="auto"/>
        </w:rPr>
      </w:pPr>
    </w:p>
    <w:p>
      <w:pPr>
        <w:jc w:val="both"/>
        <w:ind w:firstLine="464"/>
        <w:spacing w:after="0" w:line="263" w:lineRule="auto"/>
        <w:rPr>
          <w:sz w:val="20"/>
          <w:szCs w:val="20"/>
          <w:color w:val="auto"/>
        </w:rPr>
      </w:pPr>
      <w:r>
        <w:rPr>
          <w:rFonts w:ascii="Arial" w:cs="Arial" w:eastAsia="Arial" w:hAnsi="Arial"/>
          <w:sz w:val="18"/>
          <w:szCs w:val="18"/>
          <w:i w:val="1"/>
          <w:iCs w:val="1"/>
          <w:color w:val="auto"/>
        </w:rPr>
        <w:t xml:space="preserve">Cash Flows Related to Operating Activities. </w:t>
      </w:r>
      <w:r>
        <w:rPr>
          <w:rFonts w:ascii="Arial" w:cs="Arial" w:eastAsia="Arial" w:hAnsi="Arial"/>
          <w:sz w:val="18"/>
          <w:szCs w:val="18"/>
          <w:color w:val="auto"/>
        </w:rPr>
        <w:t>Cash used in operating activities primarily consists of net loss adjusted for certain non-cash items,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depreciation, amortization of intangible assets, stock-based compensation, amortization of debt issue costs, provisions for reserves, and the effect of changes in working capital and other activities.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31" w:name="page32"/>
    <w:bookmarkEnd w:id="31"/>
    <w:p>
      <w:pPr>
        <w:jc w:val="both"/>
        <w:ind w:firstLine="464"/>
        <w:spacing w:after="0" w:line="263" w:lineRule="auto"/>
        <w:rPr>
          <w:sz w:val="20"/>
          <w:szCs w:val="20"/>
          <w:color w:val="auto"/>
        </w:rPr>
      </w:pPr>
      <w:r>
        <w:rPr>
          <w:rFonts w:ascii="Arial" w:cs="Arial" w:eastAsia="Arial" w:hAnsi="Arial"/>
          <w:sz w:val="18"/>
          <w:szCs w:val="18"/>
          <w:color w:val="auto"/>
        </w:rPr>
        <w:t>Cash used in operating activities for the first nine months of fiscal 2023 was $5.2 million and consisted of our net loss of $29.2 million adjusted for non-cash expense items and net cash used in changes in operating assets of $24.0 million, the largest of which was a $17.9 million decrease in deferred income tax assets as a result of the valuation allowance.</w:t>
      </w:r>
    </w:p>
    <w:p>
      <w:pPr>
        <w:spacing w:after="0" w:line="129" w:lineRule="exact"/>
        <w:rPr>
          <w:sz w:val="20"/>
          <w:szCs w:val="20"/>
          <w:color w:val="auto"/>
        </w:rPr>
      </w:pPr>
    </w:p>
    <w:p>
      <w:pPr>
        <w:jc w:val="both"/>
        <w:ind w:firstLine="464"/>
        <w:spacing w:after="0" w:line="263" w:lineRule="auto"/>
        <w:rPr>
          <w:sz w:val="20"/>
          <w:szCs w:val="20"/>
          <w:color w:val="auto"/>
        </w:rPr>
      </w:pPr>
      <w:r>
        <w:rPr>
          <w:rFonts w:ascii="Arial" w:cs="Arial" w:eastAsia="Arial" w:hAnsi="Arial"/>
          <w:sz w:val="18"/>
          <w:szCs w:val="18"/>
          <w:color w:val="auto"/>
        </w:rPr>
        <w:t>Cash provided by operating activities for the first nine months of fiscal 2022 was $2.3 million and consisted of our net income of $7.3 million adjusted for non-cash expense items of $4.4 million offset by working capital uses of $9.4 million, the largest of which was a $5.2 million decrease in accounts payable.</w:t>
      </w:r>
    </w:p>
    <w:p>
      <w:pPr>
        <w:spacing w:after="0" w:line="129" w:lineRule="exact"/>
        <w:rPr>
          <w:sz w:val="20"/>
          <w:szCs w:val="20"/>
          <w:color w:val="auto"/>
        </w:rPr>
      </w:pPr>
    </w:p>
    <w:p>
      <w:pPr>
        <w:jc w:val="both"/>
        <w:ind w:firstLine="464"/>
        <w:spacing w:after="0" w:line="277" w:lineRule="auto"/>
        <w:rPr>
          <w:sz w:val="20"/>
          <w:szCs w:val="20"/>
          <w:color w:val="auto"/>
        </w:rPr>
      </w:pPr>
      <w:r>
        <w:rPr>
          <w:rFonts w:ascii="Arial" w:cs="Arial" w:eastAsia="Arial" w:hAnsi="Arial"/>
          <w:sz w:val="18"/>
          <w:szCs w:val="18"/>
          <w:i w:val="1"/>
          <w:iCs w:val="1"/>
          <w:color w:val="auto"/>
        </w:rPr>
        <w:t>Cash Flows Related to Investing Activities</w:t>
      </w:r>
      <w:r>
        <w:rPr>
          <w:rFonts w:ascii="Arial" w:cs="Arial" w:eastAsia="Arial" w:hAnsi="Arial"/>
          <w:sz w:val="18"/>
          <w:szCs w:val="18"/>
          <w:color w:val="auto"/>
        </w:rPr>
        <w:t>. Cash used in investing activities of $6.1 million in the first nine months of fiscal 2022 consisted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of cash funded for the acquisition of Voltrek and purchases of property and equipment.</w:t>
      </w:r>
    </w:p>
    <w:p>
      <w:pPr>
        <w:spacing w:after="0" w:line="116" w:lineRule="exact"/>
        <w:rPr>
          <w:sz w:val="20"/>
          <w:szCs w:val="20"/>
          <w:color w:val="auto"/>
        </w:rPr>
      </w:pPr>
    </w:p>
    <w:p>
      <w:pPr>
        <w:jc w:val="both"/>
        <w:ind w:firstLine="464"/>
        <w:spacing w:after="0" w:line="263" w:lineRule="auto"/>
        <w:rPr>
          <w:sz w:val="20"/>
          <w:szCs w:val="20"/>
          <w:color w:val="auto"/>
        </w:rPr>
      </w:pPr>
      <w:r>
        <w:rPr>
          <w:rFonts w:ascii="Arial" w:cs="Arial" w:eastAsia="Arial" w:hAnsi="Arial"/>
          <w:sz w:val="18"/>
          <w:szCs w:val="18"/>
          <w:color w:val="auto"/>
        </w:rPr>
        <w:t>Cash used in investing activities of $4.5 million in the first nine months of fiscal 2022 consisted primarily $3.7 million of cash funded for the acquisition of Stay-Lite Lighting, and an investment of a non-controlling equity stake in ndustrial, Inc. of $0.5 million and purchases of property and equipment.</w:t>
      </w:r>
    </w:p>
    <w:p>
      <w:pPr>
        <w:spacing w:after="0" w:line="129" w:lineRule="exact"/>
        <w:rPr>
          <w:sz w:val="20"/>
          <w:szCs w:val="20"/>
          <w:color w:val="auto"/>
        </w:rPr>
      </w:pPr>
    </w:p>
    <w:p>
      <w:pPr>
        <w:jc w:val="both"/>
        <w:ind w:firstLine="464"/>
        <w:spacing w:after="0" w:line="277" w:lineRule="auto"/>
        <w:rPr>
          <w:sz w:val="20"/>
          <w:szCs w:val="20"/>
          <w:color w:val="auto"/>
        </w:rPr>
      </w:pPr>
      <w:r>
        <w:rPr>
          <w:rFonts w:ascii="Arial" w:cs="Arial" w:eastAsia="Arial" w:hAnsi="Arial"/>
          <w:sz w:val="18"/>
          <w:szCs w:val="18"/>
          <w:i w:val="1"/>
          <w:iCs w:val="1"/>
          <w:color w:val="auto"/>
        </w:rPr>
        <w:t xml:space="preserve">Cash Flows Related to Financing Activities. </w:t>
      </w:r>
      <w:r>
        <w:rPr>
          <w:rFonts w:ascii="Arial" w:cs="Arial" w:eastAsia="Arial" w:hAnsi="Arial"/>
          <w:sz w:val="18"/>
          <w:szCs w:val="18"/>
          <w:color w:val="auto"/>
        </w:rPr>
        <w:t>Cash provided by financing activities of $5.0 million in the first nine months of fiscal 2023 consisted</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of proceeds from our Credit Agreement, which was drawn down to pay the cash purchase price to acquire Voltrek.</w:t>
      </w:r>
    </w:p>
    <w:p>
      <w:pPr>
        <w:spacing w:after="0" w:line="116" w:lineRule="exact"/>
        <w:rPr>
          <w:sz w:val="20"/>
          <w:szCs w:val="20"/>
          <w:color w:val="auto"/>
        </w:rPr>
      </w:pPr>
    </w:p>
    <w:p>
      <w:pPr>
        <w:jc w:val="both"/>
        <w:ind w:right="20" w:firstLine="464"/>
        <w:spacing w:after="0" w:line="277" w:lineRule="auto"/>
        <w:rPr>
          <w:sz w:val="20"/>
          <w:szCs w:val="20"/>
          <w:color w:val="auto"/>
        </w:rPr>
      </w:pPr>
      <w:r>
        <w:rPr>
          <w:rFonts w:ascii="Arial" w:cs="Arial" w:eastAsia="Arial" w:hAnsi="Arial"/>
          <w:sz w:val="18"/>
          <w:szCs w:val="18"/>
          <w:color w:val="auto"/>
        </w:rPr>
        <w:t>Cash provided by financing activities of $0.1 million in the first nine months of fiscal 2022 consisted primarily of proceeds from employee equity exercises.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Working Capital</w:t>
      </w:r>
    </w:p>
    <w:p>
      <w:pPr>
        <w:spacing w:after="0" w:line="171" w:lineRule="exact"/>
        <w:rPr>
          <w:sz w:val="20"/>
          <w:szCs w:val="20"/>
          <w:color w:val="auto"/>
        </w:rPr>
      </w:pPr>
    </w:p>
    <w:p>
      <w:pPr>
        <w:jc w:val="both"/>
        <w:ind w:firstLine="464"/>
        <w:spacing w:after="0" w:line="263" w:lineRule="auto"/>
        <w:rPr>
          <w:sz w:val="20"/>
          <w:szCs w:val="20"/>
          <w:color w:val="auto"/>
        </w:rPr>
      </w:pPr>
      <w:r>
        <w:rPr>
          <w:rFonts w:ascii="Arial" w:cs="Arial" w:eastAsia="Arial" w:hAnsi="Arial"/>
          <w:sz w:val="18"/>
          <w:szCs w:val="18"/>
          <w:color w:val="auto"/>
        </w:rPr>
        <w:t>Our net working capital as of December 31, 2022 was $24.5 million, consisting of $46.6 million in current assets and $22.1 million in current liabilities. Our net working capital as of March 31, 2022 was $32.9 million, consisting of $51.2 million in current assets and $18.4 million in current liabilities.</w:t>
      </w:r>
    </w:p>
    <w:p>
      <w:pPr>
        <w:spacing w:after="0" w:line="129" w:lineRule="exact"/>
        <w:rPr>
          <w:sz w:val="20"/>
          <w:szCs w:val="20"/>
          <w:color w:val="auto"/>
        </w:rPr>
      </w:pPr>
    </w:p>
    <w:p>
      <w:pPr>
        <w:jc w:val="both"/>
        <w:ind w:firstLine="464"/>
        <w:spacing w:after="0" w:line="259" w:lineRule="auto"/>
        <w:rPr>
          <w:sz w:val="20"/>
          <w:szCs w:val="20"/>
          <w:color w:val="auto"/>
        </w:rPr>
      </w:pPr>
      <w:r>
        <w:rPr>
          <w:rFonts w:ascii="Arial" w:cs="Arial" w:eastAsia="Arial" w:hAnsi="Arial"/>
          <w:sz w:val="18"/>
          <w:szCs w:val="18"/>
          <w:color w:val="auto"/>
        </w:rPr>
        <w:t>We generally attempt to maintain at least a three-month supply of on-hand inventory of purchased components and raw materials to meet anticipated demand, as well as to reduce our risk of unexpected raw material or component shortages or supply interruptions. Because of recent supply chain challenges, we have been making additional incremental inventory purchases. Our accounts receivables, inventory and payables may increase to the extent our revenue and order levels increase.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Indebtedness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Agreement</w:t>
      </w:r>
    </w:p>
    <w:p>
      <w:pPr>
        <w:spacing w:after="0" w:line="171" w:lineRule="exact"/>
        <w:rPr>
          <w:sz w:val="20"/>
          <w:szCs w:val="20"/>
          <w:color w:val="auto"/>
        </w:rPr>
      </w:pPr>
    </w:p>
    <w:p>
      <w:pPr>
        <w:jc w:val="both"/>
        <w:ind w:firstLine="464"/>
        <w:spacing w:after="0" w:line="263" w:lineRule="auto"/>
        <w:rPr>
          <w:sz w:val="20"/>
          <w:szCs w:val="20"/>
          <w:color w:val="auto"/>
        </w:rPr>
      </w:pPr>
      <w:r>
        <w:rPr>
          <w:rFonts w:ascii="Arial" w:cs="Arial" w:eastAsia="Arial" w:hAnsi="Arial"/>
          <w:sz w:val="18"/>
          <w:szCs w:val="18"/>
          <w:color w:val="auto"/>
        </w:rPr>
        <w:t>On December 29, 2020, we entered into a new $25 million Loan and Security Agreement (the “Credit Agreement”) with Bank of America, N.A., as lender (the “Lender”). The Credit Agreement replaced our prior $20.15 million secured revolving credit and security agreement (the “Prior Credit Agreement”).</w:t>
      </w:r>
    </w:p>
    <w:p>
      <w:pPr>
        <w:spacing w:after="0" w:line="129" w:lineRule="exact"/>
        <w:rPr>
          <w:sz w:val="20"/>
          <w:szCs w:val="20"/>
          <w:color w:val="auto"/>
        </w:rPr>
      </w:pPr>
    </w:p>
    <w:p>
      <w:pPr>
        <w:jc w:val="both"/>
        <w:ind w:firstLine="464"/>
        <w:spacing w:after="0" w:line="277" w:lineRule="auto"/>
        <w:rPr>
          <w:sz w:val="20"/>
          <w:szCs w:val="20"/>
          <w:color w:val="auto"/>
        </w:rPr>
      </w:pPr>
      <w:r>
        <w:rPr>
          <w:rFonts w:ascii="Arial" w:cs="Arial" w:eastAsia="Arial" w:hAnsi="Arial"/>
          <w:sz w:val="18"/>
          <w:szCs w:val="18"/>
          <w:color w:val="auto"/>
        </w:rPr>
        <w:t>The replacement of the Prior Credit Agreement with the Credit Agreement provides us with increased financing capacity and liquidity to fund our operations and implement our strategic plans.</w:t>
      </w:r>
    </w:p>
    <w:p>
      <w:pPr>
        <w:spacing w:after="0" w:line="116" w:lineRule="exact"/>
        <w:rPr>
          <w:sz w:val="20"/>
          <w:szCs w:val="20"/>
          <w:color w:val="auto"/>
        </w:rPr>
      </w:pPr>
    </w:p>
    <w:p>
      <w:pPr>
        <w:jc w:val="both"/>
        <w:ind w:firstLine="464"/>
        <w:spacing w:after="0" w:line="259" w:lineRule="auto"/>
        <w:rPr>
          <w:sz w:val="20"/>
          <w:szCs w:val="20"/>
          <w:color w:val="auto"/>
        </w:rPr>
      </w:pPr>
      <w:r>
        <w:rPr>
          <w:rFonts w:ascii="Arial" w:cs="Arial" w:eastAsia="Arial" w:hAnsi="Arial"/>
          <w:sz w:val="18"/>
          <w:szCs w:val="18"/>
          <w:color w:val="auto"/>
        </w:rPr>
        <w:t>The Credit Agreement provides for a five-year $25.0 million revolving credit facility (the “Credit Facility”) that matures on December 29, 2025. Borrowings under the Credit Facility are subject to a borrowing base requirement based on eligible receivables, inventory and cash. As of December 31, 2022, the borrowing base supports $16.3 million availability of the Credit Facility. As of December 31, 2022, $5.0 million was borrowed under the Credit Facility.</w:t>
      </w:r>
    </w:p>
    <w:p>
      <w:pPr>
        <w:spacing w:after="0" w:line="13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Credit Agreement is secured by a first lien security interest in substantially all of our assets.</w:t>
      </w:r>
    </w:p>
    <w:p>
      <w:pPr>
        <w:spacing w:after="0" w:line="171" w:lineRule="exact"/>
        <w:rPr>
          <w:sz w:val="20"/>
          <w:szCs w:val="20"/>
          <w:color w:val="auto"/>
        </w:rPr>
      </w:pPr>
    </w:p>
    <w:p>
      <w:pPr>
        <w:jc w:val="both"/>
        <w:ind w:firstLine="464"/>
        <w:spacing w:after="0" w:line="263" w:lineRule="auto"/>
        <w:rPr>
          <w:sz w:val="20"/>
          <w:szCs w:val="20"/>
          <w:color w:val="auto"/>
        </w:rPr>
      </w:pPr>
      <w:r>
        <w:rPr>
          <w:rFonts w:ascii="Arial" w:cs="Arial" w:eastAsia="Arial" w:hAnsi="Arial"/>
          <w:sz w:val="18"/>
          <w:szCs w:val="18"/>
          <w:color w:val="auto"/>
        </w:rPr>
        <w:t>Effective November 4, 2022, we, along with the Lender, executed Amendment No. 1 to the Credit Agreement. The primary purpose of the amendment was to include the assets of our acquired subsidiaries, Stay-Lite Lighting and Voltrek as secured collateral under the Credit Agreement. Accordingly, eligible assets of Stay-Lite and Voltrek will be included in the borrowing</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32" w:name="page33"/>
    <w:bookmarkEnd w:id="32"/>
    <w:p>
      <w:pPr>
        <w:jc w:val="both"/>
        <w:spacing w:after="0" w:line="286" w:lineRule="auto"/>
        <w:rPr>
          <w:sz w:val="20"/>
          <w:szCs w:val="20"/>
          <w:color w:val="auto"/>
        </w:rPr>
      </w:pPr>
      <w:r>
        <w:rPr>
          <w:rFonts w:ascii="Arial" w:cs="Arial" w:eastAsia="Arial" w:hAnsi="Arial"/>
          <w:sz w:val="17"/>
          <w:szCs w:val="17"/>
          <w:color w:val="auto"/>
        </w:rPr>
        <w:t>base calculation for the purpose of establishing the monthly borrowing availability under the Credit Agreement. The amendment also clarifies that the earnout liabilities associated with the Stay-Lite and Voltrek transactions are permitted under the Credit Agreement and that the expenses recognized in connection with those earnouts should be added back in the computation of EBITDA, as defined, under the Credit Agreement.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75" w:lineRule="exact"/>
        <w:rPr>
          <w:sz w:val="20"/>
          <w:szCs w:val="20"/>
          <w:color w:val="auto"/>
        </w:rPr>
      </w:pPr>
    </w:p>
    <w:p>
      <w:pPr>
        <w:jc w:val="both"/>
        <w:ind w:firstLine="464"/>
        <w:spacing w:after="0" w:line="263" w:lineRule="auto"/>
        <w:rPr>
          <w:sz w:val="20"/>
          <w:szCs w:val="20"/>
          <w:color w:val="auto"/>
        </w:rPr>
      </w:pPr>
      <w:r>
        <w:rPr>
          <w:rFonts w:ascii="Arial" w:cs="Arial" w:eastAsia="Arial" w:hAnsi="Arial"/>
          <w:sz w:val="18"/>
          <w:szCs w:val="18"/>
          <w:color w:val="auto"/>
        </w:rPr>
        <w:t>Backlog represents the amount of revenue that we expect to realize in the future as a result of firm, committed purchase orders. Backlog totaled $19.5 million and $10.1 million as of December 31, 2022 and March 31, 2022, respectively. We generally expect our backlog to be recognized as revenue within one year, although the COVID-19 pandemic may extend this time period.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We have no off-balance sheet arrangements.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175" w:lineRule="exact"/>
        <w:rPr>
          <w:sz w:val="20"/>
          <w:szCs w:val="20"/>
          <w:color w:val="auto"/>
        </w:rPr>
      </w:pPr>
    </w:p>
    <w:p>
      <w:pPr>
        <w:jc w:val="both"/>
        <w:ind w:firstLine="469"/>
        <w:spacing w:after="0" w:line="259" w:lineRule="auto"/>
        <w:rPr>
          <w:sz w:val="20"/>
          <w:szCs w:val="20"/>
          <w:color w:val="auto"/>
        </w:rPr>
      </w:pPr>
      <w:r>
        <w:rPr>
          <w:rFonts w:ascii="Arial" w:cs="Arial" w:eastAsia="Arial" w:hAnsi="Arial"/>
          <w:sz w:val="18"/>
          <w:szCs w:val="18"/>
          <w:color w:val="auto"/>
        </w:rPr>
        <w:t>We have experienced increases in various input costs including labor, components and transportation in the past year. In response, we have implemented multiple price increases, and we have substantially mitigated the inflationary pressures, such that our results from operations have not been materially affected to date by inflation. We are monitoring input costs and cannot currently predict the future impact on our operations by increasing or ongoing inflationary pressures.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jc w:val="both"/>
        <w:ind w:firstLine="469"/>
        <w:spacing w:after="0" w:line="269" w:lineRule="auto"/>
        <w:rPr>
          <w:sz w:val="20"/>
          <w:szCs w:val="20"/>
          <w:color w:val="auto"/>
        </w:rPr>
      </w:pPr>
      <w:r>
        <w:rPr>
          <w:rFonts w:ascii="Arial" w:cs="Arial" w:eastAsia="Arial" w:hAnsi="Arial"/>
          <w:sz w:val="17"/>
          <w:szCs w:val="17"/>
          <w:color w:val="auto"/>
        </w:rPr>
        <w:t>The discussion and analysis of our financial condition and results of operations is based upon our consolidated financial statements, which have been prepared in accordance with accounting principles generally accepted in the United States. The preparation of our consolidated financial statements requires us to make certain estimates and judgments that affect our reported assets, liabilities, revenue and expenses, and our related disclosure of contingent assets and liabilities. We re-evaluate our estimates on an ongoing basis, including those related to revenue recognition, inventory valuation, collectability of receivables, stock-based compensation, warranty reserves and income taxes. The estimates of forecasted cash flows are used in the assessment for impairment of long-lived assets and the realizability of deferred tax assets. We base our estimates on historical experience and on various assumptions that we believe to be reasonable under the circumstances. Actual results may differ from these estimates. A summary of our critical accounting policies is set forth in the “Critical Accounting Policies and Estimates” section of our Management’s Discussion and Analysis of Financial Condition and Results of Operations contained in our Annual Report on Form 10-K for the year ended March 31, 2022. For the nine months ended December 31, 2022, there were no material changes in our accounting policies.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jc w:val="both"/>
        <w:ind w:firstLine="469"/>
        <w:spacing w:after="0" w:line="277" w:lineRule="auto"/>
        <w:rPr>
          <w:sz w:val="20"/>
          <w:szCs w:val="20"/>
          <w:color w:val="auto"/>
        </w:rPr>
      </w:pPr>
      <w:r>
        <w:rPr>
          <w:rFonts w:ascii="Arial" w:cs="Arial" w:eastAsia="Arial" w:hAnsi="Arial"/>
          <w:sz w:val="18"/>
          <w:szCs w:val="18"/>
          <w:color w:val="auto"/>
        </w:rPr>
        <w:t>For a complete discussion of recent accounting pronouncements, refer to Note 3 in the Condensed Consolidated Financial Statements included elsewhere in this report.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5" w:lineRule="exact"/>
        <w:rPr>
          <w:sz w:val="20"/>
          <w:szCs w:val="20"/>
          <w:color w:val="auto"/>
        </w:rPr>
      </w:pPr>
    </w:p>
    <w:p>
      <w:pPr>
        <w:jc w:val="both"/>
        <w:ind w:firstLine="469"/>
        <w:spacing w:after="0" w:line="307" w:lineRule="auto"/>
        <w:rPr>
          <w:sz w:val="20"/>
          <w:szCs w:val="20"/>
          <w:color w:val="auto"/>
        </w:rPr>
      </w:pPr>
      <w:r>
        <w:rPr>
          <w:rFonts w:ascii="Arial" w:cs="Arial" w:eastAsia="Arial" w:hAnsi="Arial"/>
          <w:sz w:val="17"/>
          <w:szCs w:val="17"/>
          <w:color w:val="auto"/>
        </w:rPr>
        <w:t>Our exposure to market risk was discussed in the “Quantitative and Qualitative Disclosures About Market Risk” section contained in our Annual Report on Form 10-K for the year ended March 31, 2022. There have been no material changes to such exposures since March 31, 2022.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5" w:lineRule="exact"/>
        <w:rPr>
          <w:sz w:val="20"/>
          <w:szCs w:val="20"/>
          <w:color w:val="auto"/>
        </w:rPr>
      </w:pPr>
    </w:p>
    <w:p>
      <w:pPr>
        <w:jc w:val="both"/>
        <w:ind w:firstLine="469"/>
        <w:spacing w:after="0" w:line="263" w:lineRule="auto"/>
        <w:rPr>
          <w:sz w:val="20"/>
          <w:szCs w:val="20"/>
          <w:color w:val="auto"/>
        </w:rPr>
      </w:pPr>
      <w:r>
        <w:rPr>
          <w:rFonts w:ascii="Arial" w:cs="Arial" w:eastAsia="Arial" w:hAnsi="Arial"/>
          <w:sz w:val="18"/>
          <w:szCs w:val="18"/>
          <w:color w:val="auto"/>
        </w:rPr>
        <w:t>Our disclosure controls and procedures are designed to ensure that information required to be disclosed by us in the reports that we file or submit under the Exchange Act is accumulated and communicated to our management, including the Chief Executive Officer and Chief Financial Officer, as appropriate, to allow timely decisions regarding required disclosure.</w:t>
      </w:r>
    </w:p>
    <w:p>
      <w:pPr>
        <w:spacing w:after="0" w:line="129" w:lineRule="exact"/>
        <w:rPr>
          <w:sz w:val="20"/>
          <w:szCs w:val="20"/>
          <w:color w:val="auto"/>
        </w:rPr>
      </w:pPr>
    </w:p>
    <w:p>
      <w:pPr>
        <w:jc w:val="both"/>
        <w:ind w:firstLine="469"/>
        <w:spacing w:after="0" w:line="259" w:lineRule="auto"/>
        <w:rPr>
          <w:sz w:val="20"/>
          <w:szCs w:val="20"/>
          <w:color w:val="auto"/>
        </w:rPr>
      </w:pPr>
      <w:r>
        <w:rPr>
          <w:rFonts w:ascii="Arial" w:cs="Arial" w:eastAsia="Arial" w:hAnsi="Arial"/>
          <w:sz w:val="18"/>
          <w:szCs w:val="18"/>
          <w:color w:val="auto"/>
        </w:rPr>
        <w:t>As of December 31, 2022, an evaluation was conducted under the supervision and with the participation of our management, including our Chief Executive Officer and Chief Financial Officer, of the effectiveness of our disclosure controls and procedures (as defined in Rule 13a-15(e) and Rule 15d-15(e) of the Exchange Act). Based on this evaluation, such officers have concluded that our disclosure controls and procedures were effective as of December 31, 2022.</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jc w:val="both"/>
        <w:ind w:firstLine="469"/>
        <w:spacing w:after="0" w:line="341" w:lineRule="auto"/>
        <w:rPr>
          <w:sz w:val="20"/>
          <w:szCs w:val="20"/>
          <w:color w:val="auto"/>
        </w:rPr>
      </w:pPr>
      <w:r>
        <w:rPr>
          <w:rFonts w:ascii="Arial" w:cs="Arial" w:eastAsia="Arial" w:hAnsi="Arial"/>
          <w:sz w:val="16"/>
          <w:szCs w:val="16"/>
          <w:color w:val="auto"/>
        </w:rPr>
        <w:t>There were no changes in our internal control over financial reporting (as defined in Rule 13a-15(e) and Rule 15d-15(e) of the Exchange Act) for the quarter ended December 31, 2022, that materially affected, or are reasonably likely to materially affect, our internal control over financial reporting.</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3"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PART II –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5" w:lineRule="exact"/>
        <w:rPr>
          <w:sz w:val="20"/>
          <w:szCs w:val="20"/>
          <w:color w:val="auto"/>
        </w:rPr>
      </w:pPr>
    </w:p>
    <w:p>
      <w:pPr>
        <w:jc w:val="both"/>
        <w:ind w:firstLine="469"/>
        <w:spacing w:after="0" w:line="307" w:lineRule="auto"/>
        <w:rPr>
          <w:sz w:val="20"/>
          <w:szCs w:val="20"/>
          <w:color w:val="auto"/>
        </w:rPr>
      </w:pPr>
      <w:r>
        <w:rPr>
          <w:rFonts w:ascii="Arial" w:cs="Arial" w:eastAsia="Arial" w:hAnsi="Arial"/>
          <w:sz w:val="17"/>
          <w:szCs w:val="17"/>
          <w:color w:val="auto"/>
        </w:rPr>
        <w:t>We are subject to various claims and legal proceedings arising in the ordinary course of business. As of the date of this report, we do not believe that the final resolution of any of such claims or legal proceedings will have a material adverse effect on our future results of operations.</w:t>
      </w:r>
    </w:p>
    <w:p>
      <w:pPr>
        <w:spacing w:after="0" w:line="93" w:lineRule="exact"/>
        <w:rPr>
          <w:sz w:val="20"/>
          <w:szCs w:val="20"/>
          <w:color w:val="auto"/>
        </w:rPr>
      </w:pPr>
    </w:p>
    <w:p>
      <w:pPr>
        <w:ind w:left="480"/>
        <w:spacing w:after="0"/>
        <w:rPr>
          <w:sz w:val="20"/>
          <w:szCs w:val="20"/>
          <w:color w:val="auto"/>
        </w:rPr>
      </w:pPr>
      <w:r>
        <w:rPr>
          <w:rFonts w:ascii="Arial" w:cs="Arial" w:eastAsia="Arial" w:hAnsi="Arial"/>
          <w:sz w:val="16"/>
          <w:szCs w:val="16"/>
          <w:color w:val="auto"/>
        </w:rPr>
        <w:t>See Note 15 – Commitments and Contingencies, to the Condensed Consolidated Financial Statements in Item 1 of this Quarterly Report on Form 10-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Q.</w:t>
      </w:r>
    </w:p>
    <w:p>
      <w:pPr>
        <w:spacing w:after="0" w:line="247"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75" w:lineRule="exact"/>
        <w:rPr>
          <w:sz w:val="20"/>
          <w:szCs w:val="20"/>
          <w:color w:val="auto"/>
        </w:rPr>
      </w:pPr>
    </w:p>
    <w:p>
      <w:pPr>
        <w:jc w:val="both"/>
        <w:ind w:firstLine="469"/>
        <w:spacing w:after="0" w:line="275" w:lineRule="auto"/>
        <w:rPr>
          <w:sz w:val="20"/>
          <w:szCs w:val="20"/>
          <w:color w:val="auto"/>
        </w:rPr>
      </w:pPr>
      <w:r>
        <w:rPr>
          <w:rFonts w:ascii="Arial" w:cs="Arial" w:eastAsia="Arial" w:hAnsi="Arial"/>
          <w:sz w:val="17"/>
          <w:szCs w:val="17"/>
          <w:color w:val="auto"/>
        </w:rPr>
        <w:t>We operate in a rapidly changing environment that involves a number of risks that could materially affect our business, financial condition or future results, some of which are beyond our control. In addition to the other information set forth in this Quarterly Report on Form 10-Q, the risks and uncertainties that we believe are most important for you to consider are discussed in Part I - Item 1A under the heading “Risk Factors” in our Annual Report on Form 10-K for the fiscal year ended March 31, 2022, which we filed with the SEC on June 10, 2022 and in Part 1 - Item 2 under the heading "Management's Discussion and Analysis of Financial Condition and Results of Operations" in this Form 10-Q.</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5" w:lineRule="exact"/>
        <w:rPr>
          <w:sz w:val="20"/>
          <w:szCs w:val="20"/>
          <w:color w:val="auto"/>
        </w:rPr>
      </w:pPr>
    </w:p>
    <w:p>
      <w:pPr>
        <w:jc w:val="both"/>
        <w:ind w:firstLine="469"/>
        <w:spacing w:after="0" w:line="279" w:lineRule="auto"/>
        <w:rPr>
          <w:sz w:val="20"/>
          <w:szCs w:val="20"/>
          <w:color w:val="auto"/>
        </w:rPr>
      </w:pPr>
      <w:r>
        <w:rPr>
          <w:rFonts w:ascii="Arial" w:cs="Arial" w:eastAsia="Arial" w:hAnsi="Arial"/>
          <w:sz w:val="17"/>
          <w:szCs w:val="17"/>
          <w:color w:val="auto"/>
        </w:rPr>
        <w:t>On October 5, 2022, in connection with the Voltrek Acquisition, we issued an aggregate of 620,067 shares of our Common Stock at a price of $1.61 per share. The shares issued in the Voltrek Acquisition were sold without registration under the Securities Act of 1933, as amended (the “Securities Act”), or any state securities laws in a transaction not involving a public offering and the sellers in the Voltrek Acquisition represented they are accredited investors. We relied on the exemption from the registration requirements of the Securities Act of 1933 afforded by Section 4(a)(2).</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7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ITEM 6. EXHIBITS</w:t>
      </w:r>
    </w:p>
    <w:p>
      <w:pPr>
        <w:spacing w:after="0" w:line="171"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6"/>
          <w:szCs w:val="16"/>
          <w:b w:val="1"/>
          <w:bCs w:val="1"/>
          <w:color w:val="auto"/>
        </w:rPr>
        <w:t>Exhibits</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100" w:type="dxa"/>
            <w:vAlign w:val="bottom"/>
          </w:tcPr>
          <w:p>
            <w:pPr>
              <w:ind w:left="100"/>
              <w:spacing w:after="0"/>
              <w:rPr>
                <w:sz w:val="20"/>
                <w:szCs w:val="20"/>
                <w:color w:val="auto"/>
              </w:rPr>
            </w:pPr>
            <w:r>
              <w:rPr>
                <w:rFonts w:ascii="Arial" w:cs="Arial" w:eastAsia="Arial" w:hAnsi="Arial"/>
                <w:sz w:val="18"/>
                <w:szCs w:val="18"/>
                <w:color w:val="auto"/>
              </w:rPr>
              <w:t>3.1</w:t>
            </w:r>
          </w:p>
        </w:tc>
        <w:tc>
          <w:tcPr>
            <w:tcW w:w="10080" w:type="dxa"/>
            <w:vAlign w:val="bottom"/>
            <w:gridSpan w:val="12"/>
          </w:tcPr>
          <w:p>
            <w:pPr>
              <w:spacing w:after="0"/>
              <w:rPr>
                <w:rFonts w:ascii="Arial" w:cs="Arial" w:eastAsia="Arial" w:hAnsi="Arial"/>
                <w:sz w:val="18"/>
                <w:szCs w:val="18"/>
                <w:color w:val="0000FF"/>
                <w:w w:val="92"/>
              </w:rPr>
            </w:pPr>
            <w:hyperlink r:id="rId241">
              <w:r>
                <w:rPr>
                  <w:rFonts w:ascii="Arial" w:cs="Arial" w:eastAsia="Arial" w:hAnsi="Arial"/>
                  <w:sz w:val="18"/>
                  <w:szCs w:val="18"/>
                  <w:color w:val="0000FF"/>
                  <w:w w:val="92"/>
                </w:rPr>
                <w:t>Second Amended and Restated Bylaws of Orion Energy Systems, Inc., dated November 10, 2022., filed as Exhibit 3.1 to the Registrant's</w:t>
              </w:r>
            </w:hyperlink>
          </w:p>
        </w:tc>
      </w:tr>
      <w:tr>
        <w:trPr>
          <w:trHeight w:val="20"/>
        </w:trPr>
        <w:tc>
          <w:tcPr>
            <w:tcW w:w="110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2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20" w:type="dxa"/>
            <w:vAlign w:val="bottom"/>
            <w:tcBorders>
              <w:right w:val="single" w:sz="8" w:color="0000FF"/>
            </w:tcBorders>
            <w:shd w:val="clear" w:color="auto" w:fill="0000FF"/>
          </w:tcPr>
          <w:p>
            <w:pPr>
              <w:spacing w:after="0" w:line="20" w:lineRule="exact"/>
              <w:rPr>
                <w:sz w:val="1"/>
                <w:szCs w:val="1"/>
                <w:color w:val="auto"/>
              </w:rPr>
            </w:pPr>
          </w:p>
        </w:tc>
        <w:tc>
          <w:tcPr>
            <w:tcW w:w="39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10080" w:type="dxa"/>
            <w:vAlign w:val="bottom"/>
            <w:gridSpan w:val="12"/>
          </w:tcPr>
          <w:p>
            <w:pPr>
              <w:spacing w:after="0" w:line="195" w:lineRule="exact"/>
              <w:rPr>
                <w:rFonts w:ascii="Arial" w:cs="Arial" w:eastAsia="Arial" w:hAnsi="Arial"/>
                <w:sz w:val="18"/>
                <w:szCs w:val="18"/>
                <w:color w:val="0000FF"/>
              </w:rPr>
            </w:pPr>
            <w:hyperlink r:id="rId241">
              <w:r>
                <w:rPr>
                  <w:rFonts w:ascii="Arial" w:cs="Arial" w:eastAsia="Arial" w:hAnsi="Arial"/>
                  <w:sz w:val="18"/>
                  <w:szCs w:val="18"/>
                  <w:color w:val="0000FF"/>
                </w:rPr>
                <w:t>Form 8-K filed on November 14, 2022, is hereby incorporated by reference.</w:t>
              </w:r>
            </w:hyperlink>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2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20" w:type="dxa"/>
            <w:vAlign w:val="bottom"/>
            <w:tcBorders>
              <w:right w:val="single" w:sz="8" w:color="0000EE"/>
            </w:tcBorders>
            <w:shd w:val="clear" w:color="auto" w:fill="0000FF"/>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65"/>
        </w:trPr>
        <w:tc>
          <w:tcPr>
            <w:tcW w:w="1100" w:type="dxa"/>
            <w:vAlign w:val="bottom"/>
          </w:tcPr>
          <w:p>
            <w:pPr>
              <w:ind w:left="100"/>
              <w:spacing w:after="0"/>
              <w:rPr>
                <w:sz w:val="20"/>
                <w:szCs w:val="20"/>
                <w:color w:val="auto"/>
              </w:rPr>
            </w:pPr>
            <w:r>
              <w:rPr>
                <w:rFonts w:ascii="Arial" w:cs="Arial" w:eastAsia="Arial" w:hAnsi="Arial"/>
                <w:sz w:val="18"/>
                <w:szCs w:val="18"/>
                <w:color w:val="auto"/>
              </w:rPr>
              <w:t>10.1</w:t>
            </w:r>
          </w:p>
        </w:tc>
        <w:tc>
          <w:tcPr>
            <w:tcW w:w="10080" w:type="dxa"/>
            <w:vAlign w:val="bottom"/>
            <w:gridSpan w:val="12"/>
          </w:tcPr>
          <w:p>
            <w:pPr>
              <w:spacing w:after="0"/>
              <w:rPr>
                <w:rFonts w:ascii="Arial" w:cs="Arial" w:eastAsia="Arial" w:hAnsi="Arial"/>
                <w:sz w:val="18"/>
                <w:szCs w:val="18"/>
                <w:color w:val="0000FF"/>
                <w:w w:val="90"/>
              </w:rPr>
            </w:pPr>
            <w:hyperlink r:id="rId242">
              <w:r>
                <w:rPr>
                  <w:rFonts w:ascii="Arial" w:cs="Arial" w:eastAsia="Arial" w:hAnsi="Arial"/>
                  <w:sz w:val="18"/>
                  <w:szCs w:val="18"/>
                  <w:color w:val="0000FF"/>
                  <w:w w:val="90"/>
                </w:rPr>
                <w:t>Voluntary Retirement and Consulting Agreement, dated as of August 2, 2022 and effective as of November 10, 2022, between Orion Energy</w:t>
              </w:r>
            </w:hyperlink>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2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59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10080" w:type="dxa"/>
            <w:vAlign w:val="bottom"/>
            <w:gridSpan w:val="12"/>
          </w:tcPr>
          <w:p>
            <w:pPr>
              <w:spacing w:after="0" w:line="195" w:lineRule="exact"/>
              <w:rPr>
                <w:rFonts w:ascii="Arial" w:cs="Arial" w:eastAsia="Arial" w:hAnsi="Arial"/>
                <w:sz w:val="18"/>
                <w:szCs w:val="18"/>
                <w:color w:val="0000FF"/>
                <w:w w:val="92"/>
              </w:rPr>
            </w:pPr>
            <w:hyperlink r:id="rId242">
              <w:r>
                <w:rPr>
                  <w:rFonts w:ascii="Arial" w:cs="Arial" w:eastAsia="Arial" w:hAnsi="Arial"/>
                  <w:sz w:val="18"/>
                  <w:szCs w:val="18"/>
                  <w:color w:val="0000FF"/>
                  <w:w w:val="92"/>
                </w:rPr>
                <w:t>Systems, Inc. and Michael W. Altschaefl, filed as Exhibit 10.1 to the Registrant's Form 8-K filed on August 3, 2022, is hereby incorporated</w:t>
              </w:r>
            </w:hyperlink>
          </w:p>
        </w:tc>
      </w:tr>
      <w:tr>
        <w:trPr>
          <w:trHeight w:val="20"/>
        </w:trPr>
        <w:tc>
          <w:tcPr>
            <w:tcW w:w="110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2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59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10080" w:type="dxa"/>
            <w:vAlign w:val="bottom"/>
            <w:gridSpan w:val="12"/>
          </w:tcPr>
          <w:p>
            <w:pPr>
              <w:spacing w:after="0" w:line="195" w:lineRule="exact"/>
              <w:rPr>
                <w:rFonts w:ascii="Arial" w:cs="Arial" w:eastAsia="Arial" w:hAnsi="Arial"/>
                <w:sz w:val="18"/>
                <w:szCs w:val="18"/>
                <w:color w:val="0000FF"/>
              </w:rPr>
            </w:pPr>
            <w:hyperlink r:id="rId242">
              <w:r>
                <w:rPr>
                  <w:rFonts w:ascii="Arial" w:cs="Arial" w:eastAsia="Arial" w:hAnsi="Arial"/>
                  <w:sz w:val="18"/>
                  <w:szCs w:val="18"/>
                  <w:color w:val="0000FF"/>
                </w:rPr>
                <w:t>by reference.*</w:t>
              </w:r>
            </w:hyperlink>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9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1100" w:type="dxa"/>
            <w:vAlign w:val="bottom"/>
          </w:tcPr>
          <w:p>
            <w:pPr>
              <w:ind w:left="100"/>
              <w:spacing w:after="0"/>
              <w:rPr>
                <w:sz w:val="20"/>
                <w:szCs w:val="20"/>
                <w:color w:val="auto"/>
              </w:rPr>
            </w:pPr>
            <w:r>
              <w:rPr>
                <w:rFonts w:ascii="Arial" w:cs="Arial" w:eastAsia="Arial" w:hAnsi="Arial"/>
                <w:sz w:val="18"/>
                <w:szCs w:val="18"/>
                <w:color w:val="auto"/>
              </w:rPr>
              <w:t>10.2</w:t>
            </w:r>
          </w:p>
        </w:tc>
        <w:tc>
          <w:tcPr>
            <w:tcW w:w="10080" w:type="dxa"/>
            <w:vAlign w:val="bottom"/>
            <w:gridSpan w:val="12"/>
          </w:tcPr>
          <w:p>
            <w:pPr>
              <w:spacing w:after="0"/>
              <w:rPr>
                <w:rFonts w:ascii="Arial" w:cs="Arial" w:eastAsia="Arial" w:hAnsi="Arial"/>
                <w:sz w:val="18"/>
                <w:szCs w:val="18"/>
                <w:color w:val="0000FF"/>
                <w:w w:val="91"/>
              </w:rPr>
            </w:pPr>
            <w:hyperlink r:id="rId243">
              <w:r>
                <w:rPr>
                  <w:rFonts w:ascii="Arial" w:cs="Arial" w:eastAsia="Arial" w:hAnsi="Arial"/>
                  <w:sz w:val="18"/>
                  <w:szCs w:val="18"/>
                  <w:color w:val="0000FF"/>
                  <w:w w:val="91"/>
                </w:rPr>
                <w:t>Amended Executive Employment and Severance Agreement, effective as of November 10, 2022, by and between Orion Energy Systems,</w:t>
              </w:r>
            </w:hyperlink>
          </w:p>
        </w:tc>
      </w:tr>
      <w:tr>
        <w:trPr>
          <w:trHeight w:val="20"/>
        </w:trPr>
        <w:tc>
          <w:tcPr>
            <w:tcW w:w="110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52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59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10080" w:type="dxa"/>
            <w:vAlign w:val="bottom"/>
            <w:gridSpan w:val="12"/>
          </w:tcPr>
          <w:p>
            <w:pPr>
              <w:spacing w:after="0" w:line="195" w:lineRule="exact"/>
              <w:rPr>
                <w:rFonts w:ascii="Arial" w:cs="Arial" w:eastAsia="Arial" w:hAnsi="Arial"/>
                <w:sz w:val="18"/>
                <w:szCs w:val="18"/>
                <w:color w:val="0000FF"/>
                <w:w w:val="98"/>
              </w:rPr>
            </w:pPr>
            <w:hyperlink r:id="rId243">
              <w:r>
                <w:rPr>
                  <w:rFonts w:ascii="Arial" w:cs="Arial" w:eastAsia="Arial" w:hAnsi="Arial"/>
                  <w:sz w:val="18"/>
                  <w:szCs w:val="18"/>
                  <w:color w:val="0000FF"/>
                  <w:w w:val="98"/>
                </w:rPr>
                <w:t>Inc. and Michael H. Jenkins, filed as Exhibit 10.2 to the Registrant's Form 8-K filed on August 3, 2022, is hereby incorporated by</w:t>
              </w:r>
            </w:hyperlink>
          </w:p>
        </w:tc>
      </w:tr>
      <w:tr>
        <w:trPr>
          <w:trHeight w:val="20"/>
        </w:trPr>
        <w:tc>
          <w:tcPr>
            <w:tcW w:w="110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52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592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10080" w:type="dxa"/>
            <w:vAlign w:val="bottom"/>
            <w:gridSpan w:val="12"/>
          </w:tcPr>
          <w:p>
            <w:pPr>
              <w:spacing w:after="0" w:line="195" w:lineRule="exact"/>
              <w:rPr>
                <w:rFonts w:ascii="Arial" w:cs="Arial" w:eastAsia="Arial" w:hAnsi="Arial"/>
                <w:sz w:val="18"/>
                <w:szCs w:val="18"/>
                <w:color w:val="0000FF"/>
              </w:rPr>
            </w:pPr>
            <w:hyperlink r:id="rId243">
              <w:r>
                <w:rPr>
                  <w:rFonts w:ascii="Arial" w:cs="Arial" w:eastAsia="Arial" w:hAnsi="Arial"/>
                  <w:sz w:val="18"/>
                  <w:szCs w:val="18"/>
                  <w:color w:val="0000FF"/>
                </w:rPr>
                <w:t>reference.*</w:t>
              </w:r>
            </w:hyperlink>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4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1100" w:type="dxa"/>
            <w:vAlign w:val="bottom"/>
          </w:tcPr>
          <w:p>
            <w:pPr>
              <w:ind w:left="100"/>
              <w:spacing w:after="0"/>
              <w:rPr>
                <w:sz w:val="20"/>
                <w:szCs w:val="20"/>
                <w:color w:val="auto"/>
              </w:rPr>
            </w:pPr>
            <w:r>
              <w:rPr>
                <w:rFonts w:ascii="Arial" w:cs="Arial" w:eastAsia="Arial" w:hAnsi="Arial"/>
                <w:sz w:val="18"/>
                <w:szCs w:val="18"/>
                <w:color w:val="auto"/>
              </w:rPr>
              <w:t>10.3</w:t>
            </w:r>
          </w:p>
        </w:tc>
        <w:tc>
          <w:tcPr>
            <w:tcW w:w="10080" w:type="dxa"/>
            <w:vAlign w:val="bottom"/>
            <w:gridSpan w:val="12"/>
          </w:tcPr>
          <w:p>
            <w:pPr>
              <w:spacing w:after="0"/>
              <w:rPr>
                <w:rFonts w:ascii="Arial" w:cs="Arial" w:eastAsia="Arial" w:hAnsi="Arial"/>
                <w:sz w:val="18"/>
                <w:szCs w:val="18"/>
                <w:color w:val="0000FF"/>
                <w:w w:val="92"/>
              </w:rPr>
            </w:pPr>
            <w:hyperlink r:id="rId244">
              <w:r>
                <w:rPr>
                  <w:rFonts w:ascii="Arial" w:cs="Arial" w:eastAsia="Arial" w:hAnsi="Arial"/>
                  <w:sz w:val="18"/>
                  <w:szCs w:val="18"/>
                  <w:color w:val="0000FF"/>
                  <w:w w:val="92"/>
                </w:rPr>
                <w:t>Agreement No. 1 to Loan and Security Agreement, dated effective as of November 4, 2022, among Orion Energy Systems, Inc., Bank of</w:t>
              </w:r>
            </w:hyperlink>
          </w:p>
        </w:tc>
      </w:tr>
      <w:tr>
        <w:trPr>
          <w:trHeight w:val="20"/>
        </w:trPr>
        <w:tc>
          <w:tcPr>
            <w:tcW w:w="1100" w:type="dxa"/>
            <w:vAlign w:val="bottom"/>
          </w:tcPr>
          <w:p>
            <w:pPr>
              <w:spacing w:after="0" w:line="20" w:lineRule="exact"/>
              <w:rPr>
                <w:sz w:val="1"/>
                <w:szCs w:val="1"/>
                <w:color w:val="auto"/>
              </w:rPr>
            </w:pPr>
          </w:p>
        </w:tc>
        <w:tc>
          <w:tcPr>
            <w:tcW w:w="330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40" w:type="dxa"/>
            <w:vAlign w:val="bottom"/>
            <w:gridSpan w:val="3"/>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10080" w:type="dxa"/>
            <w:vAlign w:val="bottom"/>
            <w:gridSpan w:val="12"/>
          </w:tcPr>
          <w:p>
            <w:pPr>
              <w:spacing w:after="0" w:line="195" w:lineRule="exact"/>
              <w:rPr>
                <w:rFonts w:ascii="Arial" w:cs="Arial" w:eastAsia="Arial" w:hAnsi="Arial"/>
                <w:sz w:val="18"/>
                <w:szCs w:val="18"/>
                <w:color w:val="0000FF"/>
                <w:w w:val="91"/>
              </w:rPr>
            </w:pPr>
            <w:hyperlink r:id="rId244">
              <w:r>
                <w:rPr>
                  <w:rFonts w:ascii="Arial" w:cs="Arial" w:eastAsia="Arial" w:hAnsi="Arial"/>
                  <w:sz w:val="18"/>
                  <w:szCs w:val="18"/>
                  <w:color w:val="0000FF"/>
                  <w:w w:val="91"/>
                </w:rPr>
                <w:t>America, N.A., as lender, and the subsidiary borrowers party thereto, filed as Exhibit 10.4 to the Registrant's Form 10-Q filed on November</w:t>
              </w:r>
            </w:hyperlink>
          </w:p>
        </w:tc>
      </w:tr>
      <w:tr>
        <w:trPr>
          <w:trHeight w:val="20"/>
        </w:trPr>
        <w:tc>
          <w:tcPr>
            <w:tcW w:w="1100" w:type="dxa"/>
            <w:vAlign w:val="bottom"/>
          </w:tcPr>
          <w:p>
            <w:pPr>
              <w:spacing w:after="0" w:line="20" w:lineRule="exact"/>
              <w:rPr>
                <w:sz w:val="1"/>
                <w:szCs w:val="1"/>
                <w:color w:val="auto"/>
              </w:rPr>
            </w:pPr>
          </w:p>
        </w:tc>
        <w:tc>
          <w:tcPr>
            <w:tcW w:w="330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40" w:type="dxa"/>
            <w:vAlign w:val="bottom"/>
            <w:gridSpan w:val="3"/>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10080" w:type="dxa"/>
            <w:vAlign w:val="bottom"/>
            <w:gridSpan w:val="12"/>
          </w:tcPr>
          <w:p>
            <w:pPr>
              <w:spacing w:after="0" w:line="195" w:lineRule="exact"/>
              <w:rPr>
                <w:rFonts w:ascii="Arial" w:cs="Arial" w:eastAsia="Arial" w:hAnsi="Arial"/>
                <w:sz w:val="18"/>
                <w:szCs w:val="18"/>
                <w:color w:val="0000FF"/>
              </w:rPr>
            </w:pPr>
            <w:hyperlink r:id="rId244">
              <w:r>
                <w:rPr>
                  <w:rFonts w:ascii="Arial" w:cs="Arial" w:eastAsia="Arial" w:hAnsi="Arial"/>
                  <w:sz w:val="18"/>
                  <w:szCs w:val="18"/>
                  <w:color w:val="0000FF"/>
                </w:rPr>
                <w:t>8, 2022, is hereby incorporated by reference.*</w:t>
              </w:r>
            </w:hyperlink>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3300" w:type="dxa"/>
            <w:vAlign w:val="bottom"/>
            <w:tcBorders>
              <w:right w:val="single" w:sz="8" w:color="0000EE"/>
            </w:tcBorders>
            <w:gridSpan w:val="3"/>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4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1100" w:type="dxa"/>
            <w:vAlign w:val="bottom"/>
          </w:tcPr>
          <w:p>
            <w:pPr>
              <w:ind w:left="100"/>
              <w:spacing w:after="0"/>
              <w:rPr>
                <w:sz w:val="20"/>
                <w:szCs w:val="20"/>
                <w:color w:val="auto"/>
              </w:rPr>
            </w:pPr>
            <w:r>
              <w:rPr>
                <w:rFonts w:ascii="Arial" w:cs="Arial" w:eastAsia="Arial" w:hAnsi="Arial"/>
                <w:sz w:val="18"/>
                <w:szCs w:val="18"/>
                <w:color w:val="auto"/>
              </w:rPr>
              <w:t>31.1</w:t>
            </w:r>
          </w:p>
        </w:tc>
        <w:tc>
          <w:tcPr>
            <w:tcW w:w="10080" w:type="dxa"/>
            <w:vAlign w:val="bottom"/>
            <w:gridSpan w:val="12"/>
          </w:tcPr>
          <w:p>
            <w:pPr>
              <w:spacing w:after="0"/>
              <w:rPr>
                <w:sz w:val="20"/>
                <w:szCs w:val="20"/>
                <w:color w:val="auto"/>
              </w:rPr>
            </w:pPr>
            <w:r>
              <w:rPr>
                <w:rFonts w:ascii="Arial" w:cs="Arial" w:eastAsia="Arial" w:hAnsi="Arial"/>
                <w:sz w:val="18"/>
                <w:szCs w:val="18"/>
                <w:color w:val="0000FF"/>
                <w:w w:val="91"/>
              </w:rPr>
              <w:t>Certification of Chief Executive Officer of Orion Energy Systems, Inc. pursuant to Rule 13a-14(a) or Rule 15d-14(a) promulgated under the</w:t>
            </w:r>
          </w:p>
        </w:tc>
      </w:tr>
      <w:tr>
        <w:trPr>
          <w:trHeight w:val="20"/>
        </w:trPr>
        <w:tc>
          <w:tcPr>
            <w:tcW w:w="1100" w:type="dxa"/>
            <w:vAlign w:val="bottom"/>
          </w:tcPr>
          <w:p>
            <w:pPr>
              <w:spacing w:after="0" w:line="20" w:lineRule="exact"/>
              <w:rPr>
                <w:sz w:val="1"/>
                <w:szCs w:val="1"/>
                <w:color w:val="auto"/>
              </w:rPr>
            </w:pPr>
          </w:p>
        </w:tc>
        <w:tc>
          <w:tcPr>
            <w:tcW w:w="3440" w:type="dxa"/>
            <w:vAlign w:val="bottom"/>
            <w:tcBorders>
              <w:right w:val="single" w:sz="8" w:color="0000FF"/>
            </w:tcBorders>
            <w:gridSpan w:val="4"/>
            <w:shd w:val="clear" w:color="auto" w:fill="0000FF"/>
          </w:tcPr>
          <w:p>
            <w:pPr>
              <w:spacing w:after="0" w:line="20" w:lineRule="exact"/>
              <w:rPr>
                <w:sz w:val="1"/>
                <w:szCs w:val="1"/>
                <w:color w:val="auto"/>
              </w:rPr>
            </w:pPr>
          </w:p>
        </w:tc>
        <w:tc>
          <w:tcPr>
            <w:tcW w:w="6040" w:type="dxa"/>
            <w:vAlign w:val="bottom"/>
            <w:gridSpan w:val="3"/>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10080" w:type="dxa"/>
            <w:vAlign w:val="bottom"/>
            <w:gridSpan w:val="12"/>
          </w:tcPr>
          <w:p>
            <w:pPr>
              <w:spacing w:after="0" w:line="195" w:lineRule="exact"/>
              <w:rPr>
                <w:sz w:val="20"/>
                <w:szCs w:val="20"/>
                <w:color w:val="auto"/>
              </w:rPr>
            </w:pPr>
            <w:r>
              <w:rPr>
                <w:rFonts w:ascii="Arial" w:cs="Arial" w:eastAsia="Arial" w:hAnsi="Arial"/>
                <w:sz w:val="18"/>
                <w:szCs w:val="18"/>
                <w:color w:val="0000FF"/>
              </w:rPr>
              <w:t>Securities Exchange Act of 1934, as amended.+</w:t>
            </w: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3440" w:type="dxa"/>
            <w:vAlign w:val="bottom"/>
            <w:tcBorders>
              <w:right w:val="single" w:sz="8" w:color="0000EE"/>
            </w:tcBorders>
            <w:gridSpan w:val="4"/>
            <w:shd w:val="clear" w:color="auto" w:fill="0000FF"/>
          </w:tcPr>
          <w:p>
            <w:pPr>
              <w:spacing w:after="0" w:line="20" w:lineRule="exact"/>
              <w:rPr>
                <w:sz w:val="1"/>
                <w:szCs w:val="1"/>
                <w:color w:val="auto"/>
              </w:rPr>
            </w:pPr>
          </w:p>
        </w:tc>
        <w:tc>
          <w:tcPr>
            <w:tcW w:w="604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1100" w:type="dxa"/>
            <w:vAlign w:val="bottom"/>
          </w:tcPr>
          <w:p>
            <w:pPr>
              <w:ind w:left="100"/>
              <w:spacing w:after="0"/>
              <w:rPr>
                <w:sz w:val="20"/>
                <w:szCs w:val="20"/>
                <w:color w:val="auto"/>
              </w:rPr>
            </w:pPr>
            <w:r>
              <w:rPr>
                <w:rFonts w:ascii="Arial" w:cs="Arial" w:eastAsia="Arial" w:hAnsi="Arial"/>
                <w:sz w:val="18"/>
                <w:szCs w:val="18"/>
                <w:color w:val="auto"/>
              </w:rPr>
              <w:t>31.2</w:t>
            </w:r>
          </w:p>
        </w:tc>
        <w:tc>
          <w:tcPr>
            <w:tcW w:w="10080" w:type="dxa"/>
            <w:vAlign w:val="bottom"/>
            <w:gridSpan w:val="12"/>
          </w:tcPr>
          <w:p>
            <w:pPr>
              <w:spacing w:after="0"/>
              <w:rPr>
                <w:sz w:val="20"/>
                <w:szCs w:val="20"/>
                <w:color w:val="auto"/>
              </w:rPr>
            </w:pPr>
            <w:r>
              <w:rPr>
                <w:rFonts w:ascii="Arial" w:cs="Arial" w:eastAsia="Arial" w:hAnsi="Arial"/>
                <w:sz w:val="18"/>
                <w:szCs w:val="18"/>
                <w:color w:val="0000FF"/>
                <w:w w:val="91"/>
              </w:rPr>
              <w:t>Certification of Chief Financial Officer of Orion Energy Systems, Inc. pursuant to Rule 13a-14(a) or Rule 15d-14(a) promulgated under the</w:t>
            </w:r>
          </w:p>
        </w:tc>
      </w:tr>
      <w:tr>
        <w:trPr>
          <w:trHeight w:val="20"/>
        </w:trPr>
        <w:tc>
          <w:tcPr>
            <w:tcW w:w="1100" w:type="dxa"/>
            <w:vAlign w:val="bottom"/>
          </w:tcPr>
          <w:p>
            <w:pPr>
              <w:spacing w:after="0" w:line="20" w:lineRule="exact"/>
              <w:rPr>
                <w:sz w:val="1"/>
                <w:szCs w:val="1"/>
                <w:color w:val="auto"/>
              </w:rPr>
            </w:pPr>
          </w:p>
        </w:tc>
        <w:tc>
          <w:tcPr>
            <w:tcW w:w="9480" w:type="dxa"/>
            <w:vAlign w:val="bottom"/>
            <w:gridSpan w:val="7"/>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10080" w:type="dxa"/>
            <w:vAlign w:val="bottom"/>
            <w:gridSpan w:val="12"/>
          </w:tcPr>
          <w:p>
            <w:pPr>
              <w:spacing w:after="0" w:line="195" w:lineRule="exact"/>
              <w:rPr>
                <w:sz w:val="20"/>
                <w:szCs w:val="20"/>
                <w:color w:val="auto"/>
              </w:rPr>
            </w:pPr>
            <w:r>
              <w:rPr>
                <w:rFonts w:ascii="Arial" w:cs="Arial" w:eastAsia="Arial" w:hAnsi="Arial"/>
                <w:sz w:val="18"/>
                <w:szCs w:val="18"/>
                <w:color w:val="0000FF"/>
              </w:rPr>
              <w:t>Securities Exchange Act of 1934, as amended.+</w:t>
            </w: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3440" w:type="dxa"/>
            <w:vAlign w:val="bottom"/>
            <w:tcBorders>
              <w:right w:val="single" w:sz="8" w:color="0000EE"/>
            </w:tcBorders>
            <w:gridSpan w:val="4"/>
            <w:shd w:val="clear" w:color="auto" w:fill="0000FF"/>
          </w:tcPr>
          <w:p>
            <w:pPr>
              <w:spacing w:after="0" w:line="20" w:lineRule="exact"/>
              <w:rPr>
                <w:sz w:val="1"/>
                <w:szCs w:val="1"/>
                <w:color w:val="auto"/>
              </w:rPr>
            </w:pPr>
          </w:p>
        </w:tc>
        <w:tc>
          <w:tcPr>
            <w:tcW w:w="604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r>
      <w:tr>
        <w:trPr>
          <w:trHeight w:val="371"/>
        </w:trPr>
        <w:tc>
          <w:tcPr>
            <w:tcW w:w="1100" w:type="dxa"/>
            <w:vAlign w:val="bottom"/>
          </w:tcPr>
          <w:p>
            <w:pPr>
              <w:ind w:left="100"/>
              <w:spacing w:after="0"/>
              <w:rPr>
                <w:sz w:val="20"/>
                <w:szCs w:val="20"/>
                <w:color w:val="auto"/>
              </w:rPr>
            </w:pPr>
            <w:r>
              <w:rPr>
                <w:rFonts w:ascii="Arial" w:cs="Arial" w:eastAsia="Arial" w:hAnsi="Arial"/>
                <w:sz w:val="18"/>
                <w:szCs w:val="18"/>
                <w:color w:val="auto"/>
              </w:rPr>
              <w:t>32.1</w:t>
            </w:r>
          </w:p>
        </w:tc>
        <w:tc>
          <w:tcPr>
            <w:tcW w:w="10080" w:type="dxa"/>
            <w:vAlign w:val="bottom"/>
            <w:gridSpan w:val="12"/>
          </w:tcPr>
          <w:p>
            <w:pPr>
              <w:spacing w:after="0"/>
              <w:rPr>
                <w:sz w:val="20"/>
                <w:szCs w:val="20"/>
                <w:color w:val="auto"/>
              </w:rPr>
            </w:pPr>
            <w:r>
              <w:rPr>
                <w:rFonts w:ascii="Arial" w:cs="Arial" w:eastAsia="Arial" w:hAnsi="Arial"/>
                <w:sz w:val="18"/>
                <w:szCs w:val="18"/>
                <w:color w:val="0000FF"/>
                <w:w w:val="96"/>
              </w:rPr>
              <w:t>Certification of Chief Executive Officer of Orion Energy Systems, Inc. pursuant to Rule 13a-14(b) promulgated under the Securities</w:t>
            </w:r>
          </w:p>
        </w:tc>
      </w:tr>
      <w:tr>
        <w:trPr>
          <w:trHeight w:val="20"/>
        </w:trPr>
        <w:tc>
          <w:tcPr>
            <w:tcW w:w="1100" w:type="dxa"/>
            <w:vAlign w:val="bottom"/>
          </w:tcPr>
          <w:p>
            <w:pPr>
              <w:spacing w:after="0" w:line="20" w:lineRule="exact"/>
              <w:rPr>
                <w:sz w:val="1"/>
                <w:szCs w:val="1"/>
                <w:color w:val="auto"/>
              </w:rPr>
            </w:pPr>
          </w:p>
        </w:tc>
        <w:tc>
          <w:tcPr>
            <w:tcW w:w="9480" w:type="dxa"/>
            <w:vAlign w:val="bottom"/>
            <w:gridSpan w:val="7"/>
            <w:shd w:val="clear" w:color="auto" w:fill="0000FF"/>
          </w:tcPr>
          <w:p>
            <w:pPr>
              <w:spacing w:after="0" w:line="20" w:lineRule="exact"/>
              <w:rPr>
                <w:sz w:val="1"/>
                <w:szCs w:val="1"/>
                <w:color w:val="auto"/>
              </w:rPr>
            </w:pPr>
          </w:p>
        </w:tc>
        <w:tc>
          <w:tcPr>
            <w:tcW w:w="440" w:type="dxa"/>
            <w:vAlign w:val="bottom"/>
            <w:tcBorders>
              <w:left w:val="single" w:sz="8" w:color="0000FF"/>
            </w:tcBorders>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10080" w:type="dxa"/>
            <w:vAlign w:val="bottom"/>
            <w:gridSpan w:val="12"/>
          </w:tcPr>
          <w:p>
            <w:pPr>
              <w:spacing w:after="0" w:line="195" w:lineRule="exact"/>
              <w:rPr>
                <w:sz w:val="20"/>
                <w:szCs w:val="20"/>
                <w:color w:val="auto"/>
              </w:rPr>
            </w:pPr>
            <w:r>
              <w:rPr>
                <w:rFonts w:ascii="Arial" w:cs="Arial" w:eastAsia="Arial" w:hAnsi="Arial"/>
                <w:sz w:val="18"/>
                <w:szCs w:val="18"/>
                <w:color w:val="0000FF"/>
                <w:w w:val="90"/>
              </w:rPr>
              <w:t>Exchange Act of 1934, as amended, and 18 U.S.C. Section 1350, as adopted pursuant to Section 906 of the Sarbanes-Oxley Act of 2002.+</w:t>
            </w: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9480" w:type="dxa"/>
            <w:vAlign w:val="bottom"/>
            <w:gridSpan w:val="7"/>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r>
      <w:tr>
        <w:trPr>
          <w:trHeight w:val="371"/>
        </w:trPr>
        <w:tc>
          <w:tcPr>
            <w:tcW w:w="1100" w:type="dxa"/>
            <w:vAlign w:val="bottom"/>
          </w:tcPr>
          <w:p>
            <w:pPr>
              <w:ind w:left="100"/>
              <w:spacing w:after="0"/>
              <w:rPr>
                <w:sz w:val="20"/>
                <w:szCs w:val="20"/>
                <w:color w:val="auto"/>
              </w:rPr>
            </w:pPr>
            <w:r>
              <w:rPr>
                <w:rFonts w:ascii="Arial" w:cs="Arial" w:eastAsia="Arial" w:hAnsi="Arial"/>
                <w:sz w:val="18"/>
                <w:szCs w:val="18"/>
                <w:color w:val="auto"/>
              </w:rPr>
              <w:t>32.2</w:t>
            </w:r>
          </w:p>
        </w:tc>
        <w:tc>
          <w:tcPr>
            <w:tcW w:w="10080" w:type="dxa"/>
            <w:vAlign w:val="bottom"/>
            <w:gridSpan w:val="12"/>
          </w:tcPr>
          <w:p>
            <w:pPr>
              <w:spacing w:after="0"/>
              <w:rPr>
                <w:sz w:val="20"/>
                <w:szCs w:val="20"/>
                <w:color w:val="auto"/>
              </w:rPr>
            </w:pPr>
            <w:r>
              <w:rPr>
                <w:rFonts w:ascii="Arial" w:cs="Arial" w:eastAsia="Arial" w:hAnsi="Arial"/>
                <w:sz w:val="18"/>
                <w:szCs w:val="18"/>
                <w:color w:val="0000FF"/>
                <w:w w:val="97"/>
              </w:rPr>
              <w:t>Certification of Chief Financial Officer of Orion Energy Systems, Inc. pursuant to Rule 13a-14(b) promulgated under the Securities</w:t>
            </w:r>
          </w:p>
        </w:tc>
      </w:tr>
      <w:tr>
        <w:trPr>
          <w:trHeight w:val="20"/>
        </w:trPr>
        <w:tc>
          <w:tcPr>
            <w:tcW w:w="1100" w:type="dxa"/>
            <w:vAlign w:val="bottom"/>
          </w:tcPr>
          <w:p>
            <w:pPr>
              <w:spacing w:after="0" w:line="20" w:lineRule="exact"/>
              <w:rPr>
                <w:sz w:val="1"/>
                <w:szCs w:val="1"/>
                <w:color w:val="auto"/>
              </w:rPr>
            </w:pPr>
          </w:p>
        </w:tc>
        <w:tc>
          <w:tcPr>
            <w:tcW w:w="9480" w:type="dxa"/>
            <w:vAlign w:val="bottom"/>
            <w:gridSpan w:val="7"/>
            <w:shd w:val="clear" w:color="auto" w:fill="0000FF"/>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10080" w:type="dxa"/>
            <w:vAlign w:val="bottom"/>
            <w:gridSpan w:val="12"/>
          </w:tcPr>
          <w:p>
            <w:pPr>
              <w:spacing w:after="0" w:line="195" w:lineRule="exact"/>
              <w:rPr>
                <w:sz w:val="20"/>
                <w:szCs w:val="20"/>
                <w:color w:val="auto"/>
              </w:rPr>
            </w:pPr>
            <w:r>
              <w:rPr>
                <w:rFonts w:ascii="Arial" w:cs="Arial" w:eastAsia="Arial" w:hAnsi="Arial"/>
                <w:sz w:val="18"/>
                <w:szCs w:val="18"/>
                <w:color w:val="0000FF"/>
                <w:w w:val="90"/>
              </w:rPr>
              <w:t>Exchange Act of 1934, as amended, and 18 U.S.C. Section 1350, as adopted pursuant to Section 906 of the Sarbanes-Oxley Act of 2002.+</w:t>
            </w: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9920" w:type="dxa"/>
            <w:vAlign w:val="bottom"/>
            <w:gridSpan w:val="9"/>
            <w:shd w:val="clear" w:color="auto" w:fill="0000FF"/>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101.INS</w:t>
            </w:r>
          </w:p>
        </w:tc>
        <w:tc>
          <w:tcPr>
            <w:tcW w:w="10080" w:type="dxa"/>
            <w:vAlign w:val="bottom"/>
            <w:gridSpan w:val="12"/>
          </w:tcPr>
          <w:p>
            <w:pPr>
              <w:spacing w:after="0"/>
              <w:rPr>
                <w:sz w:val="20"/>
                <w:szCs w:val="20"/>
                <w:color w:val="auto"/>
              </w:rPr>
            </w:pPr>
            <w:r>
              <w:rPr>
                <w:rFonts w:ascii="Arial" w:cs="Arial" w:eastAsia="Arial" w:hAnsi="Arial"/>
                <w:sz w:val="18"/>
                <w:szCs w:val="18"/>
                <w:color w:val="auto"/>
              </w:rPr>
              <w:t>Inline XBRL Instance Document+</w:t>
            </w:r>
          </w:p>
        </w:tc>
      </w:tr>
      <w:tr>
        <w:trPr>
          <w:trHeight w:val="391"/>
        </w:trPr>
        <w:tc>
          <w:tcPr>
            <w:tcW w:w="1100" w:type="dxa"/>
            <w:vAlign w:val="bottom"/>
          </w:tcPr>
          <w:p>
            <w:pPr>
              <w:spacing w:after="0"/>
              <w:rPr>
                <w:sz w:val="20"/>
                <w:szCs w:val="20"/>
                <w:color w:val="auto"/>
              </w:rPr>
            </w:pPr>
            <w:r>
              <w:rPr>
                <w:rFonts w:ascii="Arial" w:cs="Arial" w:eastAsia="Arial" w:hAnsi="Arial"/>
                <w:sz w:val="18"/>
                <w:szCs w:val="18"/>
                <w:color w:val="auto"/>
              </w:rPr>
              <w:t>101.SCH</w:t>
            </w:r>
          </w:p>
        </w:tc>
        <w:tc>
          <w:tcPr>
            <w:tcW w:w="10080" w:type="dxa"/>
            <w:vAlign w:val="bottom"/>
            <w:gridSpan w:val="12"/>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391"/>
        </w:trPr>
        <w:tc>
          <w:tcPr>
            <w:tcW w:w="1100" w:type="dxa"/>
            <w:vAlign w:val="bottom"/>
          </w:tcPr>
          <w:p>
            <w:pPr>
              <w:spacing w:after="0"/>
              <w:rPr>
                <w:sz w:val="20"/>
                <w:szCs w:val="20"/>
                <w:color w:val="auto"/>
              </w:rPr>
            </w:pPr>
            <w:r>
              <w:rPr>
                <w:rFonts w:ascii="Arial" w:cs="Arial" w:eastAsia="Arial" w:hAnsi="Arial"/>
                <w:sz w:val="18"/>
                <w:szCs w:val="18"/>
                <w:color w:val="auto"/>
              </w:rPr>
              <w:t>101.CAL</w:t>
            </w:r>
          </w:p>
        </w:tc>
        <w:tc>
          <w:tcPr>
            <w:tcW w:w="10080" w:type="dxa"/>
            <w:vAlign w:val="bottom"/>
            <w:gridSpan w:val="12"/>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391"/>
        </w:trPr>
        <w:tc>
          <w:tcPr>
            <w:tcW w:w="1100" w:type="dxa"/>
            <w:vAlign w:val="bottom"/>
          </w:tcPr>
          <w:p>
            <w:pPr>
              <w:spacing w:after="0"/>
              <w:rPr>
                <w:sz w:val="20"/>
                <w:szCs w:val="20"/>
                <w:color w:val="auto"/>
              </w:rPr>
            </w:pPr>
            <w:r>
              <w:rPr>
                <w:rFonts w:ascii="Arial" w:cs="Arial" w:eastAsia="Arial" w:hAnsi="Arial"/>
                <w:sz w:val="18"/>
                <w:szCs w:val="18"/>
                <w:color w:val="auto"/>
              </w:rPr>
              <w:t>101.DEF</w:t>
            </w:r>
          </w:p>
        </w:tc>
        <w:tc>
          <w:tcPr>
            <w:tcW w:w="10080" w:type="dxa"/>
            <w:vAlign w:val="bottom"/>
            <w:gridSpan w:val="12"/>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391"/>
        </w:trPr>
        <w:tc>
          <w:tcPr>
            <w:tcW w:w="1100" w:type="dxa"/>
            <w:vAlign w:val="bottom"/>
          </w:tcPr>
          <w:p>
            <w:pPr>
              <w:spacing w:after="0"/>
              <w:rPr>
                <w:sz w:val="20"/>
                <w:szCs w:val="20"/>
                <w:color w:val="auto"/>
              </w:rPr>
            </w:pPr>
            <w:r>
              <w:rPr>
                <w:rFonts w:ascii="Arial" w:cs="Arial" w:eastAsia="Arial" w:hAnsi="Arial"/>
                <w:sz w:val="18"/>
                <w:szCs w:val="18"/>
                <w:color w:val="auto"/>
              </w:rPr>
              <w:t>101.LAB</w:t>
            </w:r>
          </w:p>
        </w:tc>
        <w:tc>
          <w:tcPr>
            <w:tcW w:w="10080" w:type="dxa"/>
            <w:vAlign w:val="bottom"/>
            <w:gridSpan w:val="12"/>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391"/>
        </w:trPr>
        <w:tc>
          <w:tcPr>
            <w:tcW w:w="1100" w:type="dxa"/>
            <w:vAlign w:val="bottom"/>
          </w:tcPr>
          <w:p>
            <w:pPr>
              <w:spacing w:after="0"/>
              <w:rPr>
                <w:sz w:val="20"/>
                <w:szCs w:val="20"/>
                <w:color w:val="auto"/>
              </w:rPr>
            </w:pPr>
            <w:r>
              <w:rPr>
                <w:rFonts w:ascii="Arial" w:cs="Arial" w:eastAsia="Arial" w:hAnsi="Arial"/>
                <w:sz w:val="18"/>
                <w:szCs w:val="18"/>
                <w:color w:val="auto"/>
              </w:rPr>
              <w:t>101.PRE</w:t>
            </w:r>
          </w:p>
        </w:tc>
        <w:tc>
          <w:tcPr>
            <w:tcW w:w="10080" w:type="dxa"/>
            <w:vAlign w:val="bottom"/>
            <w:gridSpan w:val="12"/>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20" w:lineRule="exact"/>
        <w:rPr>
          <w:sz w:val="20"/>
          <w:szCs w:val="20"/>
          <w:color w:val="auto"/>
        </w:rPr>
      </w:pPr>
    </w:p>
    <w:p>
      <w:pPr>
        <w:spacing w:after="0" w:line="141" w:lineRule="exact"/>
        <w:rPr>
          <w:sz w:val="20"/>
          <w:szCs w:val="20"/>
          <w:color w:val="auto"/>
        </w:rPr>
      </w:pPr>
    </w:p>
    <w:p>
      <w:pPr>
        <w:ind w:left="1100" w:right="60" w:hanging="1079"/>
        <w:spacing w:after="0" w:line="277" w:lineRule="auto"/>
        <w:tabs>
          <w:tab w:leader="none" w:pos="11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cover page from the Company’s Quarterly Report on Form 10-Q for the quarter ended December 31, 2022, has been formatted in Inline XBRL.</w:t>
      </w:r>
    </w:p>
    <w:p>
      <w:pPr>
        <w:spacing w:after="0" w:line="182" w:lineRule="exact"/>
        <w:rPr>
          <w:rFonts w:ascii="Arial" w:cs="Arial" w:eastAsia="Arial" w:hAnsi="Arial"/>
          <w:sz w:val="18"/>
          <w:szCs w:val="18"/>
          <w:color w:val="auto"/>
        </w:rPr>
      </w:pPr>
    </w:p>
    <w:p>
      <w:pPr>
        <w:ind w:left="160" w:hanging="152"/>
        <w:spacing w:after="0"/>
        <w:tabs>
          <w:tab w:leader="none" w:pos="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 or compensatory plan or arrangement</w:t>
      </w:r>
    </w:p>
    <w:p>
      <w:pPr>
        <w:spacing w:after="0" w:line="9" w:lineRule="exact"/>
        <w:rPr>
          <w:sz w:val="20"/>
          <w:szCs w:val="20"/>
          <w:color w:val="auto"/>
        </w:rPr>
      </w:pPr>
    </w:p>
    <w:p>
      <w:pPr>
        <w:jc w:val="both"/>
        <w:ind w:firstLine="8"/>
        <w:spacing w:after="0" w:line="255" w:lineRule="auto"/>
        <w:tabs>
          <w:tab w:leader="none" w:pos="133"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schedules to this exhibit have been omitted in accordance with Regulation S-K Item 601(a)(5). The Registrant agrees to furnish a copy of all omitted exhibits and schedules to the SEC upon its request; provided, however, that the Registrant may request confidential treatment pursuant to Rule 24b-2 of the Exchange Act, as amended, for any schedule so furnished.</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6" w:name="page37"/>
    <w:bookmarkEnd w:id="36"/>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175" w:lineRule="exact"/>
        <w:rPr>
          <w:sz w:val="20"/>
          <w:szCs w:val="20"/>
          <w:color w:val="auto"/>
        </w:rPr>
      </w:pPr>
    </w:p>
    <w:p>
      <w:pPr>
        <w:ind w:firstLine="46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February 9, 2023.</w:t>
      </w:r>
    </w:p>
    <w:p>
      <w:pPr>
        <w:spacing w:after="0" w:line="18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ORION ENERGY SYSTEMS, INC.</w:t>
      </w:r>
    </w:p>
    <w:p>
      <w:pPr>
        <w:spacing w:after="0" w:line="265" w:lineRule="exact"/>
        <w:rPr>
          <w:sz w:val="20"/>
          <w:szCs w:val="20"/>
          <w:color w:val="auto"/>
        </w:rPr>
      </w:pPr>
    </w:p>
    <w:p>
      <w:pPr>
        <w:ind w:left="5080"/>
        <w:spacing w:after="0"/>
        <w:tabs>
          <w:tab w:leader="none" w:pos="5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 Per Brodin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23495</wp:posOffset>
            </wp:positionV>
            <wp:extent cx="356171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6">
                      <a:extLst>
                        <a:ext uri="{28A0092B-C50C-407E-A947-70E740481C1C}"/>
                      </a:extLst>
                    </a:blip>
                    <a:srcRect/>
                    <a:stretch>
                      <a:fillRect/>
                    </a:stretch>
                  </pic:blipFill>
                  <pic:spPr bwMode="auto">
                    <a:xfrm>
                      <a:off x="0" y="0"/>
                      <a:ext cx="3561715" cy="8255"/>
                    </a:xfrm>
                    <a:prstGeom prst="rect">
                      <a:avLst/>
                    </a:prstGeom>
                    <a:noFill/>
                  </pic:spPr>
                </pic:pic>
              </a:graphicData>
            </a:graphic>
          </wp:anchor>
        </w:drawing>
      </w:r>
    </w:p>
    <w:p>
      <w:pPr>
        <w:spacing w:after="0" w:line="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J. Per Brodin</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Financial Officer</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(Principal Financial Officer and Authorized Signatory)</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31.1</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Certification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 Michael H. Jenkins, certify that:</w:t>
      </w:r>
    </w:p>
    <w:p>
      <w:pPr>
        <w:spacing w:after="0" w:line="225" w:lineRule="exact"/>
        <w:rPr>
          <w:sz w:val="20"/>
          <w:szCs w:val="20"/>
          <w:color w:val="auto"/>
        </w:rPr>
      </w:pPr>
    </w:p>
    <w:p>
      <w:pPr>
        <w:ind w:left="520" w:hanging="512"/>
        <w:spacing w:after="0"/>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Orion Energy Systems, Inc.;</w:t>
      </w:r>
    </w:p>
    <w:p>
      <w:pPr>
        <w:spacing w:after="0" w:line="224" w:lineRule="exact"/>
        <w:rPr>
          <w:rFonts w:ascii="Arial" w:cs="Arial" w:eastAsia="Arial" w:hAnsi="Arial"/>
          <w:sz w:val="18"/>
          <w:szCs w:val="18"/>
          <w:color w:val="auto"/>
        </w:rPr>
      </w:pPr>
    </w:p>
    <w:p>
      <w:pPr>
        <w:jc w:val="both"/>
        <w:ind w:left="520" w:right="260" w:hanging="512"/>
        <w:spacing w:after="0" w:line="263" w:lineRule="auto"/>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2" w:lineRule="exact"/>
        <w:rPr>
          <w:rFonts w:ascii="Arial" w:cs="Arial" w:eastAsia="Arial" w:hAnsi="Arial"/>
          <w:sz w:val="18"/>
          <w:szCs w:val="18"/>
          <w:color w:val="auto"/>
        </w:rPr>
      </w:pPr>
    </w:p>
    <w:p>
      <w:pPr>
        <w:ind w:left="520" w:right="240" w:hanging="512"/>
        <w:spacing w:after="0" w:line="307" w:lineRule="auto"/>
        <w:tabs>
          <w:tab w:leader="none" w:pos="520" w:val="left"/>
        </w:tabs>
        <w:numPr>
          <w:ilvl w:val="0"/>
          <w:numId w:val="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7"/>
          <w:szCs w:val="17"/>
          <w:color w:val="auto"/>
        </w:rPr>
      </w:pPr>
    </w:p>
    <w:p>
      <w:pPr>
        <w:ind w:left="520" w:right="260" w:hanging="512"/>
        <w:spacing w:after="0" w:line="263" w:lineRule="auto"/>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4" w:lineRule="exact"/>
        <w:rPr>
          <w:rFonts w:ascii="Arial" w:cs="Arial" w:eastAsia="Arial" w:hAnsi="Arial"/>
          <w:sz w:val="18"/>
          <w:szCs w:val="18"/>
          <w:color w:val="auto"/>
        </w:rPr>
      </w:pPr>
    </w:p>
    <w:p>
      <w:pPr>
        <w:ind w:left="1020" w:right="20" w:hanging="504"/>
        <w:spacing w:after="0" w:line="263" w:lineRule="auto"/>
        <w:tabs>
          <w:tab w:leader="none" w:pos="102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4" w:lineRule="exact"/>
        <w:rPr>
          <w:rFonts w:ascii="Arial" w:cs="Arial" w:eastAsia="Arial" w:hAnsi="Arial"/>
          <w:sz w:val="18"/>
          <w:szCs w:val="18"/>
          <w:color w:val="auto"/>
        </w:rPr>
      </w:pPr>
    </w:p>
    <w:p>
      <w:pPr>
        <w:ind w:left="1020" w:right="340" w:hanging="504"/>
        <w:spacing w:after="0" w:line="263" w:lineRule="auto"/>
        <w:tabs>
          <w:tab w:leader="none" w:pos="102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4" w:lineRule="exact"/>
        <w:rPr>
          <w:rFonts w:ascii="Arial" w:cs="Arial" w:eastAsia="Arial" w:hAnsi="Arial"/>
          <w:sz w:val="18"/>
          <w:szCs w:val="18"/>
          <w:color w:val="auto"/>
        </w:rPr>
      </w:pPr>
    </w:p>
    <w:p>
      <w:pPr>
        <w:jc w:val="both"/>
        <w:ind w:left="1020" w:right="500" w:hanging="504"/>
        <w:spacing w:after="0" w:line="341" w:lineRule="auto"/>
        <w:tabs>
          <w:tab w:leader="none" w:pos="1020" w:val="left"/>
        </w:tabs>
        <w:numPr>
          <w:ilvl w:val="1"/>
          <w:numId w:val="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 w:lineRule="exact"/>
        <w:rPr>
          <w:rFonts w:ascii="Arial" w:cs="Arial" w:eastAsia="Arial" w:hAnsi="Arial"/>
          <w:sz w:val="16"/>
          <w:szCs w:val="16"/>
          <w:color w:val="auto"/>
        </w:rPr>
      </w:pPr>
    </w:p>
    <w:p>
      <w:pPr>
        <w:ind w:left="1020" w:right="20" w:hanging="504"/>
        <w:spacing w:after="0" w:line="263" w:lineRule="auto"/>
        <w:tabs>
          <w:tab w:leader="none" w:pos="1020"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2" w:lineRule="exact"/>
        <w:rPr>
          <w:rFonts w:ascii="Arial" w:cs="Arial" w:eastAsia="Arial" w:hAnsi="Arial"/>
          <w:sz w:val="18"/>
          <w:szCs w:val="18"/>
          <w:color w:val="auto"/>
        </w:rPr>
      </w:pPr>
    </w:p>
    <w:p>
      <w:pPr>
        <w:ind w:left="520" w:right="160" w:hanging="512"/>
        <w:spacing w:after="0" w:line="307" w:lineRule="auto"/>
        <w:tabs>
          <w:tab w:leader="none" w:pos="52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Arial" w:cs="Arial" w:eastAsia="Arial" w:hAnsi="Arial"/>
          <w:sz w:val="17"/>
          <w:szCs w:val="17"/>
          <w:color w:val="auto"/>
        </w:rPr>
      </w:pPr>
    </w:p>
    <w:p>
      <w:pPr>
        <w:ind w:left="1020" w:right="740" w:hanging="504"/>
        <w:spacing w:after="0" w:line="341" w:lineRule="auto"/>
        <w:tabs>
          <w:tab w:leader="none" w:pos="1020" w:val="left"/>
        </w:tabs>
        <w:numPr>
          <w:ilvl w:val="1"/>
          <w:numId w:val="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 w:lineRule="exact"/>
        <w:rPr>
          <w:rFonts w:ascii="Arial" w:cs="Arial" w:eastAsia="Arial" w:hAnsi="Arial"/>
          <w:sz w:val="16"/>
          <w:szCs w:val="16"/>
          <w:color w:val="auto"/>
        </w:rPr>
      </w:pPr>
    </w:p>
    <w:p>
      <w:pPr>
        <w:ind w:left="1020" w:right="440" w:hanging="504"/>
        <w:spacing w:after="0" w:line="277" w:lineRule="auto"/>
        <w:tabs>
          <w:tab w:leader="none" w:pos="10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9, 2023</w:t>
      </w:r>
    </w:p>
    <w:p>
      <w:pPr>
        <w:spacing w:after="0" w:line="265"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/s/ Michael H. Jenkins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4645660</wp:posOffset>
            </wp:positionH>
            <wp:positionV relativeFrom="paragraph">
              <wp:posOffset>23495</wp:posOffset>
            </wp:positionV>
            <wp:extent cx="249174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8">
                      <a:extLst>
                        <a:ext uri="{28A0092B-C50C-407E-A947-70E740481C1C}"/>
                      </a:extLst>
                    </a:blip>
                    <a:srcRect/>
                    <a:stretch>
                      <a:fillRect/>
                    </a:stretch>
                  </pic:blipFill>
                  <pic:spPr bwMode="auto">
                    <a:xfrm>
                      <a:off x="0" y="0"/>
                      <a:ext cx="2491740" cy="8255"/>
                    </a:xfrm>
                    <a:prstGeom prst="rect">
                      <a:avLst/>
                    </a:prstGeom>
                    <a:noFill/>
                  </pic:spPr>
                </pic:pic>
              </a:graphicData>
            </a:graphic>
          </wp:anchor>
        </w:drawing>
      </w:r>
    </w:p>
    <w:p>
      <w:pPr>
        <w:spacing w:after="0" w:line="29"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Michael H. Jenkins</w:t>
      </w:r>
    </w:p>
    <w:p>
      <w:pPr>
        <w:spacing w:after="0" w:line="36"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781050</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31.2</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Certification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 J. Per Brodin, certify that:</w:t>
      </w:r>
    </w:p>
    <w:p>
      <w:pPr>
        <w:spacing w:after="0" w:line="225" w:lineRule="exact"/>
        <w:rPr>
          <w:sz w:val="20"/>
          <w:szCs w:val="20"/>
          <w:color w:val="auto"/>
        </w:rPr>
      </w:pPr>
    </w:p>
    <w:p>
      <w:pPr>
        <w:ind w:left="520" w:hanging="512"/>
        <w:spacing w:after="0"/>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Orion Energy Systems, Inc.;</w:t>
      </w:r>
    </w:p>
    <w:p>
      <w:pPr>
        <w:spacing w:after="0" w:line="224" w:lineRule="exact"/>
        <w:rPr>
          <w:rFonts w:ascii="Arial" w:cs="Arial" w:eastAsia="Arial" w:hAnsi="Arial"/>
          <w:sz w:val="18"/>
          <w:szCs w:val="18"/>
          <w:color w:val="auto"/>
        </w:rPr>
      </w:pPr>
    </w:p>
    <w:p>
      <w:pPr>
        <w:jc w:val="both"/>
        <w:ind w:left="520" w:right="260" w:hanging="512"/>
        <w:spacing w:after="0" w:line="263" w:lineRule="auto"/>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2" w:lineRule="exact"/>
        <w:rPr>
          <w:rFonts w:ascii="Arial" w:cs="Arial" w:eastAsia="Arial" w:hAnsi="Arial"/>
          <w:sz w:val="18"/>
          <w:szCs w:val="18"/>
          <w:color w:val="auto"/>
        </w:rPr>
      </w:pPr>
    </w:p>
    <w:p>
      <w:pPr>
        <w:ind w:left="520" w:right="240" w:hanging="512"/>
        <w:spacing w:after="0" w:line="307" w:lineRule="auto"/>
        <w:tabs>
          <w:tab w:leader="none" w:pos="520" w:val="left"/>
        </w:tabs>
        <w:numPr>
          <w:ilvl w:val="0"/>
          <w:numId w:val="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7"/>
          <w:szCs w:val="17"/>
          <w:color w:val="auto"/>
        </w:rPr>
      </w:pPr>
    </w:p>
    <w:p>
      <w:pPr>
        <w:ind w:left="520" w:right="260" w:hanging="512"/>
        <w:spacing w:after="0" w:line="263" w:lineRule="auto"/>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4" w:lineRule="exact"/>
        <w:rPr>
          <w:rFonts w:ascii="Arial" w:cs="Arial" w:eastAsia="Arial" w:hAnsi="Arial"/>
          <w:sz w:val="18"/>
          <w:szCs w:val="18"/>
          <w:color w:val="auto"/>
        </w:rPr>
      </w:pPr>
    </w:p>
    <w:p>
      <w:pPr>
        <w:ind w:left="1020" w:right="20" w:hanging="504"/>
        <w:spacing w:after="0" w:line="263" w:lineRule="auto"/>
        <w:tabs>
          <w:tab w:leader="none" w:pos="102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4" w:lineRule="exact"/>
        <w:rPr>
          <w:rFonts w:ascii="Arial" w:cs="Arial" w:eastAsia="Arial" w:hAnsi="Arial"/>
          <w:sz w:val="18"/>
          <w:szCs w:val="18"/>
          <w:color w:val="auto"/>
        </w:rPr>
      </w:pPr>
    </w:p>
    <w:p>
      <w:pPr>
        <w:ind w:left="1020" w:right="340" w:hanging="504"/>
        <w:spacing w:after="0" w:line="263" w:lineRule="auto"/>
        <w:tabs>
          <w:tab w:leader="none" w:pos="102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4" w:lineRule="exact"/>
        <w:rPr>
          <w:rFonts w:ascii="Arial" w:cs="Arial" w:eastAsia="Arial" w:hAnsi="Arial"/>
          <w:sz w:val="18"/>
          <w:szCs w:val="18"/>
          <w:color w:val="auto"/>
        </w:rPr>
      </w:pPr>
    </w:p>
    <w:p>
      <w:pPr>
        <w:jc w:val="both"/>
        <w:ind w:left="1020" w:right="500" w:hanging="504"/>
        <w:spacing w:after="0" w:line="341" w:lineRule="auto"/>
        <w:tabs>
          <w:tab w:leader="none" w:pos="1020" w:val="left"/>
        </w:tabs>
        <w:numPr>
          <w:ilvl w:val="1"/>
          <w:numId w:val="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 w:lineRule="exact"/>
        <w:rPr>
          <w:rFonts w:ascii="Arial" w:cs="Arial" w:eastAsia="Arial" w:hAnsi="Arial"/>
          <w:sz w:val="16"/>
          <w:szCs w:val="16"/>
          <w:color w:val="auto"/>
        </w:rPr>
      </w:pPr>
    </w:p>
    <w:p>
      <w:pPr>
        <w:ind w:left="1020" w:right="20" w:hanging="504"/>
        <w:spacing w:after="0" w:line="263" w:lineRule="auto"/>
        <w:tabs>
          <w:tab w:leader="none" w:pos="102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2" w:lineRule="exact"/>
        <w:rPr>
          <w:rFonts w:ascii="Arial" w:cs="Arial" w:eastAsia="Arial" w:hAnsi="Arial"/>
          <w:sz w:val="18"/>
          <w:szCs w:val="18"/>
          <w:color w:val="auto"/>
        </w:rPr>
      </w:pPr>
    </w:p>
    <w:p>
      <w:pPr>
        <w:ind w:left="520" w:right="160" w:hanging="512"/>
        <w:spacing w:after="0" w:line="307" w:lineRule="auto"/>
        <w:tabs>
          <w:tab w:leader="none" w:pos="52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Arial" w:cs="Arial" w:eastAsia="Arial" w:hAnsi="Arial"/>
          <w:sz w:val="17"/>
          <w:szCs w:val="17"/>
          <w:color w:val="auto"/>
        </w:rPr>
      </w:pPr>
    </w:p>
    <w:p>
      <w:pPr>
        <w:ind w:left="1020" w:right="740" w:hanging="504"/>
        <w:spacing w:after="0" w:line="341" w:lineRule="auto"/>
        <w:tabs>
          <w:tab w:leader="none" w:pos="1020" w:val="left"/>
        </w:tabs>
        <w:numPr>
          <w:ilvl w:val="1"/>
          <w:numId w:val="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 w:lineRule="exact"/>
        <w:rPr>
          <w:rFonts w:ascii="Arial" w:cs="Arial" w:eastAsia="Arial" w:hAnsi="Arial"/>
          <w:sz w:val="16"/>
          <w:szCs w:val="16"/>
          <w:color w:val="auto"/>
        </w:rPr>
      </w:pPr>
    </w:p>
    <w:p>
      <w:pPr>
        <w:ind w:left="1020" w:right="440" w:hanging="504"/>
        <w:spacing w:after="0" w:line="277" w:lineRule="auto"/>
        <w:tabs>
          <w:tab w:leader="none" w:pos="102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9, 2023</w:t>
      </w:r>
    </w:p>
    <w:p>
      <w:pPr>
        <w:spacing w:after="0" w:line="265"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/s/ J. Per Brodin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4645660</wp:posOffset>
            </wp:positionH>
            <wp:positionV relativeFrom="paragraph">
              <wp:posOffset>23495</wp:posOffset>
            </wp:positionV>
            <wp:extent cx="249174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0">
                      <a:extLst>
                        <a:ext uri="{28A0092B-C50C-407E-A947-70E740481C1C}"/>
                      </a:extLst>
                    </a:blip>
                    <a:srcRect/>
                    <a:stretch>
                      <a:fillRect/>
                    </a:stretch>
                  </pic:blipFill>
                  <pic:spPr bwMode="auto">
                    <a:xfrm>
                      <a:off x="0" y="0"/>
                      <a:ext cx="2491740" cy="8255"/>
                    </a:xfrm>
                    <a:prstGeom prst="rect">
                      <a:avLst/>
                    </a:prstGeom>
                    <a:noFill/>
                  </pic:spPr>
                </pic:pic>
              </a:graphicData>
            </a:graphic>
          </wp:anchor>
        </w:drawing>
      </w:r>
    </w:p>
    <w:p>
      <w:pPr>
        <w:spacing w:after="0" w:line="29"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J. Per Brodin</w:t>
      </w:r>
    </w:p>
    <w:p>
      <w:pPr>
        <w:spacing w:after="0" w:line="36"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Pursuant To</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of Orion Energy Systems, Inc., a Wisconsin corporation (the “Company”), on Form 10-Q for the period ended December 31, 2022, as filed with the Securities and Exchange Commission on the date hereof (the “Report”), I, Michael W. Altschaefl, Chief Executive Officer of the Company, certify, pursuant to 18 U.S.C. 1350, as adopted pursuant to Section 906 of the Sarbanes-Oxley Act of 2002, that, based on my knowledge:</w:t>
      </w:r>
    </w:p>
    <w:p>
      <w:pPr>
        <w:spacing w:after="0" w:line="77" w:lineRule="exact"/>
        <w:rPr>
          <w:sz w:val="20"/>
          <w:szCs w:val="20"/>
          <w:color w:val="auto"/>
        </w:rPr>
      </w:pPr>
    </w:p>
    <w:p>
      <w:pPr>
        <w:ind w:left="1020" w:hanging="504"/>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6" w:lineRule="exact"/>
        <w:rPr>
          <w:rFonts w:ascii="Arial" w:cs="Arial" w:eastAsia="Arial" w:hAnsi="Arial"/>
          <w:sz w:val="18"/>
          <w:szCs w:val="18"/>
          <w:color w:val="auto"/>
        </w:rPr>
      </w:pPr>
    </w:p>
    <w:p>
      <w:pPr>
        <w:ind w:left="1020" w:right="560" w:hanging="504"/>
        <w:spacing w:after="0" w:line="277"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10"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Date: February 9, 2023</w:t>
      </w:r>
    </w:p>
    <w:p>
      <w:pPr>
        <w:spacing w:after="0" w:line="278"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/s/ Michael H. Jenkins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4645660</wp:posOffset>
            </wp:positionH>
            <wp:positionV relativeFrom="paragraph">
              <wp:posOffset>23495</wp:posOffset>
            </wp:positionV>
            <wp:extent cx="249174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2">
                      <a:extLst>
                        <a:ext uri="{28A0092B-C50C-407E-A947-70E740481C1C}"/>
                      </a:extLst>
                    </a:blip>
                    <a:srcRect/>
                    <a:stretch>
                      <a:fillRect/>
                    </a:stretch>
                  </pic:blipFill>
                  <pic:spPr bwMode="auto">
                    <a:xfrm>
                      <a:off x="0" y="0"/>
                      <a:ext cx="2491740" cy="8255"/>
                    </a:xfrm>
                    <a:prstGeom prst="rect">
                      <a:avLst/>
                    </a:prstGeom>
                    <a:noFill/>
                  </pic:spPr>
                </pic:pic>
              </a:graphicData>
            </a:graphic>
          </wp:anchor>
        </w:drawing>
      </w:r>
    </w:p>
    <w:p>
      <w:pPr>
        <w:spacing w:after="0" w:line="2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Michael H. Jenkins</w:t>
      </w:r>
    </w:p>
    <w:p>
      <w:pPr>
        <w:spacing w:after="0" w:line="3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Chief Executive Officer</w:t>
      </w:r>
    </w:p>
    <w:p>
      <w:pPr>
        <w:spacing w:after="0" w:line="26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172720</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CFO Pursuant To</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2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connection with the Quarterly Report of Orion Energy Systems, Inc., a Wisconsin corporation (the “Company”), on Form 10-Q for the period ended December 31, 2022, as filed with the Securities and Exchange Commission on the date hereof (the “Report”), I, J. Per Brodin, Chief Financial Officer of the Company, certify, pursuant to 18 U.S.C. 1350, as adopted pursuant to Section 906 of the Sarbanes-Oxley Act of 2002, that, based on my knowledge:</w:t>
      </w:r>
    </w:p>
    <w:p>
      <w:pPr>
        <w:spacing w:after="0" w:line="40" w:lineRule="exact"/>
        <w:rPr>
          <w:sz w:val="20"/>
          <w:szCs w:val="20"/>
          <w:color w:val="auto"/>
        </w:rPr>
      </w:pPr>
    </w:p>
    <w:p>
      <w:pPr>
        <w:ind w:left="1020" w:hanging="504"/>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6" w:lineRule="exact"/>
        <w:rPr>
          <w:rFonts w:ascii="Arial" w:cs="Arial" w:eastAsia="Arial" w:hAnsi="Arial"/>
          <w:sz w:val="18"/>
          <w:szCs w:val="18"/>
          <w:color w:val="auto"/>
        </w:rPr>
      </w:pPr>
    </w:p>
    <w:p>
      <w:pPr>
        <w:ind w:left="1020" w:right="560" w:hanging="504"/>
        <w:spacing w:after="0" w:line="277"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10"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Date: February 9, 2023</w:t>
      </w:r>
    </w:p>
    <w:p>
      <w:pPr>
        <w:spacing w:after="0" w:line="278"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/s/ J. Per Brodin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4645660</wp:posOffset>
            </wp:positionH>
            <wp:positionV relativeFrom="paragraph">
              <wp:posOffset>23495</wp:posOffset>
            </wp:positionV>
            <wp:extent cx="249174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4">
                      <a:extLst>
                        <a:ext uri="{28A0092B-C50C-407E-A947-70E740481C1C}"/>
                      </a:extLst>
                    </a:blip>
                    <a:srcRect/>
                    <a:stretch>
                      <a:fillRect/>
                    </a:stretch>
                  </pic:blipFill>
                  <pic:spPr bwMode="auto">
                    <a:xfrm>
                      <a:off x="0" y="0"/>
                      <a:ext cx="2491740" cy="8255"/>
                    </a:xfrm>
                    <a:prstGeom prst="rect">
                      <a:avLst/>
                    </a:prstGeom>
                    <a:noFill/>
                  </pic:spPr>
                </pic:pic>
              </a:graphicData>
            </a:graphic>
          </wp:anchor>
        </w:drawing>
      </w:r>
    </w:p>
    <w:p>
      <w:pPr>
        <w:spacing w:after="0" w:line="2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J. Per Brodin</w:t>
      </w:r>
    </w:p>
    <w:p>
      <w:pPr>
        <w:spacing w:after="0" w:line="3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Chief Financial Officer</w:t>
      </w:r>
    </w:p>
    <w:p>
      <w:pPr>
        <w:spacing w:after="0" w:line="26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172720</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lvl w:ilvl="1">
      <w:lvlJc w:val="left"/>
      <w:lvlText w:val="%2"/>
      <w:numFmt w:val="decimal"/>
      <w:start w:val="104"/>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decimal"/>
      <w:start w:val="1"/>
    </w:lvl>
    <w:lvl w:ilvl="1">
      <w:lvlJc w:val="left"/>
      <w:lvlText w:val="%2."/>
      <w:numFmt w:val="lowerLetter"/>
      <w:start w:val="1"/>
    </w:lvl>
  </w:abstractNum>
  <w:abstractNum w:abstractNumId="5">
    <w:nsid w:val="41B71EFB"/>
    <w:multiLevelType w:val="hybridMultilevel"/>
    <w:lvl w:ilvl="0">
      <w:lvlJc w:val="left"/>
      <w:lvlText w:val="%1."/>
      <w:numFmt w:val="decimal"/>
      <w:start w:val="1"/>
    </w:lvl>
    <w:lvl w:ilvl="1">
      <w:lvlJc w:val="left"/>
      <w:lvlText w:val="%2."/>
      <w:numFmt w:val="lowerLetter"/>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5" Type="http://schemas.openxmlformats.org/officeDocument/2006/relationships/image" Target="media/image234.png"/><Relationship Id="rId246" Type="http://schemas.openxmlformats.org/officeDocument/2006/relationships/image" Target="media/image235.png"/><Relationship Id="rId247" Type="http://schemas.openxmlformats.org/officeDocument/2006/relationships/image" Target="media/image236.png"/><Relationship Id="rId248" Type="http://schemas.openxmlformats.org/officeDocument/2006/relationships/image" Target="media/image237.png"/><Relationship Id="rId249" Type="http://schemas.openxmlformats.org/officeDocument/2006/relationships/image" Target="media/image238.png"/><Relationship Id="rId250" Type="http://schemas.openxmlformats.org/officeDocument/2006/relationships/image" Target="media/image239.png"/><Relationship Id="rId251" Type="http://schemas.openxmlformats.org/officeDocument/2006/relationships/image" Target="media/image240.png"/><Relationship Id="rId252" Type="http://schemas.openxmlformats.org/officeDocument/2006/relationships/image" Target="media/image241.png"/><Relationship Id="rId253" Type="http://schemas.openxmlformats.org/officeDocument/2006/relationships/image" Target="media/image242.png"/><Relationship Id="rId254" Type="http://schemas.openxmlformats.org/officeDocument/2006/relationships/image" Target="media/image243.png"/><Relationship Id="rId255" Type="http://schemas.openxmlformats.org/officeDocument/2006/relationships/image" Target="media/image244.png"/><Relationship Id="rId241" Type="http://schemas.openxmlformats.org/officeDocument/2006/relationships/hyperlink" Target="https://www.sec.gov/Archives/edgar/data/1409375/000119312522284552/d391651dex31.htm" TargetMode="External"/><Relationship Id="rId242" Type="http://schemas.openxmlformats.org/officeDocument/2006/relationships/hyperlink" Target="https://www.sec.gov/Archives/edgar/data/1409375/000119312522210605/d353290dex101.htm" TargetMode="External"/><Relationship Id="rId243" Type="http://schemas.openxmlformats.org/officeDocument/2006/relationships/hyperlink" Target="https://www.sec.gov/Archives/edgar/data/1409375/000119312522210605/d353290dex102.htm" TargetMode="External"/><Relationship Id="rId244" Type="http://schemas.openxmlformats.org/officeDocument/2006/relationships/hyperlink" Target="https://www.sec.gov/Archives/edgar/data/1409375/000095017022023245/oesx-ex10_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2023-02-09T17:18:01Z</dcterms:created>
  <dcterms:modified xsi:type="dcterms:W3CDTF">2023-02-09T17:18:01Z</dcterms:modified>
</cp:coreProperties>
</file>