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113665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9" w:lineRule="exact"/>
        <w:rPr>
          <w:sz w:val="24"/>
          <w:szCs w:val="24"/>
          <w:color w:val="auto"/>
        </w:rPr>
      </w:pPr>
    </w:p>
    <w:p>
      <w:pPr>
        <w:ind w:left="540" w:right="20" w:hanging="532"/>
        <w:spacing w:after="0" w:line="262"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40" w:hanging="532"/>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105410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800" w:type="dxa"/>
            <w:vAlign w:val="bottom"/>
            <w:gridSpan w:val="3"/>
          </w:tcPr>
          <w:p>
            <w:pPr>
              <w:jc w:val="center"/>
              <w:ind w:left="641"/>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right"/>
              <w:ind w:right="2245"/>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800" w:type="dxa"/>
            <w:vAlign w:val="bottom"/>
            <w:gridSpan w:val="3"/>
          </w:tcPr>
          <w:p>
            <w:pPr>
              <w:jc w:val="center"/>
              <w:ind w:left="6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800" w:type="dxa"/>
            <w:vAlign w:val="bottom"/>
            <w:gridSpan w:val="3"/>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320"/>
        </w:trPr>
        <w:tc>
          <w:tcPr>
            <w:tcW w:w="4800" w:type="dxa"/>
            <w:vAlign w:val="bottom"/>
            <w:gridSpan w:val="3"/>
          </w:tcPr>
          <w:p>
            <w:pPr>
              <w:jc w:val="center"/>
              <w:ind w:left="641"/>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Wisconsin</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right"/>
              <w:ind w:right="2445"/>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193"/>
        </w:trPr>
        <w:tc>
          <w:tcPr>
            <w:tcW w:w="4800" w:type="dxa"/>
            <w:vAlign w:val="bottom"/>
            <w:gridSpan w:val="3"/>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48"/>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480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840" w:type="dxa"/>
            <w:vAlign w:val="bottom"/>
            <w:gridSpan w:val="2"/>
            <w:vMerge w:val="restart"/>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OESX</w:t>
            </w:r>
          </w:p>
        </w:tc>
        <w:tc>
          <w:tcPr>
            <w:tcW w:w="36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4800" w:type="dxa"/>
            <w:vAlign w:val="bottom"/>
            <w:gridSpan w:val="3"/>
            <w:vMerge w:val="continue"/>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4"/>
                <w:szCs w:val="14"/>
                <w:color w:val="auto"/>
              </w:rPr>
              <w:t>Common stock purchase rights</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4800" w:type="dxa"/>
            <w:vAlign w:val="bottom"/>
            <w:gridSpan w:val="3"/>
            <w:vMerge w:val="continue"/>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8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Accelerated filer</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580"/>
        <w:spacing w:after="0" w:line="24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There were 30,759,953 shares of the Registrant’s common stock outstanding on January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 w:name="page2"/>
    <w:bookmarkEnd w:id="1"/>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104"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FOR THE QUARTER ENDED DECEMBER 31, 2020</w:t>
      </w:r>
    </w:p>
    <w:p>
      <w:pPr>
        <w:spacing w:after="0" w:line="104"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r>
      <w:tr>
        <w:trPr>
          <w:trHeight w:val="283"/>
        </w:trPr>
        <w:tc>
          <w:tcPr>
            <w:tcW w:w="1080" w:type="dxa"/>
            <w:vAlign w:val="bottom"/>
          </w:tcPr>
          <w:p>
            <w:pPr>
              <w:spacing w:after="0"/>
              <w:rPr>
                <w:sz w:val="24"/>
                <w:szCs w:val="24"/>
                <w:color w:val="auto"/>
              </w:rPr>
            </w:pP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as of December 31, 2020 and March 31, 2020</w:t>
              </w:r>
            </w:hyperlink>
          </w:p>
        </w:tc>
      </w:tr>
      <w:tr>
        <w:trPr>
          <w:trHeight w:val="243"/>
        </w:trPr>
        <w:tc>
          <w:tcPr>
            <w:tcW w:w="1080" w:type="dxa"/>
            <w:vAlign w:val="bottom"/>
          </w:tcPr>
          <w:p>
            <w:pPr>
              <w:spacing w:after="0"/>
              <w:rPr>
                <w:sz w:val="21"/>
                <w:szCs w:val="21"/>
                <w:color w:val="auto"/>
              </w:rPr>
            </w:pPr>
          </w:p>
        </w:tc>
        <w:tc>
          <w:tcPr>
            <w:tcW w:w="9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Nine Months Ended December 31, 2020 and December 31,</w:t>
              </w:r>
            </w:hyperlink>
          </w:p>
        </w:tc>
      </w:tr>
      <w:tr>
        <w:trPr>
          <w:trHeight w:val="196"/>
        </w:trPr>
        <w:tc>
          <w:tcPr>
            <w:tcW w:w="10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2019</w:t>
              </w:r>
            </w:hyperlink>
          </w:p>
        </w:tc>
        <w:tc>
          <w:tcPr>
            <w:tcW w:w="106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3"/>
        </w:trPr>
        <w:tc>
          <w:tcPr>
            <w:tcW w:w="1080" w:type="dxa"/>
            <w:vAlign w:val="bottom"/>
          </w:tcPr>
          <w:p>
            <w:pPr>
              <w:spacing w:after="0"/>
              <w:rPr>
                <w:sz w:val="22"/>
                <w:szCs w:val="22"/>
                <w:color w:val="auto"/>
              </w:rPr>
            </w:pPr>
          </w:p>
        </w:tc>
        <w:tc>
          <w:tcPr>
            <w:tcW w:w="9260" w:type="dxa"/>
            <w:vAlign w:val="bottom"/>
            <w:gridSpan w:val="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Shareholders’ Equity for the Three and Nine Months Ended December 31, 2020 and</w:t>
              </w:r>
            </w:hyperlink>
          </w:p>
        </w:tc>
      </w:tr>
      <w:tr>
        <w:trPr>
          <w:trHeight w:val="196"/>
        </w:trPr>
        <w:tc>
          <w:tcPr>
            <w:tcW w:w="1080" w:type="dxa"/>
            <w:vAlign w:val="bottom"/>
          </w:tcPr>
          <w:p>
            <w:pPr>
              <w:spacing w:after="0"/>
              <w:rPr>
                <w:sz w:val="17"/>
                <w:szCs w:val="17"/>
                <w:color w:val="auto"/>
              </w:rPr>
            </w:pPr>
          </w:p>
        </w:tc>
        <w:tc>
          <w:tcPr>
            <w:tcW w:w="89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December 31, 2019</w:t>
              </w:r>
            </w:hyperlink>
          </w:p>
        </w:tc>
        <w:tc>
          <w:tcPr>
            <w:tcW w:w="3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Cash Flows for the nine months ended December 31, 2020 and December 31, 2019</w:t>
              </w:r>
            </w:hyperlink>
          </w:p>
        </w:tc>
      </w:tr>
      <w:tr>
        <w:trPr>
          <w:trHeight w:val="283"/>
        </w:trPr>
        <w:tc>
          <w:tcPr>
            <w:tcW w:w="1080" w:type="dxa"/>
            <w:vAlign w:val="bottom"/>
          </w:tcPr>
          <w:p>
            <w:pPr>
              <w:spacing w:after="0"/>
              <w:rPr>
                <w:sz w:val="24"/>
                <w:szCs w:val="24"/>
                <w:color w:val="auto"/>
              </w:rPr>
            </w:pP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the Condensed Consolidated Financial Statements</w:t>
              </w:r>
            </w:hyperlink>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Quantitative and Qualitative Disclosures about Market Risk</w:t>
              </w:r>
            </w:hyperlink>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Controls and Procedures</w:t>
              </w:r>
            </w:hyperlink>
          </w:p>
        </w:tc>
      </w:tr>
      <w:tr>
        <w:trPr>
          <w:trHeight w:val="283"/>
        </w:trPr>
        <w:tc>
          <w:tcPr>
            <w:tcW w:w="10340" w:type="dxa"/>
            <w:vAlign w:val="bottom"/>
            <w:gridSpan w:val="5"/>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PART II OTHER INFORMATION</w:t>
              </w:r>
            </w:hyperlink>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Legal Proceedings</w:t>
              </w:r>
            </w:hyperlink>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Unregistered Sale of Equity Securities and Use of Proceeds</w:t>
              </w:r>
            </w:hyperlink>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Other Information</w:t>
              </w:r>
            </w:hyperlink>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Exhibits</w:t>
              </w:r>
            </w:hyperlink>
          </w:p>
        </w:tc>
      </w:tr>
      <w:tr>
        <w:trPr>
          <w:trHeight w:val="283"/>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SIGNATURE</w:t>
              </w:r>
            </w:hyperlink>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24765</wp:posOffset>
            </wp:positionV>
            <wp:extent cx="462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2">
            <w:col w:w="10340" w:space="320"/>
            <w:col w:w="58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5"/>
                <w:szCs w:val="15"/>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73,668</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72,563</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2020 and March 31, 2020; no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2020 and March 31, 2020</w:t>
            </w:r>
          </w:p>
        </w:tc>
        <w:tc>
          <w:tcPr>
            <w:tcW w:w="14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 December 31, 2020</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March 31, 2020; shares issued: 40,227,900 at December 31, 2020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39,729,569 at March 31, 2020; shares outstanding: 30,759,953 at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2020 and 30,265,997 at March 31, 2020</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156,503</w:t>
            </w: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common shares: 9,467,947 at December 31, 2020 and 9,463,572 at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2020</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(36,181)</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(36,163)</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(85,295)</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(89,305)</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55"/>
        </w:trPr>
        <w:tc>
          <w:tcPr>
            <w:tcW w:w="42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61,890</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81,343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8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w:t>
            </w: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10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20"/>
                <w:szCs w:val="20"/>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0"/>
                <w:szCs w:val="20"/>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30,735,722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30,243,865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30,586,196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30,053,330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19"/>
                <w:szCs w:val="19"/>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and share</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31,320,427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30,824,078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31,289,359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30,862,088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SHAREHOLDERS’ EQUITY (in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32"/>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30,265,997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156,503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(4,346)</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30,624,889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156,752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(91,524)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30,709,810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(89,610)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30,759,953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78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5" w:name="page6"/>
    <w:bookmarkEnd w:id="5"/>
    <w:p>
      <w:pPr>
        <w:jc w:val="center"/>
        <w:ind w:left="340" w:right="178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SHAREHOLDERS’ EQUITY (in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29,600,158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(101,767)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(24,628)</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30,121,487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(2,828)</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September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30,231,077</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(36,164)</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(91,078)</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30,253,062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gridSpan w:val="2"/>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80" w:type="dxa"/>
            <w:vAlign w:val="bottom"/>
          </w:tcPr>
          <w:p>
            <w:pPr>
              <w:spacing w:after="0"/>
              <w:rPr>
                <w:sz w:val="19"/>
                <w:szCs w:val="19"/>
                <w:color w:val="auto"/>
              </w:rPr>
            </w:pPr>
          </w:p>
        </w:tc>
        <w:tc>
          <w:tcPr>
            <w:tcW w:w="108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20" w:type="dxa"/>
            <w:vAlign w:val="bottom"/>
          </w:tcPr>
          <w:p>
            <w:pPr>
              <w:spacing w:after="0"/>
              <w:rPr>
                <w:sz w:val="19"/>
                <w:szCs w:val="19"/>
                <w:color w:val="auto"/>
              </w:rPr>
            </w:pPr>
          </w:p>
        </w:tc>
      </w:tr>
      <w:tr>
        <w:trPr>
          <w:trHeight w:val="211"/>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current and long-term</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(13,208)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(2,990)</w:t>
            </w:r>
          </w:p>
        </w:tc>
      </w:tr>
      <w:tr>
        <w:trPr>
          <w:trHeight w:val="229"/>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(1,296)</w:t>
            </w:r>
          </w:p>
        </w:tc>
      </w:tr>
      <w:tr>
        <w:trPr>
          <w:trHeight w:val="229"/>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67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7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long-term debt</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of revolving credit facility</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(18,013)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(71,572)</w:t>
            </w: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 compensation</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proceeds from employee equity exercises</w:t>
            </w:r>
          </w:p>
        </w:tc>
        <w:tc>
          <w:tcPr>
            <w:tcW w:w="9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(10,127)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(16,472)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2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2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1880" w:type="dxa"/>
            <w:vAlign w:val="bottom"/>
            <w:gridSpan w:val="2"/>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20"/>
                <w:szCs w:val="20"/>
                <w:color w:val="auto"/>
              </w:rPr>
            </w:pPr>
          </w:p>
        </w:tc>
        <w:tc>
          <w:tcPr>
            <w:tcW w:w="108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provides innovative light emitting diode ("LED") lighting systems and turnkey project implementation including installation and commissioning of fixtures, controls and Internet of Things (“IoT”) systems, as well as ongoing system maintenance and program management. Orion’s products enable customers to reduce their carbon footprint and digitize their business.</w:t>
      </w:r>
    </w:p>
    <w:p>
      <w:pPr>
        <w:spacing w:after="0" w:line="126" w:lineRule="exact"/>
        <w:rPr>
          <w:sz w:val="20"/>
          <w:szCs w:val="20"/>
          <w:color w:val="auto"/>
        </w:rPr>
      </w:pPr>
    </w:p>
    <w:p>
      <w:pPr>
        <w:jc w:val="both"/>
        <w:ind w:right="20" w:firstLine="493"/>
        <w:spacing w:after="0" w:line="282"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also leases office space in Jacksonville, Florida.</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IMPACT OF COVID-19</w:t>
      </w:r>
    </w:p>
    <w:p>
      <w:pPr>
        <w:spacing w:after="0" w:line="175"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8"/>
          <w:szCs w:val="18"/>
          <w:color w:val="auto"/>
        </w:rPr>
        <w:t>The COVID-19 pandemic has disrupted business, trade, commerce, and financial and credit markets in the U.S. and globally. Orion’s business has been adversely impacted by measures taken by government entities and others to control the spread of the virus beginning in March 2020, the last month of its fiscal 2020 year, and continuing most significantly into the second quarter of fiscal 2021. During the third quarter of fiscal 2021, Orion experienced a rebound in business, with a full quarter of project installations for its largest customer, as well installations for a new large specialty retail customer, and no significant COVID-19 impacts. However, some customers continue to refrain from awarding new projects and potential future risks remain due to the COVID-19 pandemic.</w:t>
      </w:r>
    </w:p>
    <w:p>
      <w:pPr>
        <w:spacing w:after="0" w:line="133"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As a deemed essential business, Orion provides products and services to ensure energy and lighting infrastructure and Orion therefore continues to operate throughout the pandemic. Orion has implemented a number of safety protocols, including limiting travel, restricting access to our facilities along with monitoring processes, physical distancing, physical barriers, enhanced cleaning procedures, and requiring face coverings.</w:t>
      </w:r>
    </w:p>
    <w:p>
      <w:pPr>
        <w:spacing w:after="0" w:line="122"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As part of Orion’s response to the impacts of the COVID-19 pandemic, during the fourth quarter of fiscal 2020, Orion implemented a number of cost reduction and cash conservation measures, including reducing headcount. Orion recognized $0.4 million in restructuring expense during the fourth quarter of fiscal 2020. As of December 31, 2020, all of the restructuring costs had been paid.</w:t>
      </w:r>
    </w:p>
    <w:p>
      <w:pPr>
        <w:spacing w:after="0" w:line="122"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8"/>
          <w:szCs w:val="18"/>
          <w:color w:val="auto"/>
        </w:rPr>
        <w:t>While certain restrictions have begun to initially lessen in certain jurisdictions during fiscal 2021, stay-at-home, face mask or lockdown orders remain in effect in others, with employees asked to work remotely if possible. Certain areas of the country have seen spikes of COVID-19 cases (including in Manitowoc, Wisconsin and Jacksonville, Florida), which could result in renewed restrictions and lockdown orders. Some customers and projects are in areas where travel restrictions have been imposed, certain customers have either closed or reduced on-site activities, and timelines for the completion of multiple projects have been extended. At this time, it is not possible to predict the overall impact the COVID-19 pandemic will have on Orion’s business, liquidity, capital resources or financial results. However, the economic and regulatory impacts of COVID-19 will materially and adversely impact revenue and profitability in fiscal 2021. If there is prolonged adverse impact, Orion’s business, liquidity, capital resources, financial results, and the carrying values of Orion’s property, plant and equipment and intangible assets may be impacted negatively. Orion will continue to actively monitor the situation and may take further actions that alter business operations.</w:t>
      </w:r>
    </w:p>
    <w:p>
      <w:pPr>
        <w:spacing w:after="0" w:line="134" w:lineRule="exact"/>
        <w:rPr>
          <w:sz w:val="20"/>
          <w:szCs w:val="20"/>
          <w:color w:val="auto"/>
        </w:rPr>
      </w:pPr>
    </w:p>
    <w:p>
      <w:pPr>
        <w:jc w:val="both"/>
        <w:ind w:firstLine="493"/>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and includes certain income tax provisions relevant to businesses. Orion is required to recognize the effect on the consolidated financial statements in the period the law was enacted, which was the period ended March 31, 2020. For the fiscal year ended March 31, 2020, and three and nine months ended December 31, 2020, the CARES Act did not have a material impact on Orion’s consolidated financial statements. See Note 14 –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Orion Energy Systems, Inc. and its wholly owned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2021 or other interim periods.</w:t>
      </w:r>
    </w:p>
    <w:p>
      <w:pPr>
        <w:spacing w:after="0" w:line="129"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at March 31, 2020 has been derived from the audited consolidated financial statements at that date but does not include all of the information required by GAAP for complete financial statements.</w:t>
      </w:r>
    </w:p>
    <w:p>
      <w:pPr>
        <w:spacing w:after="0" w:line="108" w:lineRule="exact"/>
        <w:rPr>
          <w:sz w:val="20"/>
          <w:szCs w:val="20"/>
          <w:color w:val="auto"/>
        </w:rPr>
      </w:pPr>
    </w:p>
    <w:p>
      <w:pPr>
        <w:jc w:val="both"/>
        <w:ind w:right="20" w:firstLine="493"/>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2020 filed with the SEC on June 5,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impairment analyses, and certain equity transactions. Accordingly, actual results could differ from those estimates.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2"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power supplies, lamps and LED components, from numerous suppliers. For the three and nine months ended December 31, 2020, no suppliers accounted for more than 10% of total cost of revenue. For the three and nine months ended December 31, 2019, one supplier accounted for 24.0% and 12.5%, respectively, of total cost of revenue.</w:t>
      </w:r>
    </w:p>
    <w:p>
      <w:pPr>
        <w:spacing w:after="0" w:line="122"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2020, two customers accounted for 65.1% and 11.1% of total revenue, respectively. For the nine months ended December 31, 2020, one customer accounted for 55.7% of total revenue. For the three and nine months ended December 31, 2019, one customer accounted for 72.3 % and 77.3%, respectively, of total revenue.</w:t>
      </w:r>
    </w:p>
    <w:p>
      <w:pPr>
        <w:spacing w:after="0" w:line="122" w:lineRule="exact"/>
        <w:rPr>
          <w:sz w:val="20"/>
          <w:szCs w:val="20"/>
          <w:color w:val="auto"/>
        </w:rPr>
      </w:pPr>
    </w:p>
    <w:p>
      <w:pPr>
        <w:jc w:val="both"/>
        <w:ind w:right="20" w:firstLine="489"/>
        <w:spacing w:after="0" w:line="282" w:lineRule="auto"/>
        <w:rPr>
          <w:sz w:val="20"/>
          <w:szCs w:val="20"/>
          <w:color w:val="auto"/>
        </w:rPr>
      </w:pPr>
      <w:r>
        <w:rPr>
          <w:rFonts w:ascii="Times New Roman" w:cs="Times New Roman" w:eastAsia="Times New Roman" w:hAnsi="Times New Roman"/>
          <w:sz w:val="18"/>
          <w:szCs w:val="18"/>
          <w:color w:val="auto"/>
        </w:rPr>
        <w:t>As of December 31, 2020, two customers accounted for 59.3% and 18.0% of accounts receivable, respectively. As of March 31, 2020, two customers accounted for 37.3% and 13.0% of accounts receivable,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175" w:lineRule="exact"/>
        <w:rPr>
          <w:sz w:val="20"/>
          <w:szCs w:val="20"/>
          <w:color w:val="auto"/>
        </w:rPr>
      </w:pPr>
    </w:p>
    <w:p>
      <w:pPr>
        <w:jc w:val="both"/>
        <w:ind w:firstLine="489"/>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35"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which simplifies the accounting for income taxes by removing certain exceptions to the general rules of Topic 740. The provisions of ASU 2019-12 are effective for Orion for fiscal years, and interim periods within those fiscal years, beginning after December 15, 2020. Orion is currently evaluating the impact of adoption on this standard on its consolidated statements of operations, cash flows, and the related footnote disclosures.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175" w:lineRule="exact"/>
        <w:rPr>
          <w:sz w:val="20"/>
          <w:szCs w:val="20"/>
          <w:color w:val="auto"/>
        </w:rPr>
      </w:pPr>
    </w:p>
    <w:p>
      <w:pPr>
        <w:jc w:val="both"/>
        <w:ind w:firstLine="489"/>
        <w:spacing w:after="0" w:line="256" w:lineRule="auto"/>
        <w:rPr>
          <w:sz w:val="20"/>
          <w:szCs w:val="20"/>
          <w:color w:val="auto"/>
        </w:rPr>
      </w:pPr>
      <w:r>
        <w:rPr>
          <w:rFonts w:ascii="Times New Roman" w:cs="Times New Roman" w:eastAsia="Times New Roman" w:hAnsi="Times New Roman"/>
          <w:sz w:val="18"/>
          <w:szCs w:val="18"/>
          <w:color w:val="auto"/>
        </w:rPr>
        <w:t>Orion generates revenues primarily by selling commercial LED lighting fixtures and components, including controls and integrated IoT capabilities, and by installing these fixtures in its customer’s facilities on a turnkey basis via a dedicated installation and support team.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If there are multiple performance obligations in a contract, the contract’s total sales price is allocated to each individual performance obligation based on their relative standalone selling price.</w:t>
      </w:r>
    </w:p>
    <w:p>
      <w:pPr>
        <w:spacing w:after="0" w:line="133"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lighting fixtures and components is classified as Product revenue in the Condensed Consolidated Statements of Operations.</w:t>
      </w:r>
    </w:p>
    <w:p>
      <w:pPr>
        <w:spacing w:after="0" w:line="108"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 Revenue from turnkey projects that is allocated to the single installation performance obligation is reflected in Service revenue.</w:t>
      </w:r>
    </w:p>
    <w:p>
      <w:pPr>
        <w:spacing w:after="0" w:line="122"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color w:val="auto"/>
        </w:rPr>
        <w:t>Orion also records revenue in conjunction with several limited power purchase agreements (“PPAs”) still outstanding. These PPAs are supply-side agreements for the generation of electricity. Orion’s last PPA expires in 2031. Revenue associated with the sale of energy generated by the solar facilities under these PPAs is within the scope of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29" w:lineRule="exact"/>
        <w:rPr>
          <w:sz w:val="20"/>
          <w:szCs w:val="20"/>
          <w:color w:val="auto"/>
        </w:rPr>
      </w:pPr>
    </w:p>
    <w:p>
      <w:pPr>
        <w:jc w:val="both"/>
        <w:ind w:firstLine="493"/>
        <w:spacing w:after="0" w:line="261" w:lineRule="auto"/>
        <w:rPr>
          <w:sz w:val="20"/>
          <w:szCs w:val="20"/>
          <w:color w:val="auto"/>
        </w:rPr>
      </w:pPr>
      <w:r>
        <w:rPr>
          <w:rFonts w:ascii="Times New Roman" w:cs="Times New Roman" w:eastAsia="Times New Roman" w:hAnsi="Times New Roman"/>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26"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See Note 11 – Accrued Expenses and Other for a discussion of Orion’s accounting for the warranty it provides to customers for its products and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governmental authorities are accounted for on a net (excluded from revenues) basis.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Fulfillment Costs</w:t>
      </w:r>
    </w:p>
    <w:p>
      <w:pPr>
        <w:spacing w:after="0" w:line="175"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are accumulated in inventory as the fixtures are manufactured and are transferred to Cost of product revenue at the time revenue is recorded. See Note 6 – Inventories, Net. Costs associated with installation sales are expensed as incurred.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color w:val="auto"/>
        </w:rPr>
        <w:t>Orion’s Product revenue includes revenue from contracts with customers accounted for under the scope of ASC 606 and revenue which is accounted for under other guidance. For the three and nine months ended December 31, 2020, Product revenue included $0.7 million and $2.1 million, respectively, derived from sales-type leases for light fixtures, no revenue and $0.1 million, respectively, derived from the sale of tax credits generated from Orion’s legacy operation for distributing solar energy, and $19 thousand and $0.1 million, respectively, derived from the amortization of federal grants received in 2010 and 2011 as reimbursement for a portion of the costs to construct the legacy solar facilities which are not under the scope of ASC 606.</w:t>
      </w:r>
    </w:p>
    <w:p>
      <w:pPr>
        <w:spacing w:after="0" w:line="129"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December 31, 2019, Product revenue included $0.2 million and $1.2 million, respectively, derived from sales-type leases for light fixtures, $0.1 million and $0.2 million, respectively, derived from the sale of tax credits generated from Orion’s legacy operation for distributing solar energy, and $19 thousand and $0.1 million, respectively,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primary end-users of Orion’s lighting products and services are (a) commercial or industrial companies and (b) the federal government.</w:t>
      </w:r>
    </w:p>
    <w:p>
      <w:pPr>
        <w:spacing w:after="0" w:line="171"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22"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8"/>
          <w:szCs w:val="18"/>
          <w:color w:val="auto"/>
        </w:rPr>
        <w:t>See Note 18 – Segments, for additional discussion concerning Orion’s reportable segments.</w:t>
      </w:r>
    </w:p>
    <w:p>
      <w:pPr>
        <w:spacing w:after="0" w:line="171" w:lineRule="exact"/>
        <w:rPr>
          <w:sz w:val="20"/>
          <w:szCs w:val="20"/>
          <w:color w:val="auto"/>
        </w:rPr>
      </w:pPr>
    </w:p>
    <w:p>
      <w:pPr>
        <w:ind w:right="20" w:firstLine="493"/>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 of Orion’s total revenues for the three and nine months ended December 31, 2020 and December 31, 2019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7"/>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Three Months Ended December 31, 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December 31, 2020</w:t>
            </w:r>
          </w:p>
        </w:tc>
      </w:tr>
      <w:tr>
        <w:trPr>
          <w:trHeight w:val="156"/>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Lighting revenues, by end user</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government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78,361</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lighting</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79,022</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79,071</w:t>
            </w:r>
          </w:p>
        </w:tc>
        <w:tc>
          <w:tcPr>
            <w:tcW w:w="10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7"/>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Three Months Ended December 31, 2019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December 31, 2019</w:t>
            </w:r>
          </w:p>
        </w:tc>
      </w:tr>
      <w:tr>
        <w:trPr>
          <w:trHeight w:val="156"/>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Lighting revenues, by end user</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Federal government</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41"/>
        </w:trPr>
        <w:tc>
          <w:tcPr>
            <w:tcW w:w="2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25,467</w:t>
            </w:r>
          </w:p>
        </w:tc>
        <w:tc>
          <w:tcPr>
            <w:tcW w:w="4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8,314</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33,781</w:t>
            </w:r>
          </w:p>
        </w:tc>
        <w:tc>
          <w:tcPr>
            <w:tcW w:w="3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91,411</w:t>
            </w:r>
          </w:p>
        </w:tc>
        <w:tc>
          <w:tcPr>
            <w:tcW w:w="3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30,805</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-306705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720"/>
            <w:col w:w="6580"/>
          </w:cols>
          <w:pgMar w:left="320" w:top="499"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lighting</w:t>
            </w:r>
          </w:p>
        </w:tc>
        <w:tc>
          <w:tcPr>
            <w:tcW w:w="6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25,545</w:t>
            </w:r>
          </w:p>
        </w:tc>
        <w:tc>
          <w:tcPr>
            <w:tcW w:w="26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2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92,313</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31,171</w:t>
            </w:r>
          </w:p>
        </w:tc>
        <w:tc>
          <w:tcPr>
            <w:tcW w:w="22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123,484</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3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6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tcPr>
          <w:p>
            <w:pPr>
              <w:spacing w:after="0"/>
              <w:rPr>
                <w:sz w:val="21"/>
                <w:szCs w:val="21"/>
                <w:color w:val="auto"/>
              </w:rPr>
            </w:pPr>
          </w:p>
        </w:tc>
      </w:tr>
      <w:tr>
        <w:trPr>
          <w:trHeight w:val="23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6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25,555</w:t>
            </w:r>
          </w:p>
        </w:tc>
        <w:tc>
          <w:tcPr>
            <w:tcW w:w="2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92,363</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31,171</w:t>
            </w:r>
          </w:p>
        </w:tc>
        <w:tc>
          <w:tcPr>
            <w:tcW w:w="22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123,534</w:t>
            </w:r>
          </w:p>
        </w:tc>
        <w:tc>
          <w:tcPr>
            <w:tcW w:w="100" w:type="dxa"/>
            <w:vAlign w:val="bottom"/>
            <w:shd w:val="clear" w:color="auto" w:fill="CFF0FC"/>
          </w:tcPr>
          <w:p>
            <w:pPr>
              <w:spacing w:after="0"/>
              <w:rPr>
                <w:sz w:val="20"/>
                <w:szCs w:val="20"/>
                <w:color w:val="auto"/>
              </w:rPr>
            </w:pPr>
          </w:p>
        </w:tc>
      </w:tr>
      <w:tr>
        <w:trPr>
          <w:trHeight w:val="237"/>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6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FF0FC"/>
            </w:tcBorders>
          </w:tcPr>
          <w:p>
            <w:pPr>
              <w:spacing w:after="0"/>
              <w:rPr>
                <w:sz w:val="20"/>
                <w:szCs w:val="20"/>
                <w:color w:val="auto"/>
              </w:rPr>
            </w:pPr>
          </w:p>
        </w:tc>
      </w:tr>
      <w:tr>
        <w:trPr>
          <w:trHeight w:val="23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93,778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124,949</w:t>
            </w:r>
          </w:p>
        </w:tc>
        <w:tc>
          <w:tcPr>
            <w:tcW w:w="100" w:type="dxa"/>
            <w:vAlign w:val="bottom"/>
            <w:shd w:val="clear" w:color="auto" w:fill="CFF0FC"/>
          </w:tcPr>
          <w:p>
            <w:pPr>
              <w:spacing w:after="0"/>
              <w:rPr>
                <w:sz w:val="20"/>
                <w:szCs w:val="20"/>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Considerations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Customer payments for material-only orders are due shortly after shipment.</w:t>
      </w:r>
    </w:p>
    <w:p>
      <w:pPr>
        <w:spacing w:after="0" w:line="171"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Turnkey projects where the end-user is a commercial or industrial company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22"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08" w:lineRule="exact"/>
        <w:rPr>
          <w:sz w:val="20"/>
          <w:szCs w:val="20"/>
          <w:color w:val="auto"/>
        </w:rPr>
      </w:pPr>
    </w:p>
    <w:p>
      <w:pPr>
        <w:jc w:val="both"/>
        <w:ind w:firstLine="493"/>
        <w:spacing w:after="0" w:line="255"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typically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3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The payments associated with these transactions that are due during the twelve months subsequent to December 31, 2020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12" w:name="page13"/>
    <w:bookmarkEnd w:id="12"/>
    <w:p>
      <w:pPr>
        <w:jc w:val="both"/>
        <w:ind w:firstLine="493"/>
        <w:spacing w:after="0" w:line="277" w:lineRule="auto"/>
        <w:rPr>
          <w:sz w:val="20"/>
          <w:szCs w:val="20"/>
          <w:color w:val="auto"/>
        </w:rPr>
      </w:pPr>
      <w:r>
        <w:rPr>
          <w:rFonts w:ascii="Times New Roman" w:cs="Times New Roman" w:eastAsia="Times New Roman" w:hAnsi="Times New Roman"/>
          <w:sz w:val="17"/>
          <w:szCs w:val="17"/>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14"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three and nine months ended December 31, 2020, was $0 and $2.3 million, respectively. Orion’s losses on these sales were $0 and $9 thousand, respectively, for the three and nine months ended December 31, 2020 and are included in Interest expense in the Condensed Consolidated Statements of Operations.</w:t>
      </w:r>
    </w:p>
    <w:p>
      <w:pPr>
        <w:spacing w:after="0" w:line="122"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three months ended three and nine months ended December 31, 2019 was $0.7 million and $4.4 million, respectively. Orion’s losses on these sales were $39 thousand and $0.1 million for the three and nine months ended December 31, 2019, respectively and are included in Interest expense in the Condensed Consolidated Statement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08" w:lineRule="exact"/>
        <w:rPr>
          <w:sz w:val="20"/>
          <w:szCs w:val="20"/>
          <w:color w:val="auto"/>
        </w:rPr>
      </w:pPr>
    </w:p>
    <w:p>
      <w:pPr>
        <w:jc w:val="both"/>
        <w:ind w:firstLine="493"/>
        <w:spacing w:after="0" w:line="261" w:lineRule="auto"/>
        <w:rPr>
          <w:sz w:val="20"/>
          <w:szCs w:val="20"/>
          <w:color w:val="auto"/>
        </w:rPr>
      </w:pPr>
      <w:r>
        <w:rPr>
          <w:rFonts w:ascii="Times New Roman" w:cs="Times New Roman" w:eastAsia="Times New Roman" w:hAnsi="Times New Roman"/>
          <w:sz w:val="18"/>
          <w:szCs w:val="18"/>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December 31, 2020, and March 31, 2020, includes $0.3 million and $39 thousand, respectively, which was not derived from contracts with customers and therefore not classified as a contract asset as defined by ASC 606.</w:t>
      </w:r>
    </w:p>
    <w:p>
      <w:pPr>
        <w:spacing w:after="0" w:line="126"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Deferred revenue, current as of December 31, 2020, and March 31, 2020, includes $0.1 million and $31 thousand, respectively, of contract liabilities which represent consideration received from customers prior to the point that Orion has fulfilled the promises included in a performance obligation and recorded revenue.</w:t>
      </w:r>
    </w:p>
    <w:p>
      <w:pPr>
        <w:spacing w:after="0" w:line="122"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March 31, 2020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740" w:type="dxa"/>
            <w:vAlign w:val="bottom"/>
            <w:tcBorders>
              <w:bottom w:val="single" w:sz="8" w:color="CFF0FC"/>
            </w:tcBorders>
          </w:tcPr>
          <w:p>
            <w:pPr>
              <w:spacing w:after="0"/>
              <w:rPr>
                <w:sz w:val="15"/>
                <w:szCs w:val="15"/>
                <w:color w:val="auto"/>
              </w:rPr>
            </w:pPr>
          </w:p>
        </w:tc>
        <w:tc>
          <w:tcPr>
            <w:tcW w:w="29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2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5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2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p>
      <w:pPr>
        <w:spacing w:after="0" w:line="175" w:lineRule="exact"/>
        <w:rPr>
          <w:sz w:val="20"/>
          <w:szCs w:val="20"/>
          <w:color w:val="auto"/>
        </w:rPr>
      </w:pPr>
    </w:p>
    <w:p>
      <w:pPr>
        <w:ind w:right="40" w:firstLine="493"/>
        <w:spacing w:after="0" w:line="282" w:lineRule="auto"/>
        <w:rPr>
          <w:sz w:val="20"/>
          <w:szCs w:val="20"/>
          <w:color w:val="auto"/>
        </w:rPr>
      </w:pPr>
      <w:r>
        <w:rPr>
          <w:rFonts w:ascii="Times New Roman" w:cs="Times New Roman" w:eastAsia="Times New Roman" w:hAnsi="Times New Roman"/>
          <w:sz w:val="18"/>
          <w:szCs w:val="18"/>
          <w:color w:val="auto"/>
        </w:rPr>
        <w:t>As of December 31, 2020, and March 31, 2020, Orion's Accounts receivable and Allowance for doubtful accounts balances were as follows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and March 31, 2020, Orion's Inventory balances were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Obsolescence</w:t>
            </w:r>
          </w:p>
        </w:tc>
        <w:tc>
          <w:tcPr>
            <w:tcW w:w="32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208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12,074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20,695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2020</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16,936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PREPAID EXPENSES AND OTHER CURRENT ASSETS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 primarily of prepaid insurance premiums, debt issue costs, and sales tax receivable.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and March 31, 2020, Property and equipment, net, included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CFF0FC"/>
            </w:tcBorders>
          </w:tcPr>
          <w:p>
            <w:pPr>
              <w:spacing w:after="0"/>
              <w:rPr>
                <w:sz w:val="15"/>
                <w:szCs w:val="15"/>
                <w:color w:val="auto"/>
              </w:rPr>
            </w:pPr>
          </w:p>
        </w:tc>
        <w:tc>
          <w:tcPr>
            <w:tcW w:w="35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5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3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(23,533)</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5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5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03" w:right="319" w:bottom="1440" w:gutter="0" w:footer="0" w:header="0"/>
        </w:sectPr>
      </w:pPr>
    </w:p>
    <w:bookmarkStart w:id="14" w:name="page15"/>
    <w:bookmarkEnd w:id="14"/>
    <w:p>
      <w:pPr>
        <w:jc w:val="both"/>
        <w:ind w:right="20" w:firstLine="489"/>
        <w:spacing w:after="0" w:line="282" w:lineRule="auto"/>
        <w:rPr>
          <w:sz w:val="20"/>
          <w:szCs w:val="20"/>
          <w:color w:val="auto"/>
        </w:rPr>
      </w:pPr>
      <w:r>
        <w:rPr>
          <w:rFonts w:ascii="Times New Roman" w:cs="Times New Roman" w:eastAsia="Times New Roman" w:hAnsi="Times New Roman"/>
          <w:sz w:val="18"/>
          <w:szCs w:val="18"/>
          <w:color w:val="auto"/>
        </w:rPr>
        <w:t>Orion recorded depreciation expense of $0.3 million and $0.9 million for the three and nine months ended December 31, 2020 and 2019,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right="20" w:firstLine="489"/>
        <w:spacing w:after="0" w:line="266" w:lineRule="auto"/>
        <w:rPr>
          <w:sz w:val="20"/>
          <w:szCs w:val="20"/>
          <w:color w:val="auto"/>
        </w:rPr>
      </w:pPr>
      <w:r>
        <w:rPr>
          <w:rFonts w:ascii="Times New Roman" w:cs="Times New Roman" w:eastAsia="Times New Roman" w:hAnsi="Times New Roman"/>
          <w:sz w:val="18"/>
          <w:szCs w:val="18"/>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from Other Parties</w:t>
      </w:r>
    </w:p>
    <w:p>
      <w:pPr>
        <w:spacing w:after="0" w:line="175" w:lineRule="exact"/>
        <w:rPr>
          <w:sz w:val="20"/>
          <w:szCs w:val="20"/>
          <w:color w:val="auto"/>
        </w:rPr>
      </w:pPr>
    </w:p>
    <w:p>
      <w:pPr>
        <w:jc w:val="both"/>
        <w:ind w:right="20" w:firstLine="489"/>
        <w:spacing w:after="0" w:line="266" w:lineRule="auto"/>
        <w:rPr>
          <w:sz w:val="20"/>
          <w:szCs w:val="20"/>
          <w:color w:val="auto"/>
        </w:rPr>
      </w:pPr>
      <w:r>
        <w:rPr>
          <w:rFonts w:ascii="Times New Roman" w:cs="Times New Roman" w:eastAsia="Times New Roman" w:hAnsi="Times New Roman"/>
          <w:sz w:val="18"/>
          <w:szCs w:val="18"/>
          <w:color w:val="auto"/>
        </w:rPr>
        <w:t>On January 31, 2020, Orion entered into the current lease for its approximately 266,000 square foot primary manufacturing and distribution facility in Manitowoc, WI. The lease has a 10-year term, with the option to terminate after six years. Orion is responsible for the costs of insurance and utilities for the facility. These costs are considered variable lease costs. The agreement is classified as an operating lease.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prior lease agreement for this facility provided the lessor the right to terminate the lease agreement at any time with 12 months’ notice to Orion.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agreement was previously classified as a short-term lease.</w:t>
      </w:r>
    </w:p>
    <w:p>
      <w:pPr>
        <w:spacing w:after="0" w:line="153" w:lineRule="exact"/>
        <w:rPr>
          <w:sz w:val="20"/>
          <w:szCs w:val="20"/>
          <w:color w:val="auto"/>
        </w:rPr>
      </w:pPr>
    </w:p>
    <w:p>
      <w:pPr>
        <w:jc w:val="both"/>
        <w:ind w:right="20" w:firstLine="489"/>
        <w:spacing w:after="0" w:line="266" w:lineRule="auto"/>
        <w:rPr>
          <w:sz w:val="20"/>
          <w:szCs w:val="20"/>
          <w:color w:val="auto"/>
        </w:rPr>
      </w:pPr>
      <w:r>
        <w:rPr>
          <w:rFonts w:ascii="Times New Roman" w:cs="Times New Roman" w:eastAsia="Times New Roman" w:hAnsi="Times New Roman"/>
          <w:sz w:val="18"/>
          <w:szCs w:val="18"/>
          <w:color w:val="auto"/>
        </w:rPr>
        <w:t>In February 2014, Orion entered into a multi-year lease agreement for use of approximately 10,500 square feet of office space in a multi-use office building in Jacksonville Florida. The lease has since been extended, most recently during the first quarter of fiscal 2021, and presently terminates on June 30, 2023. The agreement is classified as an operating lease.</w:t>
      </w:r>
    </w:p>
    <w:p>
      <w:pPr>
        <w:spacing w:after="0" w:line="122" w:lineRule="exact"/>
        <w:rPr>
          <w:sz w:val="20"/>
          <w:szCs w:val="20"/>
          <w:color w:val="auto"/>
        </w:rPr>
      </w:pPr>
    </w:p>
    <w:p>
      <w:pPr>
        <w:jc w:val="both"/>
        <w:ind w:right="20" w:firstLine="489"/>
        <w:spacing w:after="0" w:line="282" w:lineRule="auto"/>
        <w:rPr>
          <w:sz w:val="20"/>
          <w:szCs w:val="20"/>
          <w:color w:val="auto"/>
        </w:rPr>
      </w:pPr>
      <w:r>
        <w:rPr>
          <w:rFonts w:ascii="Times New Roman" w:cs="Times New Roman" w:eastAsia="Times New Roman" w:hAnsi="Times New Roman"/>
          <w:sz w:val="18"/>
          <w:szCs w:val="18"/>
          <w:color w:val="auto"/>
        </w:rPr>
        <w:t>Orion has leased other assets from third parties, principally office and production equipment. The terms of our other leases vary from contract to contract.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40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8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CFF0FC"/>
            </w:tcBorders>
            <w:shd w:val="clear" w:color="auto" w:fill="CFF0FC"/>
          </w:tcPr>
          <w:p>
            <w:pPr>
              <w:spacing w:after="0"/>
              <w:rPr>
                <w:sz w:val="19"/>
                <w:szCs w:val="19"/>
                <w:color w:val="auto"/>
              </w:rPr>
            </w:pPr>
          </w:p>
        </w:tc>
        <w:tc>
          <w:tcPr>
            <w:tcW w:w="3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4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Other long-term assets</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Pr>
          <w:p>
            <w:pPr>
              <w:spacing w:after="0"/>
              <w:rPr>
                <w:sz w:val="19"/>
                <w:szCs w:val="19"/>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FF0FC"/>
          </w:tcPr>
          <w:p>
            <w:pPr>
              <w:spacing w:after="0"/>
              <w:rPr>
                <w:sz w:val="19"/>
                <w:szCs w:val="19"/>
                <w:color w:val="auto"/>
              </w:rPr>
            </w:pPr>
          </w:p>
        </w:tc>
      </w:tr>
      <w:tr>
        <w:trPr>
          <w:trHeight w:val="223"/>
        </w:trPr>
        <w:tc>
          <w:tcPr>
            <w:tcW w:w="2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93"/>
        <w:spacing w:after="0" w:line="282" w:lineRule="auto"/>
        <w:rPr>
          <w:sz w:val="20"/>
          <w:szCs w:val="20"/>
          <w:color w:val="auto"/>
        </w:rPr>
      </w:pPr>
      <w:r>
        <w:rPr>
          <w:rFonts w:ascii="Times New Roman" w:cs="Times New Roman" w:eastAsia="Times New Roman" w:hAnsi="Times New Roman"/>
          <w:sz w:val="18"/>
          <w:szCs w:val="18"/>
          <w:color w:val="auto"/>
        </w:rPr>
        <w:t>Orion had operating lease costs of $0.2 million and $0.6 million for the three and nine months ended December 31, 2020. Orion had operating lease costs of $0.1 million and $0.4 million for the three and nine months ended December 31, 2019.</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maturity of lease liabilities for each of the next five years is shown below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6720" w:type="dxa"/>
            <w:vAlign w:val="bottom"/>
            <w:gridSpan w:val="2"/>
          </w:tcPr>
          <w:p>
            <w:pPr>
              <w:ind w:left="53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2021 (period remaining)</w:t>
            </w:r>
          </w:p>
        </w:tc>
        <w:tc>
          <w:tcPr>
            <w:tcW w:w="6720" w:type="dxa"/>
            <w:vAlign w:val="bottom"/>
            <w:gridSpan w:val="2"/>
            <w:shd w:val="clear" w:color="auto" w:fill="CFF0FC"/>
          </w:tcPr>
          <w:p>
            <w:pPr>
              <w:ind w:left="5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5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2025</w:t>
            </w:r>
          </w:p>
        </w:tc>
        <w:tc>
          <w:tcPr>
            <w:tcW w:w="5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30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Less: Interest</w:t>
            </w:r>
          </w:p>
        </w:tc>
        <w:tc>
          <w:tcPr>
            <w:tcW w:w="53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3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30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to Other Parties</w:t>
      </w:r>
    </w:p>
    <w:p>
      <w:pPr>
        <w:spacing w:after="0" w:line="175" w:lineRule="exact"/>
        <w:rPr>
          <w:sz w:val="20"/>
          <w:szCs w:val="20"/>
          <w:color w:val="auto"/>
        </w:rPr>
      </w:pPr>
    </w:p>
    <w:p>
      <w:pPr>
        <w:jc w:val="both"/>
        <w:ind w:firstLine="489"/>
        <w:spacing w:after="0" w:line="256" w:lineRule="auto"/>
        <w:rPr>
          <w:sz w:val="20"/>
          <w:szCs w:val="20"/>
          <w:color w:val="auto"/>
        </w:rPr>
      </w:pPr>
      <w:r>
        <w:rPr>
          <w:rFonts w:ascii="Times New Roman" w:cs="Times New Roman" w:eastAsia="Times New Roman" w:hAnsi="Times New Roman"/>
          <w:sz w:val="18"/>
          <w:szCs w:val="18"/>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p>
    <w:p>
      <w:pPr>
        <w:spacing w:after="0" w:line="133" w:lineRule="exact"/>
        <w:rPr>
          <w:sz w:val="20"/>
          <w:szCs w:val="20"/>
          <w:color w:val="auto"/>
        </w:rPr>
      </w:pPr>
    </w:p>
    <w:p>
      <w:pPr>
        <w:jc w:val="both"/>
        <w:ind w:firstLine="489"/>
        <w:spacing w:after="0" w:line="282" w:lineRule="auto"/>
        <w:rPr>
          <w:sz w:val="20"/>
          <w:szCs w:val="20"/>
          <w:color w:val="auto"/>
        </w:rPr>
      </w:pPr>
      <w:r>
        <w:rPr>
          <w:rFonts w:ascii="Times New Roman" w:cs="Times New Roman" w:eastAsia="Times New Roman" w:hAnsi="Times New Roman"/>
          <w:sz w:val="18"/>
          <w:szCs w:val="18"/>
          <w:color w:val="auto"/>
        </w:rPr>
        <w:t>Revenues, and production and acquisition costs, associated with sales-type leases are included in Product revenue and Costs of product revenues in the Condensed Consolidated Statement of Operations.</w:t>
      </w:r>
    </w:p>
    <w:p>
      <w:pPr>
        <w:spacing w:after="0" w:line="108"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The following chart shows the amount of revenue and cost of sales arising from sales-type leases during the three and nine months ended December 31, 2020 and December 31, 2019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44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3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3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FF0FC"/>
          </w:tcPr>
          <w:p>
            <w:pPr>
              <w:spacing w:after="0"/>
              <w:rPr>
                <w:sz w:val="20"/>
                <w:szCs w:val="20"/>
                <w:color w:val="auto"/>
              </w:rPr>
            </w:pPr>
          </w:p>
        </w:tc>
      </w:tr>
      <w:tr>
        <w:trPr>
          <w:trHeight w:val="24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32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21"/>
                <w:szCs w:val="21"/>
                <w:color w:val="auto"/>
              </w:rPr>
            </w:pP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40" w:type="dxa"/>
            <w:vAlign w:val="bottom"/>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1"/>
                <w:szCs w:val="21"/>
                <w:color w:val="auto"/>
              </w:rPr>
            </w:pPr>
          </w:p>
        </w:tc>
      </w:tr>
    </w:tbl>
    <w:p>
      <w:pPr>
        <w:spacing w:after="0" w:line="198"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The Condensed Consolidated Balance Sheets as of December 31, 2020 and March 31, 2020 includes an immaterial amount related to the net investment in sales-type leases as amounts due from the customer associated with lighting fixtures that were acknowledged to be installed and working correctly prior to period end were not transferred to the financing institution prior to the respective balance sheet dates.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Agreements where Orion is the Lessor</w:t>
      </w:r>
    </w:p>
    <w:p>
      <w:pPr>
        <w:spacing w:after="0" w:line="175" w:lineRule="exact"/>
        <w:rPr>
          <w:sz w:val="20"/>
          <w:szCs w:val="20"/>
          <w:color w:val="auto"/>
        </w:rPr>
      </w:pPr>
    </w:p>
    <w:p>
      <w:pPr>
        <w:jc w:val="both"/>
        <w:ind w:firstLine="493"/>
        <w:spacing w:after="0" w:line="261" w:lineRule="auto"/>
        <w:rPr>
          <w:sz w:val="20"/>
          <w:szCs w:val="20"/>
          <w:color w:val="auto"/>
        </w:rPr>
      </w:pPr>
      <w:r>
        <w:rPr>
          <w:rFonts w:ascii="Times New Roman" w:cs="Times New Roman" w:eastAsia="Times New Roman" w:hAnsi="Times New Roman"/>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three and nine months ended December 31, 2020 or December 31, 2019. Orion accounts for these transactions as operating leases.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INTANGIBLE ASSETS, NET</w:t>
      </w:r>
    </w:p>
    <w:p>
      <w:pPr>
        <w:spacing w:after="0" w:line="175" w:lineRule="exact"/>
        <w:rPr>
          <w:sz w:val="20"/>
          <w:szCs w:val="20"/>
          <w:color w:val="auto"/>
        </w:rPr>
      </w:pPr>
    </w:p>
    <w:p>
      <w:pPr>
        <w:jc w:val="both"/>
        <w:ind w:firstLine="489"/>
        <w:spacing w:after="0" w:line="282" w:lineRule="auto"/>
        <w:rPr>
          <w:sz w:val="20"/>
          <w:szCs w:val="20"/>
          <w:color w:val="auto"/>
        </w:rPr>
      </w:pPr>
      <w:r>
        <w:rPr>
          <w:rFonts w:ascii="Times New Roman" w:cs="Times New Roman" w:eastAsia="Times New Roman" w:hAnsi="Times New Roman"/>
          <w:sz w:val="18"/>
          <w:szCs w:val="18"/>
          <w:color w:val="auto"/>
        </w:rPr>
        <w:t>As of December 31, 2020, and March 31, 2020, the components of, and changes in, the carrying amount of Other intangible assets, net, were as follows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and trademarks (indefinite lived)</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Amortization expense on intangible assets was $0.1 million and $0.2 million for the three and nine months ended December 31, 2020,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8"/>
          <w:szCs w:val="18"/>
          <w:color w:val="auto"/>
        </w:rPr>
        <w:t>Amortization expense on intangible assets was $0.1 million and $0.3 million for the three and nine months ended December 31, 2019, respectively.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the weighted average remaining useful life of intangible assets was 3.8 years.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amortization expense for the remainder of fiscal 2021, the next five fiscal years and beyond is shown below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2021 (period remaining)</w:t>
            </w:r>
          </w:p>
        </w:tc>
        <w:tc>
          <w:tcPr>
            <w:tcW w:w="760" w:type="dxa"/>
            <w:vAlign w:val="bottom"/>
            <w:gridSpan w:val="2"/>
            <w:shd w:val="clear" w:color="auto" w:fill="CFF0FC"/>
          </w:tcPr>
          <w:p>
            <w:pPr>
              <w:jc w:val="right"/>
              <w:ind w:right="62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ACCRUED EXPENSES AND OTHER</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and March 31, 2020, Accrued expenses and other included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Sales tax</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Sales returns reserve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 due to customers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493"/>
        <w:spacing w:after="0" w:line="266" w:lineRule="auto"/>
        <w:rPr>
          <w:sz w:val="20"/>
          <w:szCs w:val="20"/>
          <w:color w:val="auto"/>
        </w:rPr>
      </w:pPr>
      <w:r>
        <w:rPr>
          <w:rFonts w:ascii="Times New Roman" w:cs="Times New Roman" w:eastAsia="Times New Roman" w:hAnsi="Times New Roman"/>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1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1,036</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9"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12 — NET INCOME PER COMMON SHARE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net income per common share was calculated based upon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 thousands)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4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30,735,722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30,243,865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30,586,196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30,053,330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shares and common share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31,320,427</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30,824,078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31,289,359</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30,862,088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9"/>
        <w:spacing w:after="0" w:line="254" w:lineRule="auto"/>
        <w:rPr>
          <w:sz w:val="20"/>
          <w:szCs w:val="20"/>
          <w:color w:val="auto"/>
        </w:rPr>
      </w:pPr>
      <w:r>
        <w:rPr>
          <w:rFonts w:ascii="Times New Roman" w:cs="Times New Roman" w:eastAsia="Times New Roman" w:hAnsi="Times New Roman"/>
          <w:sz w:val="18"/>
          <w:szCs w:val="18"/>
          <w:color w:val="auto"/>
        </w:rPr>
        <w:t>Orion uses the treasury stock method to calculate the effect of outstanding dilutive equity incentive instruments, which requires Orion to compute total proceeds as the sum of the amount the employee must pay upon exercise of the award and the amount of unearned stock-based compensation costs attributable to future services. Equity incentive instruments for which the total employee proceeds from exercise exceed the average fair value of the same equity incentive instrument over the period have an anti-dilutive effect on net income per common share during periods with net income, and accordingly, Orion excludes them from the calculation. There were no anti-dilutive equity instruments excluded from the computation of diluted net income per common share for the three months and nine months ended December 31, 2020 respectively. Anti-dilutive equity instruments of approximately 203,734 and 220,534 common shares were excluded from the computation of diluted net income per common share for the three months and nine months ended December 31, 2019 respectively.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6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Equipment debt obligations</w:t>
            </w: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260" w:type="dxa"/>
            <w:vAlign w:val="bottom"/>
            <w:tcBorders>
              <w:top w:val="single" w:sz="8" w:color="auto"/>
              <w:bottom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On December 29, 2020, Orion entered into a new Loan and Security Agreement with Bank of America, N.A., as lender (the “Credit Agreement”). The Credit Agreement replaced Orion’s prior $20.15 million secured revolving credit and security agreement dated as of October 26, 2018, as amended, by and among Orion and Western Alliance Bank, National Association, as lender (the “Prior Credit Agreement”). The replacement of the Prior Credit Agreement with the Credit Agreement provides Orion with increased financing capacity and liquidity to fund its operations and implement its strategic plans.</w:t>
      </w:r>
    </w:p>
    <w:p>
      <w:pPr>
        <w:spacing w:after="0" w:line="129"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2020, the borrowing base supports the full availability of the Credit Facility. As of December 31, 2020, no amounts were borrowed under the Credit Facility.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Orion’s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8" w:name="page19"/>
    <w:bookmarkEnd w:id="18"/>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LIBOR or prime rate-based loans and generally bear interest at floating rates plus an applicable margin determined by reference to Orion’s availability under the Credit Agreement. Among other fees, Orion is required to pay an annual facility fee of $15,000 and a fee of 25 basis points on the unused portion of the Credit Facility.</w:t>
      </w:r>
    </w:p>
    <w:p>
      <w:pPr>
        <w:spacing w:after="0" w:line="122" w:lineRule="exact"/>
        <w:rPr>
          <w:sz w:val="20"/>
          <w:szCs w:val="20"/>
          <w:color w:val="auto"/>
        </w:rPr>
      </w:pPr>
    </w:p>
    <w:p>
      <w:pPr>
        <w:jc w:val="both"/>
        <w:ind w:firstLine="489"/>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08" w:lineRule="exact"/>
        <w:rPr>
          <w:sz w:val="20"/>
          <w:szCs w:val="20"/>
          <w:color w:val="auto"/>
        </w:rPr>
      </w:pPr>
    </w:p>
    <w:p>
      <w:pPr>
        <w:jc w:val="both"/>
        <w:ind w:firstLine="489"/>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Bank of America, N.A.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133"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Orion did not incur any early termination fees in connection with the termination of the Prior Credit Agreement, but did recognize a loss on debt extinguishment of $0.1 million on the write-off of unamortized debt issue costs related to the Prior Credit Agreement. Also, due to the timing of the banking transition, Orion had $0.3 million of cash which was restricted for covering obligations on Orion’s outstanding credit card balances. The Prior Credit Agreement was scheduled to mature on October 26,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Debt Obligations</w:t>
      </w:r>
    </w:p>
    <w:p>
      <w:pPr>
        <w:spacing w:after="0" w:line="175"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In June 2015, Orion entered into an agreement with a financing company in the principal amount of $0.4 million to fund the purchase of certain equipment. The debt was secured by the related equipment. The debt incurred interest at a rate of 5.94% per annum and matured in June 2020.</w:t>
      </w:r>
    </w:p>
    <w:p>
      <w:pPr>
        <w:spacing w:after="0" w:line="108"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75"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 period ended December 31, 2020 and 2019, Orion recorded income tax expense of $0.1 million and $39 thousand, respectively, using this methodology. For the nine month period ended December 31, 2020 and 2019, Orion recorded income tax expense of $0.1 million, respectively, using this methodology.</w:t>
      </w:r>
    </w:p>
    <w:p>
      <w:pPr>
        <w:spacing w:after="0" w:line="129" w:lineRule="exact"/>
        <w:rPr>
          <w:sz w:val="20"/>
          <w:szCs w:val="20"/>
          <w:color w:val="auto"/>
        </w:rPr>
      </w:pPr>
    </w:p>
    <w:p>
      <w:pPr>
        <w:jc w:val="both"/>
        <w:ind w:firstLine="489"/>
        <w:spacing w:after="0" w:line="254" w:lineRule="auto"/>
        <w:rPr>
          <w:sz w:val="20"/>
          <w:szCs w:val="20"/>
          <w:color w:val="auto"/>
        </w:rPr>
      </w:pPr>
      <w:r>
        <w:rPr>
          <w:rFonts w:ascii="Times New Roman" w:cs="Times New Roman" w:eastAsia="Times New Roman" w:hAnsi="Times New Roman"/>
          <w:sz w:val="18"/>
          <w:szCs w:val="18"/>
          <w:color w:val="auto"/>
        </w:rPr>
        <w:t>As of December 31, 2020 and March 31, 2020, Orion had a full valuation allowance recorded against its deferred tax assets. Orion considers future taxable income and ongoing prudent and feasible tax planning strategies in assessing the need for the valuation allowance. Orion intends to continue maintaining a full valuation allowance on the deferred tax assets until there is sufficient evidence to support the reversal of all or some portion of these allowances. However, given current earnings and potential future earnings, Orion believes that there is a reasonable possibility that within the next 12 months sufficient positive evidence may become available to allow Orion to reach a conclusion that all or some portion of the valuation allowance will no longer be needed. Release of the valuation allowance would result in the recognition of certain deferred tax assets and a decrease to income tax expense for the period the release is recorded. However, the timing and amount of the valuation allowance release are subject to change on the basis of future positive evidence.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The CARES Act includes significant business tax provisions that, among other things, temporarily eliminate the taxable income limit for certain net operating losses (NOLs), allow businesses to carry back tax year 2018-2020 NOLs to the five prior tax years, accelerate refunds of corporate alternative minimum tax credits, and generally decrease the amount of disallowed business interest expense. Because of Orion’s loss carryforwards, Orion does not anticipate the income tax provisions of the CARES Act to result in a material cash or financial statement impact during fiscal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right="20" w:firstLine="493"/>
        <w:spacing w:after="0" w:line="282" w:lineRule="auto"/>
        <w:rPr>
          <w:sz w:val="20"/>
          <w:szCs w:val="20"/>
          <w:color w:val="auto"/>
        </w:rPr>
      </w:pPr>
      <w:r>
        <w:rPr>
          <w:rFonts w:ascii="Times New Roman" w:cs="Times New Roman" w:eastAsia="Times New Roman" w:hAnsi="Times New Roman"/>
          <w:sz w:val="18"/>
          <w:szCs w:val="18"/>
          <w:color w:val="auto"/>
        </w:rPr>
        <w:t>As of December 31, 2020, Orion’s balance of gross unrecognized tax benefits was approximately $0.3 million, $0.2 million of which would reduce Orion’s effective tax rate if recognized.</w:t>
      </w:r>
    </w:p>
    <w:p>
      <w:pPr>
        <w:spacing w:after="0" w:line="108"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right="20" w:firstLine="493"/>
        <w:spacing w:after="0" w:line="282"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17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future results of operations or financial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SHAREHOLDERS’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w:t>
      </w:r>
    </w:p>
    <w:p>
      <w:pPr>
        <w:spacing w:after="0" w:line="175"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On January 3, 2019, Orion entered into Amendment No. 1 to the Rights Agreement, which amended the Rights Agreement dated as of January 7, 2009 and extended its terms by three years to January 7, 2022. Under the amendment, each common share purchase right (a “Right”), if exercisable, will initially represent the right to purchase from Orion, one share of Orion’s common stock, no par value per share, for a purchase price of $7.00 per share.</w:t>
      </w:r>
    </w:p>
    <w:p>
      <w:pPr>
        <w:spacing w:after="0" w:line="122"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29" w:lineRule="exact"/>
        <w:rPr>
          <w:sz w:val="20"/>
          <w:szCs w:val="20"/>
          <w:color w:val="auto"/>
        </w:rPr>
      </w:pPr>
    </w:p>
    <w:p>
      <w:pPr>
        <w:jc w:val="both"/>
        <w:ind w:firstLine="493"/>
        <w:spacing w:after="0" w:line="255" w:lineRule="auto"/>
        <w:rPr>
          <w:sz w:val="20"/>
          <w:szCs w:val="20"/>
          <w:color w:val="auto"/>
        </w:rPr>
      </w:pPr>
      <w:r>
        <w:rPr>
          <w:rFonts w:ascii="Times New Roman" w:cs="Times New Roman" w:eastAsia="Times New Roman" w:hAnsi="Times New Roman"/>
          <w:sz w:val="18"/>
          <w:szCs w:val="18"/>
          <w:color w:val="auto"/>
        </w:rPr>
        <w:t>If a person becomes an Acquiring Person, holders of Rights (except as otherwise provided in the Rights Agreement) will have the right to receive upon exercise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 upon exercise that number of shares of the acquiring company’s common stock which at the time of such transaction will have a market value of two times the then-current purchase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jc w:val="both"/>
        <w:ind w:right="20" w:firstLine="493"/>
        <w:spacing w:after="0" w:line="266"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right="40" w:firstLine="493"/>
        <w:spacing w:after="0" w:line="261"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In the three months ended December 31, 2020, Orion issued 178 shares under the ESPP plan at a closing market price of $9.87.</w:t>
      </w: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40" w:type="dxa"/>
            <w:vAlign w:val="bottom"/>
          </w:tcPr>
          <w:p>
            <w:pPr>
              <w:jc w:val="center"/>
              <w:ind w:left="248"/>
              <w:spacing w:after="0" w:line="137"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Plan</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June 30, 2020</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September 30, 2020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9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December 31, 2020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9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issued in fiscal 2021</w:t>
            </w:r>
          </w:p>
        </w:tc>
        <w:tc>
          <w:tcPr>
            <w:tcW w:w="1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9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$ 3.46 - 9.87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STOCK OPTIONS AND RESTRICTED SHARES</w:t>
      </w:r>
    </w:p>
    <w:p>
      <w:pPr>
        <w:spacing w:after="0" w:line="175" w:lineRule="exact"/>
        <w:rPr>
          <w:sz w:val="20"/>
          <w:szCs w:val="20"/>
          <w:color w:val="auto"/>
        </w:rPr>
      </w:pPr>
    </w:p>
    <w:p>
      <w:pPr>
        <w:jc w:val="both"/>
        <w:ind w:right="20" w:firstLine="493"/>
        <w:spacing w:after="0" w:line="258" w:lineRule="auto"/>
        <w:rPr>
          <w:sz w:val="20"/>
          <w:szCs w:val="20"/>
          <w:color w:val="auto"/>
        </w:rPr>
      </w:pPr>
      <w:r>
        <w:rPr>
          <w:rFonts w:ascii="Times New Roman" w:cs="Times New Roman" w:eastAsia="Times New Roman" w:hAnsi="Times New Roman"/>
          <w:sz w:val="18"/>
          <w:szCs w:val="18"/>
          <w:color w:val="auto"/>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29" w:lineRule="exact"/>
        <w:rPr>
          <w:sz w:val="20"/>
          <w:szCs w:val="20"/>
          <w:color w:val="auto"/>
        </w:rPr>
      </w:pPr>
    </w:p>
    <w:p>
      <w:pPr>
        <w:jc w:val="both"/>
        <w:ind w:right="20" w:firstLine="493"/>
        <w:spacing w:after="0" w:line="266"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2" w:lineRule="exact"/>
        <w:rPr>
          <w:sz w:val="20"/>
          <w:szCs w:val="20"/>
          <w:color w:val="auto"/>
        </w:rPr>
      </w:pPr>
    </w:p>
    <w:p>
      <w:pPr>
        <w:jc w:val="both"/>
        <w:ind w:right="20" w:firstLine="493"/>
        <w:spacing w:after="0" w:line="258" w:lineRule="auto"/>
        <w:rPr>
          <w:sz w:val="20"/>
          <w:szCs w:val="20"/>
          <w:color w:val="auto"/>
        </w:rPr>
      </w:pPr>
      <w:r>
        <w:rPr>
          <w:rFonts w:ascii="Times New Roman" w:cs="Times New Roman" w:eastAsia="Times New Roman" w:hAnsi="Times New Roman"/>
          <w:sz w:val="18"/>
          <w:szCs w:val="18"/>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9" w:lineRule="exact"/>
        <w:rPr>
          <w:sz w:val="20"/>
          <w:szCs w:val="20"/>
          <w:color w:val="auto"/>
        </w:rPr>
      </w:pPr>
    </w:p>
    <w:p>
      <w:pPr>
        <w:jc w:val="both"/>
        <w:ind w:right="20" w:firstLine="493"/>
        <w:spacing w:after="0" w:line="282" w:lineRule="auto"/>
        <w:rPr>
          <w:sz w:val="20"/>
          <w:szCs w:val="20"/>
          <w:color w:val="auto"/>
        </w:rPr>
      </w:pPr>
      <w:r>
        <w:rPr>
          <w:rFonts w:ascii="Times New Roman" w:cs="Times New Roman" w:eastAsia="Times New Roman" w:hAnsi="Times New Roman"/>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amounts of stock-based compensation were recorded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4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9" w:right="31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During the first nine months of fiscal 2021, Orion had the following activity related to its stock-based compensation: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outstanding at March 31, 2020</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772,720</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287,998</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vested or exercised</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(431,331)</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(67,000)</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(140,598)</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(100,982)</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outstanding at December 31, 2020</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488,789</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right="40" w:firstLine="493"/>
        <w:spacing w:after="0" w:line="282" w:lineRule="auto"/>
        <w:rPr>
          <w:sz w:val="20"/>
          <w:szCs w:val="20"/>
          <w:color w:val="auto"/>
        </w:rPr>
      </w:pPr>
      <w:r>
        <w:rPr>
          <w:rFonts w:ascii="Times New Roman" w:cs="Times New Roman" w:eastAsia="Times New Roman" w:hAnsi="Times New Roman"/>
          <w:sz w:val="18"/>
          <w:szCs w:val="18"/>
          <w:color w:val="auto"/>
        </w:rPr>
        <w:t>As of December 31, 2020, the amount of deferred stock-based compensation expense to be recognized, over a remaining period of 2.3 years, was approximately $1.5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SEGMENTS</w:t>
      </w:r>
    </w:p>
    <w:p>
      <w:pPr>
        <w:spacing w:after="0" w:line="175" w:lineRule="exact"/>
        <w:rPr>
          <w:sz w:val="20"/>
          <w:szCs w:val="20"/>
          <w:color w:val="auto"/>
        </w:rPr>
      </w:pPr>
    </w:p>
    <w:p>
      <w:pPr>
        <w:jc w:val="both"/>
        <w:ind w:right="20" w:firstLine="493"/>
        <w:spacing w:after="0" w:line="282" w:lineRule="auto"/>
        <w:rPr>
          <w:sz w:val="20"/>
          <w:szCs w:val="20"/>
          <w:color w:val="auto"/>
        </w:rPr>
      </w:pPr>
      <w:r>
        <w:rPr>
          <w:rFonts w:ascii="Times New Roman" w:cs="Times New Roman" w:eastAsia="Times New Roman" w:hAnsi="Times New Roman"/>
          <w:sz w:val="18"/>
          <w:szCs w:val="18"/>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Engineered Systems Division</w:t>
      </w:r>
    </w:p>
    <w:p>
      <w:pPr>
        <w:spacing w:after="0" w:line="175" w:lineRule="exact"/>
        <w:rPr>
          <w:sz w:val="20"/>
          <w:szCs w:val="20"/>
          <w:color w:val="auto"/>
        </w:rPr>
      </w:pPr>
    </w:p>
    <w:p>
      <w:pPr>
        <w:jc w:val="both"/>
        <w:ind w:right="20" w:firstLine="493"/>
        <w:spacing w:after="0" w:line="266" w:lineRule="auto"/>
        <w:rPr>
          <w:sz w:val="20"/>
          <w:szCs w:val="20"/>
          <w:color w:val="auto"/>
        </w:rPr>
      </w:pPr>
      <w:r>
        <w:rPr>
          <w:rFonts w:ascii="Times New Roman" w:cs="Times New Roman" w:eastAsia="Times New Roman" w:hAnsi="Times New Roman"/>
          <w:sz w:val="18"/>
          <w:szCs w:val="18"/>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Distribution Services Division</w:t>
      </w:r>
    </w:p>
    <w:p>
      <w:pPr>
        <w:spacing w:after="0" w:line="175" w:lineRule="exact"/>
        <w:rPr>
          <w:sz w:val="20"/>
          <w:szCs w:val="20"/>
          <w:color w:val="auto"/>
        </w:rPr>
      </w:pPr>
    </w:p>
    <w:p>
      <w:pPr>
        <w:jc w:val="both"/>
        <w:ind w:right="20" w:firstLine="493"/>
        <w:spacing w:after="0" w:line="282" w:lineRule="auto"/>
        <w:rPr>
          <w:sz w:val="20"/>
          <w:szCs w:val="20"/>
          <w:color w:val="auto"/>
        </w:rPr>
      </w:pPr>
      <w:r>
        <w:rPr>
          <w:rFonts w:ascii="Times New Roman" w:cs="Times New Roman" w:eastAsia="Times New Roman" w:hAnsi="Times New Roman"/>
          <w:sz w:val="18"/>
          <w:szCs w:val="18"/>
          <w:color w:val="auto"/>
        </w:rPr>
        <w:t>The ODS segment sells lighting products through manufacturer representative agencies and a network of North American broadline electrical distributors and contractors.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U.S. Markets Division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USM segment sells commercial lighting systems and energy management systems to contractors and ESCOs.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jc w:val="both"/>
        <w:ind w:right="20" w:firstLine="489"/>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60"/>
          </w:cols>
          <w:pgMar w:left="320" w:top="337" w:right="319" w:bottom="1440" w:gutter="0" w:footer="0" w:header="0"/>
        </w:sectPr>
      </w:pPr>
    </w:p>
    <w:p>
      <w:pPr>
        <w:spacing w:after="0" w:line="2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7620</wp:posOffset>
            </wp:positionV>
            <wp:extent cx="15944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7620</wp:posOffset>
            </wp:positionV>
            <wp:extent cx="16116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wp:posOffset>
            </wp:positionV>
            <wp:extent cx="16116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1" w:lineRule="exact"/>
        <w:rPr>
          <w:sz w:val="20"/>
          <w:szCs w:val="20"/>
          <w:color w:val="auto"/>
        </w:rPr>
      </w:pPr>
    </w:p>
    <w:p>
      <w:pPr>
        <w:sectPr>
          <w:pgSz w:w="11900" w:h="16838" w:orient="portrait"/>
          <w:cols w:equalWidth="0" w:num="2">
            <w:col w:w="8240" w:space="720"/>
            <w:col w:w="2300"/>
          </w:cols>
          <w:pgMar w:left="320" w:top="337" w:right="31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20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2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36,669</w:t>
            </w:r>
          </w:p>
        </w:tc>
        <w:tc>
          <w:tcPr>
            <w:tcW w:w="24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24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Distribution Services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Orion U.S. Markets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22" w:name="page23"/>
    <w:bookmarkEnd w:id="22"/>
    <w:p>
      <w:pPr>
        <w:ind w:left="680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7620</wp:posOffset>
            </wp:positionV>
            <wp:extent cx="1594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7620</wp:posOffset>
            </wp:positionV>
            <wp:extent cx="16116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-3175</wp:posOffset>
            </wp:positionV>
            <wp:extent cx="1611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20"/>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1" w:lineRule="exact"/>
        <w:rPr>
          <w:sz w:val="20"/>
          <w:szCs w:val="20"/>
          <w:color w:val="auto"/>
        </w:rPr>
      </w:pPr>
    </w:p>
    <w:p>
      <w:pPr>
        <w:sectPr>
          <w:pgSz w:w="11900" w:h="16838" w:orient="portrait"/>
          <w:cols w:equalWidth="0" w:num="2">
            <w:col w:w="8280" w:space="720"/>
            <w:col w:w="2240"/>
          </w:cols>
          <w:pgMar w:left="320" w:top="412"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24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104,369</w:t>
            </w:r>
          </w:p>
        </w:tc>
        <w:tc>
          <w:tcPr>
            <w:tcW w:w="24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40" w:type="dxa"/>
            <w:vAlign w:val="bottom"/>
          </w:tcPr>
          <w:p>
            <w:pPr>
              <w:spacing w:after="0"/>
              <w:rPr>
                <w:sz w:val="19"/>
                <w:szCs w:val="19"/>
                <w:color w:val="auto"/>
              </w:rPr>
            </w:pP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(3,430)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(3,445)</w:t>
            </w:r>
          </w:p>
        </w:tc>
      </w:tr>
      <w:tr>
        <w:trPr>
          <w:trHeight w:val="223"/>
        </w:trPr>
        <w:tc>
          <w:tcPr>
            <w:tcW w:w="58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75"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type w:val="continuous"/>
        </w:sectPr>
      </w:pPr>
    </w:p>
    <w:bookmarkStart w:id="23" w:name="page24"/>
    <w:bookmarkEnd w:id="23"/>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489"/>
        <w:spacing w:after="0" w:line="253" w:lineRule="auto"/>
        <w:rPr>
          <w:sz w:val="20"/>
          <w:szCs w:val="20"/>
          <w:color w:val="auto"/>
        </w:rPr>
      </w:pPr>
      <w:r>
        <w:rPr>
          <w:rFonts w:ascii="Times New Roman" w:cs="Times New Roman" w:eastAsia="Times New Roman" w:hAnsi="Times New Roman"/>
          <w:sz w:val="18"/>
          <w:szCs w:val="18"/>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2020.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wireless Internet of Things (“IoT”) enabled control solutions,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29"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29"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22"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216" w:lineRule="exact"/>
        <w:rPr>
          <w:sz w:val="20"/>
          <w:szCs w:val="20"/>
          <w:color w:val="auto"/>
        </w:rPr>
      </w:pPr>
    </w:p>
    <w:p>
      <w:pPr>
        <w:ind w:right="220" w:firstLine="489"/>
        <w:spacing w:after="0" w:line="266" w:lineRule="auto"/>
        <w:rPr>
          <w:sz w:val="20"/>
          <w:szCs w:val="20"/>
          <w:color w:val="auto"/>
        </w:rPr>
      </w:pPr>
      <w:r>
        <w:rPr>
          <w:rFonts w:ascii="Times New Roman" w:cs="Times New Roman" w:eastAsia="Times New Roman" w:hAnsi="Times New Roman"/>
          <w:sz w:val="18"/>
          <w:szCs w:val="18"/>
          <w:color w:val="auto"/>
        </w:rPr>
        <w:t>The gross profits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right="160" w:firstLine="489"/>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We refer to our just completed fiscal year, which ended on March 31, 2020, as "fiscal 2020", and our prior fiscal year which ended on March 31, 2019 as "fiscal 2019". Our fiscal first quarter of each fiscal year ends on June 30, our fiscal second quarter ends on September 30, our fiscal third quarter ends on December 31 and our fiscal fourth quarter ends on March 31.</w:t>
      </w:r>
    </w:p>
    <w:p>
      <w:pPr>
        <w:spacing w:after="0" w:line="203" w:lineRule="exact"/>
        <w:rPr>
          <w:sz w:val="20"/>
          <w:szCs w:val="20"/>
          <w:color w:val="auto"/>
        </w:rPr>
      </w:pPr>
    </w:p>
    <w:p>
      <w:pPr>
        <w:ind w:right="300" w:firstLine="489"/>
        <w:spacing w:after="0" w:line="289" w:lineRule="auto"/>
        <w:rPr>
          <w:sz w:val="20"/>
          <w:szCs w:val="20"/>
          <w:color w:val="auto"/>
        </w:rPr>
      </w:pPr>
      <w:r>
        <w:rPr>
          <w:rFonts w:ascii="Times New Roman" w:cs="Times New Roman" w:eastAsia="Times New Roman" w:hAnsi="Times New Roman"/>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Engineered Systems Division ("OES"), and Orion Distribution Services Division ("ODS"), and Orion U.S. Markets Division (“USM”).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and Fiscal 2021 Outlook</w:t>
      </w:r>
    </w:p>
    <w:p>
      <w:pPr>
        <w:spacing w:after="0" w:line="121" w:lineRule="exact"/>
        <w:rPr>
          <w:sz w:val="20"/>
          <w:szCs w:val="20"/>
          <w:color w:val="auto"/>
        </w:rPr>
      </w:pPr>
    </w:p>
    <w:p>
      <w:pPr>
        <w:jc w:val="both"/>
        <w:ind w:firstLine="594"/>
        <w:spacing w:after="0" w:line="256" w:lineRule="auto"/>
        <w:rPr>
          <w:sz w:val="20"/>
          <w:szCs w:val="20"/>
          <w:color w:val="auto"/>
        </w:rPr>
      </w:pPr>
      <w:r>
        <w:rPr>
          <w:rFonts w:ascii="Times New Roman" w:cs="Times New Roman" w:eastAsia="Times New Roman" w:hAnsi="Times New Roman"/>
          <w:sz w:val="18"/>
          <w:szCs w:val="18"/>
          <w:color w:val="auto"/>
        </w:rPr>
        <w:t>The COVID-19 pandemic has disrupted business, trade, commerce, financial and credit markets, in the U.S. and globally. Our business has been adversely impacted by measures taken by government entities and others to control the spread of the virus beginning in March 2020, the last few weeks of our prior fiscal year, and continuing most significantly into the second quarter of fiscal 2021. During the third quarter of fiscal 2021, we experienced a rebound in business, with a full quarter of project installations for our largest customer, as well installations for a new large specialty retail customer, and no significant COVID-19 impacts. However, some customers continue to refrain from awarding new projects and potential future risks remain due to the COVID-19 pandemic.</w:t>
      </w:r>
    </w:p>
    <w:p>
      <w:pPr>
        <w:spacing w:after="0" w:line="79" w:lineRule="exact"/>
        <w:rPr>
          <w:sz w:val="20"/>
          <w:szCs w:val="20"/>
          <w:color w:val="auto"/>
        </w:rPr>
      </w:pPr>
    </w:p>
    <w:p>
      <w:pPr>
        <w:jc w:val="both"/>
        <w:ind w:firstLine="594"/>
        <w:spacing w:after="0" w:line="281" w:lineRule="auto"/>
        <w:rPr>
          <w:sz w:val="20"/>
          <w:szCs w:val="20"/>
          <w:color w:val="auto"/>
        </w:rPr>
      </w:pPr>
      <w:r>
        <w:rPr>
          <w:rFonts w:ascii="Times New Roman" w:cs="Times New Roman" w:eastAsia="Times New Roman" w:hAnsi="Times New Roman"/>
          <w:sz w:val="18"/>
          <w:szCs w:val="18"/>
          <w:color w:val="auto"/>
        </w:rPr>
        <w:t>As a deemed essential business, we provide products and services to ensure energy and lighting infrastructure and we therefore have continued to operate throughout the pandemic. We have implemented a number of safety protocols, including limiting travel and restricting access to our facilities along with monitoring processes, physical distancing, physical barriers, enhanced cleaning procedures and requiring face coverings.</w:t>
      </w:r>
    </w:p>
    <w:p>
      <w:pPr>
        <w:spacing w:after="0" w:line="56" w:lineRule="exact"/>
        <w:rPr>
          <w:sz w:val="20"/>
          <w:szCs w:val="20"/>
          <w:color w:val="auto"/>
        </w:rPr>
      </w:pPr>
    </w:p>
    <w:p>
      <w:pPr>
        <w:jc w:val="both"/>
        <w:ind w:firstLine="594"/>
        <w:spacing w:after="0" w:line="255" w:lineRule="auto"/>
        <w:rPr>
          <w:sz w:val="20"/>
          <w:szCs w:val="20"/>
          <w:color w:val="auto"/>
        </w:rPr>
      </w:pPr>
      <w:r>
        <w:rPr>
          <w:rFonts w:ascii="Times New Roman" w:cs="Times New Roman" w:eastAsia="Times New Roman" w:hAnsi="Times New Roman"/>
          <w:sz w:val="18"/>
          <w:szCs w:val="18"/>
          <w:color w:val="auto"/>
        </w:rPr>
        <w:t>As part of our response to the impacts of the COVID-19 pandemic, during the fourth quarter of fiscal 2020 we implemented a number of cost reduction and cash conservation measures, including reducing headcount. While certain restrictions have begun to initially lessen in certain jurisdictions during fiscal 2021, stay-at-home, face mask or lockdown orders remain in effect in others, with employees asked to work remotely if possible. Certain areas of the country have seen spikes of COVID-19 cases (including in and around our headquarters in Manitowoc, Wisconsin and our office in Jacksonville, Florida), which could result in renewed restrictions and lockdown orders.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the agreements or a substantial volume of purchase orders under the agreements are delayed or terminated as a result of COVID-19. At this time,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or if another significant natural disaster or pandemic were to occur in the future, our operations in areas impacted by such events could experience further adverse financial impacts due to market changes and other resulting events and circumstances.</w:t>
      </w:r>
    </w:p>
    <w:p>
      <w:pPr>
        <w:spacing w:after="0" w:line="80" w:lineRule="exact"/>
        <w:rPr>
          <w:sz w:val="20"/>
          <w:szCs w:val="20"/>
          <w:color w:val="auto"/>
        </w:rPr>
      </w:pPr>
    </w:p>
    <w:p>
      <w:pPr>
        <w:jc w:val="both"/>
        <w:ind w:right="20" w:firstLine="594"/>
        <w:spacing w:after="0" w:line="282" w:lineRule="auto"/>
        <w:rPr>
          <w:sz w:val="20"/>
          <w:szCs w:val="20"/>
          <w:color w:val="auto"/>
        </w:rPr>
      </w:pPr>
      <w:r>
        <w:rPr>
          <w:rFonts w:ascii="Times New Roman" w:cs="Times New Roman" w:eastAsia="Times New Roman" w:hAnsi="Times New Roman"/>
          <w:sz w:val="18"/>
          <w:szCs w:val="18"/>
          <w:color w:val="auto"/>
        </w:rPr>
        <w:t>In addition to managing the adverse financial impact of the COVID-19 pandemic, our ability to achieve our desired revenue growth and profitability goals depends on our ability to effectively execute on the following key strategic initiatives:</w:t>
      </w:r>
    </w:p>
    <w:p>
      <w:pPr>
        <w:spacing w:after="0" w:line="162" w:lineRule="exact"/>
        <w:rPr>
          <w:sz w:val="20"/>
          <w:szCs w:val="20"/>
          <w:color w:val="auto"/>
        </w:rPr>
      </w:pPr>
    </w:p>
    <w:p>
      <w:pPr>
        <w:ind w:left="1380" w:hanging="387"/>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marketing our turnkey LED retrofit capabilities to large national account customers.</w:t>
      </w:r>
    </w:p>
    <w:p>
      <w:pPr>
        <w:spacing w:after="0" w:line="252" w:lineRule="exact"/>
        <w:rPr>
          <w:rFonts w:ascii="Times New Roman" w:cs="Times New Roman" w:eastAsia="Times New Roman" w:hAnsi="Times New Roman"/>
          <w:sz w:val="18"/>
          <w:szCs w:val="18"/>
          <w:color w:val="auto"/>
        </w:rPr>
      </w:pPr>
    </w:p>
    <w:p>
      <w:pPr>
        <w:ind w:left="1380" w:hanging="387"/>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product innovation.</w:t>
      </w:r>
    </w:p>
    <w:p>
      <w:pPr>
        <w:spacing w:after="0" w:line="252" w:lineRule="exact"/>
        <w:rPr>
          <w:rFonts w:ascii="Times New Roman" w:cs="Times New Roman" w:eastAsia="Times New Roman" w:hAnsi="Times New Roman"/>
          <w:sz w:val="18"/>
          <w:szCs w:val="18"/>
          <w:color w:val="auto"/>
        </w:rPr>
      </w:pPr>
    </w:p>
    <w:p>
      <w:pPr>
        <w:ind w:left="1380" w:hanging="387"/>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smart lighting systems to support internet of things applications.</w:t>
      </w:r>
    </w:p>
    <w:p>
      <w:pPr>
        <w:spacing w:after="0" w:line="252" w:lineRule="exact"/>
        <w:rPr>
          <w:rFonts w:ascii="Times New Roman" w:cs="Times New Roman" w:eastAsia="Times New Roman" w:hAnsi="Times New Roman"/>
          <w:sz w:val="18"/>
          <w:szCs w:val="18"/>
          <w:color w:val="auto"/>
        </w:rPr>
      </w:pPr>
    </w:p>
    <w:p>
      <w:pPr>
        <w:ind w:left="1380" w:hanging="387"/>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maintenance service offerings.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5" w:name="page26"/>
    <w:bookmarkEnd w:id="25"/>
    <w:p>
      <w:pPr>
        <w:ind w:left="1380" w:hanging="387"/>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success of our ESCO and distribution sales channels.</w:t>
      </w:r>
    </w:p>
    <w:p>
      <w:pPr>
        <w:spacing w:after="0" w:line="2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 also may identify and pursue strategic acquisition candidates that would help support these initiatives.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Impacts of Tariffs and Trade Policies</w:t>
      </w:r>
    </w:p>
    <w:p>
      <w:pPr>
        <w:spacing w:after="0" w:line="175" w:lineRule="exact"/>
        <w:rPr>
          <w:sz w:val="20"/>
          <w:szCs w:val="20"/>
          <w:color w:val="auto"/>
        </w:rPr>
      </w:pPr>
    </w:p>
    <w:p>
      <w:pPr>
        <w:jc w:val="both"/>
        <w:ind w:firstLine="489"/>
        <w:spacing w:after="0" w:line="255" w:lineRule="auto"/>
        <w:rPr>
          <w:sz w:val="20"/>
          <w:szCs w:val="20"/>
          <w:color w:val="auto"/>
        </w:rPr>
      </w:pPr>
      <w:r>
        <w:rPr>
          <w:rFonts w:ascii="Times New Roman" w:cs="Times New Roman" w:eastAsia="Times New Roman" w:hAnsi="Times New Roman"/>
          <w:sz w:val="18"/>
          <w:szCs w:val="18"/>
          <w:color w:val="auto"/>
        </w:rPr>
        <w:t>The United States government has been implementing various monetary, regulatory, and trade importation restraints, penalties, and tariffs. Certain sourced finished products and certain of the components used in our products have been impacted by tariffs imposed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our results of operations may be adversely affected.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Developments in Fiscal 2021</w:t>
      </w:r>
    </w:p>
    <w:p>
      <w:pPr>
        <w:spacing w:after="0" w:line="175"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During fiscal 2021, we executed multiple contract extensions for a major national account customer with our state-of-the-art LED lighting systems and wireless IoT enabled control solutions at locations nationwide. This single national account customer represented 74.1% of our total revenue in fiscal 2020 and was the primary driver for our growth over the prior year period. During March 2020, this customer suspended our installations at a significant number of locations that were scheduled for installation during our fiscal 2020 fourth quarter and our fiscal 2021 first quarter. These installations resumed during the second quarter of fiscal 2021 and continued through the third quarter of fiscal 2021.</w:t>
      </w:r>
    </w:p>
    <w:p>
      <w:pPr>
        <w:spacing w:after="0" w:line="129"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We also completed several initial retrofit projects at facilities for a major global logistics company. This customer is expected to be a significant source of revenue as we move forward, although these installations are likely to occur more slowly than we had originally anticipated. We expect to work with the customer on a project-by-project basis, versus larger-scale multi-site commitments, which limits visibility on the timing of future revenue contributions. We also have been selected to work with another major logistics company that is also expected to be a significant source of revenue in the future.</w:t>
      </w:r>
    </w:p>
    <w:p>
      <w:pPr>
        <w:spacing w:after="0" w:line="129"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Additionally, we added a large specialty retail customer and are providing turnkey LED lighting retrofit solutions for a number of its stores. This project is expected to generate product and service revenue of at least $8 million during the second half fiscal 2021. We expect to retrofit additional stores for this customer in fiscal 2022.</w:t>
      </w:r>
    </w:p>
    <w:p>
      <w:pPr>
        <w:spacing w:after="0" w:line="122"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As of December 31, 2020 and March 31, 2020, Orion had a full valuation allowance recorded against its deferred tax assets. We will continue to evaluate the valuation allowance by considering changing facts and circumstances and may adjust our valuation allowance accordingly. Given our current earnings and potential future earnings, it is reasonably possible we will reverse a portion of our existing valuation allowance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December 31, 2020 versus Three Months Ended December 31, 2019</w:t>
      </w:r>
    </w:p>
    <w:p>
      <w:pPr>
        <w:spacing w:after="0" w:line="17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FF0FC"/>
            </w:tcBorders>
            <w:vMerge w:val="continue"/>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45.5%</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25,975</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83.1%</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86.3%</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87.3%</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49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increased 23.4%, or $6.1 million, for the third quarter of fiscal 2021 versus the third quarter of fiscal 2020.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47.0%, or $3.9 million, for the third quarter of fiscal 2021 versus the third quarter of fiscal 2020. The increase in product and service revenue was primarily due to an increase of installations from our existing large national retail customer and a new large specialty retail customer. Sales to these two customers accounted for 65.1% and 11.1% of total revenue, respectively, in the third quarter of fiscal 2021.</w:t>
      </w:r>
    </w:p>
    <w:p>
      <w:pPr>
        <w:spacing w:after="0" w:line="126"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Profit. </w:t>
      </w:r>
      <w:r>
        <w:rPr>
          <w:rFonts w:ascii="Times New Roman" w:cs="Times New Roman" w:eastAsia="Times New Roman" w:hAnsi="Times New Roman"/>
          <w:sz w:val="18"/>
          <w:szCs w:val="18"/>
          <w:color w:val="auto"/>
        </w:rPr>
        <w:t>Cost of product revenue increased 21.6%, or $4.1 million, in the third quarter of fiscal 2021 versus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2020 due to the increase in our sales. Cost of service revenue increased 45.5%, or $3.1 million, in the third quarter of fiscal 2021 versus the third quarter of fiscal 2020 due to the significant increase in sales. Gross profit percentage increased from 24.2% of revenue in the third quarter of fiscal 2020 to 24.9% in the third quarter of fiscal 2021, due primarily to an improvement in product margin on customer sales mix, partially offset by increased service revenues which have lower margins.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4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13.8%, or $0.4 million, in the third quarter of fiscal 2021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fiscal 2020. This comparative increase was primarily due to the timing of accruals for bonus expense and an increase in professional services costs.</w:t>
      </w:r>
    </w:p>
    <w:p>
      <w:pPr>
        <w:spacing w:after="0" w:line="119" w:lineRule="exact"/>
        <w:rPr>
          <w:sz w:val="20"/>
          <w:szCs w:val="20"/>
          <w:color w:val="auto"/>
        </w:rPr>
      </w:pPr>
    </w:p>
    <w:p>
      <w:pPr>
        <w:jc w:val="both"/>
        <w:ind w:firstLine="4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14.1%, or $0.4 million, in the third quarter of fiscal 2021 compared to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2020. This comparative increase was primarily due to an increase in commission expense on higher sales, as well as start-up costs for our new business line, Orion Maintenance Services.</w:t>
      </w:r>
    </w:p>
    <w:p>
      <w:pPr>
        <w:spacing w:after="0" w:line="119" w:lineRule="exact"/>
        <w:rPr>
          <w:sz w:val="20"/>
          <w:szCs w:val="20"/>
          <w:color w:val="auto"/>
        </w:rPr>
      </w:pPr>
    </w:p>
    <w:p>
      <w:pPr>
        <w:jc w:val="both"/>
        <w:ind w:firstLine="4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10.9%, or $48 thousand, in the third quarter of fiscal 2021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fiscal 2020. This comparative decrease was primarily due to the timing of research and development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7" w:name="page28"/>
    <w:bookmarkEnd w:id="27"/>
    <w:p>
      <w:pPr>
        <w:jc w:val="both"/>
        <w:ind w:right="20" w:firstLine="4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the third quarter of fiscal 2021 decreased by 97.4%, or $37 thousand, from the third quarter of fiscal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interest expense was primarily due to comparatively lower sales of receivables than in the prior year period.</w:t>
      </w:r>
    </w:p>
    <w:p>
      <w:pPr>
        <w:spacing w:after="0" w:line="104" w:lineRule="exact"/>
        <w:rPr>
          <w:sz w:val="20"/>
          <w:szCs w:val="20"/>
          <w:color w:val="auto"/>
        </w:rPr>
      </w:pPr>
    </w:p>
    <w:p>
      <w:pPr>
        <w:jc w:val="both"/>
        <w:ind w:right="20" w:firstLine="493"/>
        <w:spacing w:after="0" w:line="284"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in the third quarter of fiscal 2021 related to the write-off of fees incurred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prior credit facility, which was recognized upon execution of our new credit facility during the third quarter of fiscal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Engineered Systems Division</w:t>
      </w:r>
    </w:p>
    <w:p>
      <w:pPr>
        <w:spacing w:after="0" w:line="17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OES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48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36,669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27,275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240" w:type="dxa"/>
            <w:vAlign w:val="bottom"/>
          </w:tcPr>
          <w:p>
            <w:pPr>
              <w:spacing w:after="0"/>
              <w:rPr>
                <w:sz w:val="19"/>
                <w:szCs w:val="19"/>
                <w:color w:val="auto"/>
              </w:rPr>
            </w:pPr>
          </w:p>
        </w:tc>
        <w:tc>
          <w:tcPr>
            <w:tcW w:w="8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OES segment revenue in the third quarter of fiscal 2021 increased $9.4 million from the third quarter of fiscal 2020 due primarily to a comparative increase in installations for our existing large national retail customer and installations for a new large specialty retail customer which led to higher operating income in this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75"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Our ODS segment focuses on selling lighting products through manufacturer representative agencies and a network of North American broadline and electrical distributors and contractors.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36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20" w:type="dxa"/>
            <w:vAlign w:val="bottom"/>
            <w:tcBorders>
              <w:bottom w:val="single" w:sz="8" w:color="CFF0FC"/>
            </w:tcBorders>
          </w:tcPr>
          <w:p>
            <w:pPr>
              <w:spacing w:after="0"/>
              <w:rPr>
                <w:sz w:val="15"/>
                <w:szCs w:val="15"/>
                <w:color w:val="auto"/>
              </w:rPr>
            </w:pPr>
          </w:p>
        </w:tc>
        <w:tc>
          <w:tcPr>
            <w:tcW w:w="236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18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9"/>
                <w:szCs w:val="19"/>
                <w:color w:val="auto"/>
              </w:rPr>
            </w:pPr>
          </w:p>
        </w:tc>
        <w:tc>
          <w:tcPr>
            <w:tcW w:w="92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ind w:right="20" w:firstLine="493"/>
        <w:spacing w:after="0" w:line="282" w:lineRule="auto"/>
        <w:rPr>
          <w:sz w:val="20"/>
          <w:szCs w:val="20"/>
          <w:color w:val="auto"/>
        </w:rPr>
      </w:pPr>
      <w:r>
        <w:rPr>
          <w:rFonts w:ascii="Times New Roman" w:cs="Times New Roman" w:eastAsia="Times New Roman" w:hAnsi="Times New Roman"/>
          <w:sz w:val="18"/>
          <w:szCs w:val="18"/>
          <w:color w:val="auto"/>
        </w:rPr>
        <w:t>ODS segment revenue in the third quarter of fiscal 2021 increased 8.3%, or $0.3 million, compared to the third quarter of fiscal 2020, due to an increase in volume through the channel which led to a corresponding increase in operating income in this segment based on operating leverage.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75" w:lineRule="exact"/>
        <w:rPr>
          <w:sz w:val="20"/>
          <w:szCs w:val="20"/>
          <w:color w:val="auto"/>
        </w:rPr>
      </w:pPr>
    </w:p>
    <w:p>
      <w:pPr>
        <w:ind w:right="20" w:firstLine="493"/>
        <w:spacing w:after="0" w:line="282" w:lineRule="auto"/>
        <w:rPr>
          <w:sz w:val="20"/>
          <w:szCs w:val="20"/>
          <w:color w:val="auto"/>
        </w:rPr>
      </w:pPr>
      <w:r>
        <w:rPr>
          <w:rFonts w:ascii="Times New Roman" w:cs="Times New Roman" w:eastAsia="Times New Roman" w:hAnsi="Times New Roman"/>
          <w:sz w:val="18"/>
          <w:szCs w:val="18"/>
          <w:color w:val="auto"/>
        </w:rPr>
        <w:t>Our USM segment sells commercial lighting systems and energy management systems to the wholesale contractor markets. USM customers include ESCOs and contractors.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00" w:type="dxa"/>
            <w:vAlign w:val="bottom"/>
            <w:tcBorders>
              <w:bottom w:val="single" w:sz="8" w:color="CFF0FC"/>
            </w:tcBorders>
          </w:tcPr>
          <w:p>
            <w:pPr>
              <w:spacing w:after="0"/>
              <w:rPr>
                <w:sz w:val="15"/>
                <w:szCs w:val="15"/>
                <w:color w:val="auto"/>
              </w:rPr>
            </w:pPr>
          </w:p>
        </w:tc>
        <w:tc>
          <w:tcPr>
            <w:tcW w:w="260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4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spacing w:after="0"/>
              <w:rPr>
                <w:sz w:val="19"/>
                <w:szCs w:val="19"/>
                <w:color w:val="auto"/>
              </w:rPr>
            </w:pPr>
          </w:p>
        </w:tc>
        <w:tc>
          <w:tcPr>
            <w:tcW w:w="92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93"/>
        <w:spacing w:after="0" w:line="282" w:lineRule="auto"/>
        <w:rPr>
          <w:sz w:val="20"/>
          <w:szCs w:val="20"/>
          <w:color w:val="auto"/>
        </w:rPr>
      </w:pPr>
      <w:r>
        <w:rPr>
          <w:rFonts w:ascii="Times New Roman" w:cs="Times New Roman" w:eastAsia="Times New Roman" w:hAnsi="Times New Roman"/>
          <w:sz w:val="18"/>
          <w:szCs w:val="18"/>
          <w:color w:val="auto"/>
        </w:rPr>
        <w:t>USM segment revenue in the third quarter of fiscal 2021 increased 9.2%, or $0.3 million, compared to the third quarter of fiscal 2020, primarily due to improved engagement in this channel, resulting in a corresponding increase in operating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December 31, 2020 versus Nine months Ended December 31, 2019</w:t>
      </w:r>
    </w:p>
    <w:p>
      <w:pPr>
        <w:spacing w:after="0" w:line="17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tcBorders>
              <w:bottom w:val="single" w:sz="8" w:color="CFF0FC"/>
            </w:tcBorders>
          </w:tcPr>
          <w:p>
            <w:pPr>
              <w:spacing w:after="0"/>
              <w:rPr>
                <w:sz w:val="15"/>
                <w:szCs w:val="15"/>
                <w:color w:val="auto"/>
              </w:rPr>
            </w:pPr>
          </w:p>
        </w:tc>
        <w:tc>
          <w:tcPr>
            <w:tcW w:w="1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93,778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68,778</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154.5%</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decreased 34.0%, or $31.9 million, for the first nine months of fiscal 2021 versus the first nine months of fiscal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 decreased 37.6%, or $11.7 million, for the first nine months of fiscal 2021 versus the first nine months of fiscal 2020. The decrease in product and service revenue was primarily due to multiple projects put on hold during the first half of fiscal 2021 as a result of COVID-19, including the projects for one large national account customer which represented 77.3% of revenue in the first nine months of fiscal 2020, and 55.7% of revenue in the first nine months of fiscal 2021. The project installations for this large national account customer resumed during the second quarter of fiscal 2021.</w:t>
      </w:r>
    </w:p>
    <w:p>
      <w:pPr>
        <w:spacing w:after="0" w:line="129"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Profit. </w:t>
      </w:r>
      <w:r>
        <w:rPr>
          <w:rFonts w:ascii="Times New Roman" w:cs="Times New Roman" w:eastAsia="Times New Roman" w:hAnsi="Times New Roman"/>
          <w:sz w:val="18"/>
          <w:szCs w:val="18"/>
          <w:color w:val="auto"/>
        </w:rPr>
        <w:t>Cost of product revenue decreased 55.1%, or $23.9 million, in the first nine months of fiscal 2021 versus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2020 due to the significant decrease in our sales. Cost of service revenue decreased 37.1%, or $9.2 million, in the first nine months of fiscal 2021 versus the first nine months of fiscal 2020 due to the decrease in sales. Gross profit percentage increased from 25.1% of revenue in the first nine months of fiscal 2020 to 25.7% in fiscal 2021, due primarily to cost management and a change in customer sales mix.</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49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2.4%, or $0.2 million, in the first nine months of fiscal 2021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first nine months of fiscal 2020, primarily due to lower employment and travel costs in response to the COVID-19 pandemic.</w:t>
      </w:r>
    </w:p>
    <w:p>
      <w:pPr>
        <w:spacing w:after="0" w:line="104" w:lineRule="exact"/>
        <w:rPr>
          <w:sz w:val="20"/>
          <w:szCs w:val="20"/>
          <w:color w:val="auto"/>
        </w:rPr>
      </w:pPr>
    </w:p>
    <w:p>
      <w:pPr>
        <w:jc w:val="both"/>
        <w:ind w:firstLine="4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12.6%, or $1.1 million, in the first nine months of fiscal 2021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2020. This comparative decrease was primarily due to a decrease in commission expense on lower sales and lower travel costs in response to the COVID-19 pandemic, partially offset by start-up costs for our new business line, Orion Maintenance Services.</w:t>
      </w:r>
    </w:p>
    <w:p>
      <w:pPr>
        <w:spacing w:after="0" w:line="119" w:lineRule="exact"/>
        <w:rPr>
          <w:sz w:val="20"/>
          <w:szCs w:val="20"/>
          <w:color w:val="auto"/>
        </w:rPr>
      </w:pPr>
    </w:p>
    <w:p>
      <w:pPr>
        <w:jc w:val="both"/>
        <w:ind w:right="20" w:firstLine="4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 the first nine months of fiscal 2021 remained relatively flat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2020.</w:t>
      </w:r>
    </w:p>
    <w:p>
      <w:pPr>
        <w:spacing w:after="0" w:line="104" w:lineRule="exact"/>
        <w:rPr>
          <w:sz w:val="20"/>
          <w:szCs w:val="20"/>
          <w:color w:val="auto"/>
        </w:rPr>
      </w:pPr>
    </w:p>
    <w:p>
      <w:pPr>
        <w:jc w:val="both"/>
        <w:ind w:firstLine="4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the first nine months of fiscal 2021 decreased by 80.5%, or $0.2 million, from the first nine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The decrease in interest expense was primarily due to lower borrowing on our revolving credit facility and lower sales of receivables in the first nine months of fiscal 2021 compared to the first nine months of fiscal 2020.</w:t>
      </w:r>
    </w:p>
    <w:p>
      <w:pPr>
        <w:spacing w:after="0" w:line="119" w:lineRule="exact"/>
        <w:rPr>
          <w:sz w:val="20"/>
          <w:szCs w:val="20"/>
          <w:color w:val="auto"/>
        </w:rPr>
      </w:pPr>
    </w:p>
    <w:p>
      <w:pPr>
        <w:jc w:val="both"/>
        <w:ind w:right="20" w:firstLine="49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debt extinguishment. </w:t>
      </w:r>
      <w:r>
        <w:rPr>
          <w:rFonts w:ascii="Times New Roman" w:cs="Times New Roman" w:eastAsia="Times New Roman" w:hAnsi="Times New Roman"/>
          <w:sz w:val="18"/>
          <w:szCs w:val="18"/>
          <w:color w:val="auto"/>
        </w:rPr>
        <w:t>Loss on debt extinguishment in the first nine months of fiscal 2021 related to the write-off of fees incurred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prior credit facility, upon execution of our new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Engineered Systems Division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OES segment operating results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4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46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57,395</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104,369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7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OES segment revenue in the first nine months of fiscal 2021 decreased $47.0 million from the first nine months of fiscal 2020 due to multiple projects put on hold as a result of COVID-19, including the projects for one large national account customer that represented 77.3% of total revenue in the first nine months fiscal 2020, and 55.7% of revenue in the first nine months of fiscal 2021. The project installations for this customer resumed during the second quarter of fiscal 2021. This sales decrease led to a corresponding decrease in operating income in this segment.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36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49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20" w:type="dxa"/>
            <w:vAlign w:val="bottom"/>
            <w:tcBorders>
              <w:bottom w:val="single" w:sz="8" w:color="CFF0FC"/>
            </w:tcBorders>
          </w:tcPr>
          <w:p>
            <w:pPr>
              <w:spacing w:after="0"/>
              <w:rPr>
                <w:sz w:val="15"/>
                <w:szCs w:val="15"/>
                <w:color w:val="auto"/>
              </w:rPr>
            </w:pPr>
          </w:p>
        </w:tc>
        <w:tc>
          <w:tcPr>
            <w:tcW w:w="236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16,063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11,191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78"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ODS segment revenue in the first nine months of fiscal 2021 increased 43.5%, or $4.9 million, compared to the first nine months of fiscal 2020, primarily due to sales to one customer who represented 6.8% of first nine months fiscal 2021 total revenue. This sales increase led to a corresponding increase in operating income in this segment based on operating leverage.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80" w:type="dxa"/>
            <w:vAlign w:val="bottom"/>
            <w:tcBorders>
              <w:bottom w:val="single" w:sz="8" w:color="CFF0FC"/>
            </w:tcBorders>
          </w:tcPr>
          <w:p>
            <w:pPr>
              <w:spacing w:after="0"/>
              <w:rPr>
                <w:sz w:val="15"/>
                <w:szCs w:val="15"/>
                <w:color w:val="auto"/>
              </w:rPr>
            </w:pPr>
          </w:p>
        </w:tc>
        <w:tc>
          <w:tcPr>
            <w:tcW w:w="260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2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tcPr>
          <w:p>
            <w:pPr>
              <w:spacing w:after="0"/>
              <w:rPr>
                <w:sz w:val="19"/>
                <w:szCs w:val="19"/>
                <w:color w:val="auto"/>
              </w:rPr>
            </w:pPr>
          </w:p>
        </w:tc>
        <w:tc>
          <w:tcPr>
            <w:tcW w:w="92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USM segment revenue in the first nine months of fiscal 2021 decreased 16.0%, or $1.5 million, from the first nine months of fiscal 2020, primarily due to the impact of COVID-19, and resulted in a corresponding decrease in operating income in this segment based on operating leverage.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We had approximately $12.3 million in cash and cash equivalents as of December 31, 2020, compared to $28.8 million at March 31, 2020. Our cash position decreased primarily as a result of net payments of $10.1 million to reduce the principal balance of our prior credit agreement and the use of cash from operating activities of $5.6 million.</w:t>
      </w:r>
    </w:p>
    <w:p>
      <w:pPr>
        <w:spacing w:after="0" w:line="122"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profits,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December 31, 2020 and 2019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(10,127)</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(8,587)</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(16,472)</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4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provided by operating activities primarily consists of net income adjusted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items, including depreciation, amortization of intangible assets, stock-based compensation, amortization of debt issue costs, provisions for reserves, and the effect of changes in working capital and other activities.</w:t>
      </w:r>
    </w:p>
    <w:p>
      <w:pPr>
        <w:spacing w:after="0" w:line="121"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first nine months of fiscal 2021 was $5.6 million and consisted of our net income adjusted for non-cash expense items of $6.2 million and net cash used in changes in operating assets and liabilities of $11.8 million. Cash used by operating assets and liabilities consisted primarily of an increase in accounts receivable of $13.2 million due to higher sales and the timing of collections, and an increase in inventory of $4.2 million on anticipated fourth quarter sales. Cash provided by changes in operating assets and liabilities consisted primarily of an increase in accrued expenses and other of $6.6 million due to timing of billing for completed projects.</w:t>
      </w:r>
    </w:p>
    <w:p>
      <w:pPr>
        <w:spacing w:after="0" w:line="129"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first nine months of fiscal 2020 was $14.3 million and consisted of our net income adjusted for non-cash expense items of $15.1 million and net cash used by changes in operating assets and liabilities of $0.8 million. Cash used by changes in operating assets and liabilities consisted primarily of a decrease of $2.9 million in accounts payable, and a decrease in accrued expenses and other of $1.3 million due to the timing of payments. Cash provided by changes in operating assets and liabilities consisted primarily of a decrease of $2.9 million in revenue earned but not billed and a decrease in inventories of $1.0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1" w:name="page32"/>
    <w:bookmarkEnd w:id="31"/>
    <w:p>
      <w:pPr>
        <w:jc w:val="both"/>
        <w:ind w:right="20" w:firstLine="489"/>
        <w:spacing w:after="0" w:line="284" w:lineRule="auto"/>
        <w:rPr>
          <w:sz w:val="20"/>
          <w:szCs w:val="20"/>
          <w:color w:val="auto"/>
        </w:rPr>
      </w:pPr>
      <w:r>
        <w:rPr>
          <w:rFonts w:ascii="Times New Roman" w:cs="Times New Roman" w:eastAsia="Times New Roman" w:hAnsi="Times New Roman"/>
          <w:sz w:val="18"/>
          <w:szCs w:val="18"/>
          <w:i w:val="1"/>
          <w:iCs w:val="1"/>
          <w:color w:val="auto"/>
        </w:rPr>
        <w:t>Cash Flows Related to Investing Activities</w:t>
      </w:r>
      <w:r>
        <w:rPr>
          <w:rFonts w:ascii="Times New Roman" w:cs="Times New Roman" w:eastAsia="Times New Roman" w:hAnsi="Times New Roman"/>
          <w:sz w:val="18"/>
          <w:szCs w:val="18"/>
          <w:color w:val="auto"/>
        </w:rPr>
        <w:t>. Cash used in investing activities of $0.7 million in the first nine months of fiscal 2021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purchases of tooling and equipment.</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investing activities of $0.7 million in the first nine months of fiscal 2020 consisted of purchases of tooling and equipment.</w:t>
      </w:r>
    </w:p>
    <w:p>
      <w:pPr>
        <w:spacing w:after="0" w:line="169" w:lineRule="exact"/>
        <w:rPr>
          <w:sz w:val="20"/>
          <w:szCs w:val="20"/>
          <w:color w:val="auto"/>
        </w:rPr>
      </w:pPr>
    </w:p>
    <w:p>
      <w:pPr>
        <w:jc w:val="both"/>
        <w:ind w:firstLine="4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used in financing activities of $10.1 million in the first nine months of fiscal 2021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net repayments of $10.0 million on our Prior Credit Agreement.</w:t>
      </w:r>
    </w:p>
    <w:p>
      <w:pPr>
        <w:spacing w:after="0" w:line="106" w:lineRule="exact"/>
        <w:rPr>
          <w:sz w:val="20"/>
          <w:szCs w:val="20"/>
          <w:color w:val="auto"/>
        </w:rPr>
      </w:pPr>
    </w:p>
    <w:p>
      <w:pPr>
        <w:jc w:val="both"/>
        <w:ind w:firstLine="48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$8.6 million for the first nine months of fiscal 2020. This use of cash consisted primarily of net repayments of $8.4 million on our Credit Facility.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489"/>
        <w:spacing w:after="0" w:line="256" w:lineRule="auto"/>
        <w:rPr>
          <w:sz w:val="20"/>
          <w:szCs w:val="20"/>
          <w:color w:val="auto"/>
        </w:rPr>
      </w:pPr>
      <w:r>
        <w:rPr>
          <w:rFonts w:ascii="Times New Roman" w:cs="Times New Roman" w:eastAsia="Times New Roman" w:hAnsi="Times New Roman"/>
          <w:sz w:val="18"/>
          <w:szCs w:val="18"/>
          <w:color w:val="auto"/>
        </w:rPr>
        <w:t>Our net working capital as of December 31, 2020 was 23.3 million, consisting of $56.7 million in current assets and $33.4 million in current liabilities. Our net working capital as of March 31, 2020 was $27.8 million, consisting of $55.0 million in current assets and $27.2 in current liabilities. Our current accounts receivable, net balance increased by $13.3 million from the fiscal 2020 year-end primarily due to higher sales and the timing of customer collections. Our inventories, net increased from the fiscal 2020 year-end by $4.0 million due primarily to anticipated project installations for a large national account customer and new large specialty retail customer. Our accrued expenses increased from our fiscal 2020 year-end by $6.7 million due primarily to an increase in accrued project costs.</w:t>
      </w:r>
    </w:p>
    <w:p>
      <w:pPr>
        <w:spacing w:after="0" w:line="133"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On December 29, 2020, we entered into a new Loan and Security Agreement (the “Credit Agreement”) with Bank of America, N.A., as lender (the “Lender”). The Credit Agreement replaced our existing $20.15 million secured revolving credit and security agreement dated as of October 26, 2018, as amended, with Western Alliance Bank, National Association, as lender (the “Prior Credit Agreement”).</w:t>
      </w:r>
    </w:p>
    <w:p>
      <w:pPr>
        <w:spacing w:after="0" w:line="122" w:lineRule="exact"/>
        <w:rPr>
          <w:sz w:val="20"/>
          <w:szCs w:val="20"/>
          <w:color w:val="auto"/>
        </w:rPr>
      </w:pPr>
    </w:p>
    <w:p>
      <w:pPr>
        <w:jc w:val="both"/>
        <w:ind w:firstLine="489"/>
        <w:spacing w:after="0" w:line="282" w:lineRule="auto"/>
        <w:rPr>
          <w:sz w:val="20"/>
          <w:szCs w:val="20"/>
          <w:color w:val="auto"/>
        </w:rPr>
      </w:pPr>
      <w:r>
        <w:rPr>
          <w:rFonts w:ascii="Times New Roman" w:cs="Times New Roman" w:eastAsia="Times New Roman" w:hAnsi="Times New Roman"/>
          <w:sz w:val="18"/>
          <w:szCs w:val="18"/>
          <w:color w:val="auto"/>
        </w:rPr>
        <w:t>The replacement of the Prior Credit Agreement with the Credit Agreement provides us with increased financing capacity and liquidity to fund our operations and implement our strategic plans.</w:t>
      </w:r>
    </w:p>
    <w:p>
      <w:pPr>
        <w:spacing w:after="0" w:line="108"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2020, the borrowing base supports the full availability of the Credit Facility. As of December 31, 2020, no amounts were borrowed under the Credit Facility.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our assets.</w:t>
      </w:r>
    </w:p>
    <w:p>
      <w:pPr>
        <w:spacing w:after="0" w:line="171"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LIBOR or prime rate-based loans and generally bear interest at floating rates plus an applicable margin determined by reference to our availability under the Credit Agreement. Among other fees, we are required to pay an annual facility fee of $15,000 and fee of 25 basis points on the unused portion of the Credit Facility.</w:t>
      </w:r>
    </w:p>
    <w:p>
      <w:pPr>
        <w:spacing w:after="0" w:line="122" w:lineRule="exact"/>
        <w:rPr>
          <w:sz w:val="20"/>
          <w:szCs w:val="20"/>
          <w:color w:val="auto"/>
        </w:rPr>
      </w:pPr>
    </w:p>
    <w:p>
      <w:pPr>
        <w:jc w:val="both"/>
        <w:ind w:firstLine="489"/>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2" w:name="page33"/>
    <w:bookmarkEnd w:id="32"/>
    <w:p>
      <w:pPr>
        <w:jc w:val="both"/>
        <w:ind w:firstLine="489"/>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33"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18"/>
          <w:szCs w:val="18"/>
          <w:color w:val="auto"/>
        </w:rPr>
        <w:t>We did not incur any early termination fees in connection with the termination of the Prior Credit Agreement, but did recognize a loss on debt extinguishment of $0.1 million on the write-off of unamortized debt issue costs related to the Prior Credit Agreement. Also, due to the timing of the banking transition, we had $0.3 million of cash which was restricted for covering obligations on our outstanding credit card balances. The Prior Credit Agreement was scheduled to mature on October 26,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Spending</w:t>
      </w:r>
    </w:p>
    <w:p>
      <w:pPr>
        <w:spacing w:after="0" w:line="175" w:lineRule="exact"/>
        <w:rPr>
          <w:sz w:val="20"/>
          <w:szCs w:val="20"/>
          <w:color w:val="auto"/>
        </w:rPr>
      </w:pPr>
    </w:p>
    <w:p>
      <w:pPr>
        <w:jc w:val="both"/>
        <w:ind w:firstLine="489"/>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$0.7 million and $0.6 million for the nine month periods ended December 31, 2020, and 2019, respectively. Due to the uncertainty of the COVID-19 impact on our business, we do not have a committed capital expenditure plan for fiscal 2021; however, we expect to finance current year capital expenditures primarily through our existing cash, equipment-secured loans and leases, to the extent needed, long-term debt financing, or by using our available capacity under our Credit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ind w:firstLine="489"/>
        <w:spacing w:after="0" w:line="266"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purchase orders. Backlog totaled $21.8 million and $19.2 million as of December 31, 2020 and March 31, 2020, respectively. We generally expect our backlog to be recognized as revenue within one year, although the COVID-19 pandemic may extend this time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2020. For the three months ended December 31, 2020, there were no material changes in our accounting policies.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firstLine="493"/>
        <w:spacing w:after="0" w:line="282" w:lineRule="auto"/>
        <w:rPr>
          <w:sz w:val="20"/>
          <w:szCs w:val="20"/>
          <w:color w:val="auto"/>
        </w:rPr>
      </w:pPr>
      <w:r>
        <w:rPr>
          <w:rFonts w:ascii="Times New Roman" w:cs="Times New Roman" w:eastAsia="Times New Roman" w:hAnsi="Times New Roman"/>
          <w:sz w:val="18"/>
          <w:szCs w:val="18"/>
          <w:color w:val="auto"/>
        </w:rPr>
        <w:t>For a complete discussion of recent accounting pronouncements, refer to Note 3 in the Condensed Consolidated Financial Statements included elsewhere in this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34" w:name="page35"/>
    <w:bookmarkEnd w:id="34"/>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Our exposure to market risk was discussed in the “Quantitative and Qualitative Disclosures About Market Risk” section contained in our Annual Report on Form 10-K for the year ended March 31, 2020. There have been no material changes to such exposures since March 31, 2020.</w:t>
      </w:r>
    </w:p>
    <w:p>
      <w:pPr>
        <w:spacing w:after="0" w:line="19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22" w:lineRule="exact"/>
        <w:rPr>
          <w:sz w:val="20"/>
          <w:szCs w:val="20"/>
          <w:color w:val="auto"/>
        </w:rPr>
      </w:pPr>
    </w:p>
    <w:p>
      <w:pPr>
        <w:jc w:val="both"/>
        <w:ind w:firstLine="493"/>
        <w:spacing w:after="0" w:line="261" w:lineRule="auto"/>
        <w:rPr>
          <w:sz w:val="20"/>
          <w:szCs w:val="20"/>
          <w:color w:val="auto"/>
        </w:rPr>
      </w:pPr>
      <w:r>
        <w:rPr>
          <w:rFonts w:ascii="Times New Roman" w:cs="Times New Roman" w:eastAsia="Times New Roman" w:hAnsi="Times New Roman"/>
          <w:sz w:val="18"/>
          <w:szCs w:val="18"/>
          <w:color w:val="auto"/>
        </w:rPr>
        <w:t>As of December 31, 2020,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are effective as of December 31,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13a-15(e) and Rule 15d-15(e) of the Exchange Act) for the three months ended December 31, 2020, that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493"/>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15 – Commitments and Contingencies, to the Condensed Consolidated Financial Statements in Item 1 of this Quarterly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4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ind w:firstLine="493"/>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2020, which we filed with the SEC on June 5, 2020 and in Part 1 - Item 2 under the heading "Management's Discussion and Analysis of Financial Condition and Results of Operations" in this Form 10-Q.</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11"/>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Voluntary Retirement Agreement and Release, dated as of September 21, 2020, between Orion Energy Systems, Inc. and William T. Hull,</w:t>
              </w:r>
            </w:hyperlink>
          </w:p>
        </w:tc>
      </w:tr>
      <w:tr>
        <w:trPr>
          <w:trHeight w:val="196"/>
        </w:trPr>
        <w:tc>
          <w:tcPr>
            <w:tcW w:w="1080" w:type="dxa"/>
            <w:vAlign w:val="bottom"/>
          </w:tcPr>
          <w:p>
            <w:pPr>
              <w:spacing w:after="0"/>
              <w:rPr>
                <w:sz w:val="17"/>
                <w:szCs w:val="17"/>
                <w:color w:val="auto"/>
              </w:rPr>
            </w:pPr>
          </w:p>
        </w:tc>
        <w:tc>
          <w:tcPr>
            <w:tcW w:w="99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filed as Exhibit 10.1 to the Registrant’s Form 8-K filed September 23, 2020, is hereby incorporated by reference.</w:t>
              </w:r>
            </w:hyperlink>
          </w:p>
        </w:tc>
        <w:tc>
          <w:tcPr>
            <w:tcW w:w="18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Executive Employment and Severance Agreement, effective as of October 19, 2020, between Orion Energy Systems, Inc. and J. Per Brodin,</w:t>
              </w:r>
            </w:hyperlink>
          </w:p>
        </w:tc>
      </w:tr>
      <w:tr>
        <w:trPr>
          <w:trHeight w:val="196"/>
        </w:trPr>
        <w:tc>
          <w:tcPr>
            <w:tcW w:w="1080" w:type="dxa"/>
            <w:vAlign w:val="bottom"/>
          </w:tcPr>
          <w:p>
            <w:pPr>
              <w:spacing w:after="0"/>
              <w:rPr>
                <w:sz w:val="17"/>
                <w:szCs w:val="17"/>
                <w:color w:val="auto"/>
              </w:rPr>
            </w:pPr>
          </w:p>
        </w:tc>
        <w:tc>
          <w:tcPr>
            <w:tcW w:w="7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filed as Exhibit 10.1 to the Registrant’s Form 8-K filed October 15, 2020, is hereby incorporated by reference.</w:t>
              </w:r>
            </w:hyperlink>
          </w:p>
        </w:tc>
        <w:tc>
          <w:tcPr>
            <w:tcW w:w="2160" w:type="dxa"/>
            <w:vAlign w:val="bottom"/>
            <w:gridSpan w:val="8"/>
          </w:tcPr>
          <w:p>
            <w:pPr>
              <w:spacing w:after="0"/>
              <w:rPr>
                <w:sz w:val="17"/>
                <w:szCs w:val="17"/>
                <w:color w:val="auto"/>
              </w:rPr>
            </w:pPr>
          </w:p>
        </w:tc>
      </w:tr>
      <w:tr>
        <w:trPr>
          <w:trHeight w:val="27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11"/>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Loan and Security Agreement, dated as of December 29, 2020, among Orion Energy Systems, Inc., Bank of America, N.A., as lender, and</w:t>
              </w:r>
            </w:hyperlink>
          </w:p>
        </w:tc>
      </w:tr>
      <w:tr>
        <w:trPr>
          <w:trHeight w:val="196"/>
        </w:trPr>
        <w:tc>
          <w:tcPr>
            <w:tcW w:w="108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the subsidiary borrowers party thereto, filed as Exhibit 10.1 to the Registrant’s Form 8-K filed January 5, 2021, is hereby incorporated by</w:t>
              </w:r>
            </w:hyperlink>
          </w:p>
        </w:tc>
        <w:tc>
          <w:tcPr>
            <w:tcW w:w="6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reference.</w:t>
              </w:r>
            </w:hyperlink>
          </w:p>
        </w:tc>
      </w:tr>
      <w:tr>
        <w:trPr>
          <w:trHeight w:val="20"/>
        </w:trPr>
        <w:tc>
          <w:tcPr>
            <w:tcW w:w="10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Certification of Chief Executive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Securities Exchange Act of 1934, as amended.+</w:t>
              </w:r>
            </w:hyperlink>
          </w:p>
        </w:tc>
        <w:tc>
          <w:tcPr>
            <w:tcW w:w="6640" w:type="dxa"/>
            <w:vAlign w:val="bottom"/>
            <w:gridSpan w:val="9"/>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Certification of Chief Financial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Securities Exchange Act of 1934, as amended.+</w:t>
              </w:r>
            </w:hyperlink>
          </w:p>
        </w:tc>
        <w:tc>
          <w:tcPr>
            <w:tcW w:w="658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32.1</w:t>
            </w:r>
          </w:p>
        </w:tc>
        <w:tc>
          <w:tcPr>
            <w:tcW w:w="95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Certification of Chief Executive Officer of Orion Energy Systems, Inc. pursuant to Rule 13a-14(b) promulgated under the Securities</w:t>
              </w:r>
            </w:hyperlink>
          </w:p>
        </w:tc>
        <w:tc>
          <w:tcPr>
            <w:tcW w:w="560" w:type="dxa"/>
            <w:vAlign w:val="bottom"/>
            <w:gridSpan w:val="5"/>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100" w:type="dxa"/>
            <w:vAlign w:val="bottom"/>
            <w:gridSpan w:val="11"/>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Exchange Act of 1934, as amended, and 18 U.S.C. Section 1350, as adopted pursuant to Section 906 of the Sarbanes-Oxley Act of 2002.+</w:t>
              </w:r>
            </w:hyperlink>
          </w:p>
        </w:tc>
      </w:tr>
      <w:tr>
        <w:trPr>
          <w:trHeight w:val="29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1"/>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Certification of Chief Financial Officer of Orion Energy Systems, Inc. pursuant to Rule 13a-14(b) promulgated under the Securities</w:t>
              </w:r>
            </w:hyperlink>
          </w:p>
        </w:tc>
      </w:tr>
      <w:tr>
        <w:trPr>
          <w:trHeight w:val="20"/>
        </w:trPr>
        <w:tc>
          <w:tcPr>
            <w:tcW w:w="1080" w:type="dxa"/>
            <w:vAlign w:val="bottom"/>
          </w:tcPr>
          <w:p>
            <w:pPr>
              <w:spacing w:after="0" w:line="20" w:lineRule="exact"/>
              <w:rPr>
                <w:sz w:val="1"/>
                <w:szCs w:val="1"/>
                <w:color w:val="auto"/>
              </w:rPr>
            </w:pPr>
          </w:p>
        </w:tc>
        <w:tc>
          <w:tcPr>
            <w:tcW w:w="9480" w:type="dxa"/>
            <w:vAlign w:val="bottom"/>
            <w:gridSpan w:val="5"/>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100" w:type="dxa"/>
            <w:vAlign w:val="bottom"/>
            <w:gridSpan w:val="11"/>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Exchange Act of 1934, as amended, and 18 U.S.C. Section 1350, as adopted pursuant to Section 906 of the Sarbanes-Oxley Act of 2002.+</w:t>
              </w:r>
            </w:hyperlink>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bl>
    <w:p>
      <w:pPr>
        <w:spacing w:after="0" w:line="198"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9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11, 2021.</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193"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Per Brodin</w:t>
            </w:r>
          </w:p>
        </w:tc>
      </w:tr>
      <w:tr>
        <w:trPr>
          <w:trHeight w:val="191"/>
        </w:trPr>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Per Brodin</w:t>
            </w:r>
          </w:p>
        </w:tc>
      </w:tr>
      <w:tr>
        <w:trPr>
          <w:trHeight w:val="216"/>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tc>
      </w:tr>
      <w:tr>
        <w:trPr>
          <w:trHeight w:val="648"/>
        </w:trPr>
        <w:tc>
          <w:tcPr>
            <w:tcW w:w="320" w:type="dxa"/>
            <w:vAlign w:val="bottom"/>
          </w:tcPr>
          <w:p>
            <w:pPr>
              <w:spacing w:after="0"/>
              <w:rPr>
                <w:sz w:val="24"/>
                <w:szCs w:val="24"/>
                <w:color w:val="auto"/>
              </w:rPr>
            </w:pPr>
          </w:p>
        </w:tc>
        <w:tc>
          <w:tcPr>
            <w:tcW w:w="58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240"/>
          </w:cols>
          <w:pgMar w:left="320" w:top="54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480" w:right="300" w:hanging="472"/>
        <w:spacing w:after="0" w:line="266"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80" w:right="260" w:hanging="472"/>
        <w:spacing w:after="0" w:line="282"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80" w:hanging="480"/>
        <w:spacing w:after="0" w:line="266"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400" w:hanging="480"/>
        <w:spacing w:after="0" w:line="266"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60" w:hanging="480"/>
        <w:spacing w:after="0" w:line="312" w:lineRule="auto"/>
        <w:tabs>
          <w:tab w:leader="none" w:pos="9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80"/>
        <w:spacing w:after="0" w:line="266"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80" w:right="180" w:hanging="472"/>
        <w:spacing w:after="0" w:line="282"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80"/>
        <w:spacing w:after="0" w:line="282"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500" w:hanging="480"/>
        <w:spacing w:after="0" w:line="282"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2021</w:t>
      </w:r>
    </w:p>
    <w:p>
      <w:pPr>
        <w:spacing w:after="0" w:line="25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97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Per Brodin, certify that:</w:t>
      </w:r>
    </w:p>
    <w:p>
      <w:pPr>
        <w:spacing w:after="0" w:line="225"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480" w:right="300" w:hanging="472"/>
        <w:spacing w:after="0" w:line="266"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80" w:right="260" w:hanging="472"/>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80" w:hanging="480"/>
        <w:spacing w:after="0" w:line="266"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400" w:hanging="480"/>
        <w:spacing w:after="0" w:line="266"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60" w:hanging="480"/>
        <w:spacing w:after="0" w:line="312" w:lineRule="auto"/>
        <w:tabs>
          <w:tab w:leader="none" w:pos="9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80"/>
        <w:spacing w:after="0" w:line="266"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80" w:right="180" w:hanging="472"/>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80"/>
        <w:spacing w:after="0" w:line="282"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500" w:hanging="480"/>
        <w:spacing w:after="0" w:line="282"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2021</w:t>
      </w:r>
    </w:p>
    <w:p>
      <w:pPr>
        <w:spacing w:after="0" w:line="25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97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 Per Brodin</w:t>
      </w:r>
    </w:p>
    <w:p>
      <w:pPr>
        <w:spacing w:after="0" w:line="2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2020,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2" w:lineRule="exact"/>
        <w:rPr>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60" w:right="620" w:hanging="480"/>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Date: February 11, 2021</w:t>
      </w:r>
    </w:p>
    <w:p>
      <w:pPr>
        <w:spacing w:after="0" w:line="22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974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2020,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68" w:lineRule="exact"/>
        <w:rPr>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60" w:right="620" w:hanging="48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Date: February 11, 2021</w:t>
      </w:r>
    </w:p>
    <w:p>
      <w:pPr>
        <w:spacing w:after="0" w:line="22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974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J. Per Brodin</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73" Type="http://schemas.openxmlformats.org/officeDocument/2006/relationships/hyperlink" Target="http://www.sec.gov/Archives/edgar/data/1409375/000119312520252341/d36004dex101.htm" TargetMode="External"/><Relationship Id="rId74" Type="http://schemas.openxmlformats.org/officeDocument/2006/relationships/hyperlink" Target="http://www.sec.gov/Archives/edgar/data/1409375/000119312520270310/d43679dex101.htm" TargetMode="External"/><Relationship Id="rId75" Type="http://schemas.openxmlformats.org/officeDocument/2006/relationships/hyperlink" Target="http://www.sec.gov/Archives/edgar/data/1409375/000119312521001520/d10442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2021-02-11T15:51:55Z</dcterms:created>
  <dcterms:modified xsi:type="dcterms:W3CDTF">2021-02-11T15:51:55Z</dcterms:modified>
</cp:coreProperties>
</file>