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6"/>
          <w:szCs w:val="16"/>
          <w:color w:val="auto"/>
        </w:rPr>
        <w:t>☐</w:t>
      </w:r>
    </w:p>
    <w:p>
      <w:pPr>
        <w:spacing w:after="0" w:line="138"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960" w:space="720"/>
            <w:col w:w="5080" w:space="720"/>
            <w:col w:w="1220" w:space="80"/>
            <w:col w:w="1580"/>
          </w:cols>
          <w:pgMar w:left="240" w:top="233" w:right="299" w:bottom="1440" w:gutter="0" w:footer="0" w:header="0"/>
          <w:type w:val="continuous"/>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33" w:right="29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4">
            <w:col w:w="8240" w:space="180"/>
            <w:col w:w="260" w:space="100"/>
            <w:col w:w="140" w:space="180"/>
            <w:col w:w="2260"/>
          </w:cols>
          <w:pgMar w:left="240" w:top="233"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There were 21,081,680 shares of the Registrant’s common stock outstanding on August 5, 2013.</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9"/>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 (unaudited)</w:t>
              </w:r>
            </w:hyperlink>
          </w:p>
        </w:tc>
        <w:tc>
          <w:tcPr>
            <w:tcW w:w="688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8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March 31, 2013 and June 30, 2013</w:t>
              </w:r>
            </w:hyperlink>
          </w:p>
        </w:tc>
        <w:tc>
          <w:tcPr>
            <w:tcW w:w="448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Months Ended June 30, 2012 and 2013</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 for the Three Months Ended June 30, 2012 and 2013</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560" w:type="dxa"/>
            <w:vAlign w:val="bottom"/>
            <w:tcBorders>
              <w:top w:val="single" w:sz="8" w:color="0000FF"/>
            </w:tcBorders>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the Condensed Consolidated Financial Statements</w:t>
              </w:r>
            </w:hyperlink>
          </w:p>
        </w:tc>
        <w:tc>
          <w:tcPr>
            <w:tcW w:w="280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14"/>
          </w:tcPr>
          <w:p>
            <w:pPr>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9"/>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Quantitative and Qualitative Disclosures about Market Risk</w:t>
              </w:r>
            </w:hyperlink>
          </w:p>
        </w:tc>
        <w:tc>
          <w:tcPr>
            <w:tcW w:w="2200" w:type="dxa"/>
            <w:vAlign w:val="bottom"/>
            <w:gridSpan w:val="4"/>
          </w:tcPr>
          <w:p>
            <w:pPr>
              <w:spacing w:after="0"/>
              <w:rPr>
                <w:sz w:val="21"/>
                <w:szCs w:val="21"/>
                <w:color w:val="auto"/>
              </w:rPr>
            </w:pPr>
          </w:p>
        </w:tc>
        <w:tc>
          <w:tcPr>
            <w:tcW w:w="26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62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Controls and Procedures</w:t>
              </w:r>
            </w:hyperlink>
          </w:p>
        </w:tc>
        <w:tc>
          <w:tcPr>
            <w:tcW w:w="48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gridSpan w:val="7"/>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0" w:type="dxa"/>
            <w:vAlign w:val="bottom"/>
            <w:tcBorders>
              <w:left w:val="single" w:sz="8" w:color="0000FF"/>
            </w:tcBorders>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FF"/>
                <w:w w:val="86"/>
              </w:rPr>
            </w:pPr>
            <w:hyperlink w:anchor="page32">
              <w:r>
                <w:rPr>
                  <w:rFonts w:ascii="Arial" w:cs="Arial" w:eastAsia="Arial" w:hAnsi="Arial"/>
                  <w:sz w:val="18"/>
                  <w:szCs w:val="18"/>
                  <w:b w:val="1"/>
                  <w:bCs w:val="1"/>
                  <w:color w:val="0000FF"/>
                  <w:w w:val="86"/>
                </w:rPr>
                <w:t>Legal Proceedings</w:t>
              </w:r>
            </w:hyperlink>
          </w:p>
        </w:tc>
        <w:tc>
          <w:tcPr>
            <w:tcW w:w="40" w:type="dxa"/>
            <w:vAlign w:val="bottom"/>
          </w:tcPr>
          <w:p>
            <w:pPr>
              <w:spacing w:after="0"/>
              <w:rPr>
                <w:sz w:val="21"/>
                <w:szCs w:val="21"/>
                <w:color w:val="auto"/>
              </w:rPr>
            </w:pPr>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Risk Factors</w:t>
              </w:r>
            </w:hyperlink>
          </w:p>
        </w:tc>
        <w:tc>
          <w:tcPr>
            <w:tcW w:w="80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FF"/>
                <w:w w:val="92"/>
              </w:rPr>
            </w:pPr>
            <w:hyperlink w:anchor="page32">
              <w:r>
                <w:rPr>
                  <w:rFonts w:ascii="Arial" w:cs="Arial" w:eastAsia="Arial" w:hAnsi="Arial"/>
                  <w:sz w:val="18"/>
                  <w:szCs w:val="18"/>
                  <w:b w:val="1"/>
                  <w:bCs w:val="1"/>
                  <w:color w:val="0000FF"/>
                  <w:w w:val="92"/>
                </w:rPr>
                <w:t>Other Information</w:t>
              </w:r>
            </w:hyperlink>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33">
              <w:r>
                <w:rPr>
                  <w:rFonts w:ascii="Arial" w:cs="Arial" w:eastAsia="Arial" w:hAnsi="Arial"/>
                  <w:sz w:val="18"/>
                  <w:szCs w:val="18"/>
                  <w:b w:val="1"/>
                  <w:bCs w:val="1"/>
                  <w:color w:val="0000FF"/>
                  <w:w w:val="88"/>
                </w:rPr>
                <w:t>Exhibits</w:t>
              </w:r>
            </w:hyperlink>
          </w:p>
        </w:tc>
        <w:tc>
          <w:tcPr>
            <w:tcW w:w="800" w:type="dxa"/>
            <w:vAlign w:val="bottom"/>
            <w:gridSpan w:val="3"/>
          </w:tcPr>
          <w:p>
            <w:pPr>
              <w:spacing w:after="0"/>
              <w:rPr>
                <w:sz w:val="21"/>
                <w:szCs w:val="21"/>
                <w:color w:val="auto"/>
              </w:rPr>
            </w:pPr>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FF"/>
                <w:w w:val="96"/>
              </w:rPr>
            </w:pPr>
            <w:hyperlink w:anchor="page34">
              <w:r>
                <w:rPr>
                  <w:rFonts w:ascii="Arial" w:cs="Arial" w:eastAsia="Arial" w:hAnsi="Arial"/>
                  <w:sz w:val="18"/>
                  <w:szCs w:val="18"/>
                  <w:b w:val="1"/>
                  <w:bCs w:val="1"/>
                  <w:color w:val="0000FF"/>
                  <w:w w:val="96"/>
                </w:rPr>
                <w:t>SIGNATURES</w:t>
              </w:r>
            </w:hyperlink>
          </w:p>
        </w:tc>
        <w:tc>
          <w:tcPr>
            <w:tcW w:w="10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Exhibit 31.1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2013</w:t>
            </w:r>
          </w:p>
        </w:tc>
        <w:tc>
          <w:tcPr>
            <w:tcW w:w="2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6"/>
                <w:szCs w:val="16"/>
                <w:b w:val="1"/>
                <w:bCs w:val="1"/>
                <w:color w:val="auto"/>
                <w:w w:val="96"/>
              </w:rPr>
              <w:t>June 30, 2013</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15,464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$900 and $610</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23,695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3,011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60,600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9,887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 and licenses,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4,078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105,533</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10,643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4,022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23,079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28,106</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F)</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no par value: Shares authorized: 200,000,000 at March 31, 2013 and June 30, 2013; shares issued: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30,498,900 and 30,543,863 at March 31, 2013 and June 30, 2013; shares outstanding: 20,162,397 and 20,208,351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March 31, 2013 and June 30, 2013</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128,540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10,336,503 and 10,335,512 common shares at March 31, 2013 and 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77,427</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3,329</w:t>
            </w:r>
          </w:p>
        </w:tc>
      </w:tr>
      <w:tr>
        <w:trPr>
          <w:trHeight w:val="27"/>
        </w:trPr>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12,884</w:t>
            </w: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r>
      <w:tr>
        <w:trPr>
          <w:trHeight w:val="237"/>
        </w:trPr>
        <w:tc>
          <w:tcPr>
            <w:tcW w:w="80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15,129</w:t>
            </w:r>
          </w:p>
        </w:tc>
      </w:tr>
      <w:tr>
        <w:trPr>
          <w:trHeight w:val="27"/>
        </w:trPr>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3,303</w:t>
            </w: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37"/>
        </w:trPr>
        <w:tc>
          <w:tcPr>
            <w:tcW w:w="80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6,552</w:t>
            </w:r>
          </w:p>
        </w:tc>
      </w:tr>
      <w:tr>
        <w:trPr>
          <w:trHeight w:val="27"/>
        </w:trPr>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37"/>
        </w:trPr>
        <w:tc>
          <w:tcPr>
            <w:tcW w:w="80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67"/>
        </w:trPr>
        <w:tc>
          <w:tcPr>
            <w:tcW w:w="80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22,561,135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20,173,743</w:t>
            </w: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22,561,135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20,173,743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80" w:type="dxa"/>
            <w:vAlign w:val="bottom"/>
            <w:gridSpan w:val="5"/>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income tax benefit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Loss on sale of property and 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Provision for bad debts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 current and long-term</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 current and long-term</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contract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short-term investments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patents and licenses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 of shareholder notes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into treasury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23,011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interest</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income taxes</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Shares issued from treasury for shareholder note receivable</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I “Segment Reporting” of these financial statements for further discussion of the Company's reportable segments.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Company’s corporate offices and manufacturing operations are located in Manitowoc, Wisconsin and an operations facility is located in Plymouth, Wisconsin. The Company leases office space for sales offices located in New Jersey, Chicago and Texas.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2014 or other interim periods.</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condensed consolidated balance sheet at March 31, 2013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2013 filed with the Securities and Exchange Commission on June 14,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2013 and June 30, 2013 were as follows (in thousands):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line="15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3"/>
                <w:szCs w:val="13"/>
                <w:color w:val="auto"/>
              </w:rPr>
            </w:pPr>
          </w:p>
        </w:tc>
        <w:tc>
          <w:tcPr>
            <w:tcW w:w="10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March 31, 2013 and June 30, 2013, the Company’s financial assets described in the table above were measured at cost which approximates fair value due to the short-term nature of the investment (level 1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right="320" w:firstLine="432"/>
        <w:spacing w:after="0" w:line="288" w:lineRule="auto"/>
        <w:rPr>
          <w:sz w:val="20"/>
          <w:szCs w:val="20"/>
          <w:color w:val="auto"/>
        </w:rPr>
      </w:pPr>
      <w:r>
        <w:rPr>
          <w:rFonts w:ascii="Arial" w:cs="Arial" w:eastAsia="Arial" w:hAnsi="Arial"/>
          <w:sz w:val="16"/>
          <w:szCs w:val="16"/>
          <w:color w:val="auto"/>
        </w:rPr>
        <w:t>The Company’s financial instruments consist of cash and cash equivalents, short-term investments, accounts receivable, accounts payable, accrued liabilities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w:t>
      </w:r>
    </w:p>
    <w:p>
      <w:pPr>
        <w:jc w:val="both"/>
        <w:ind w:right="40"/>
        <w:spacing w:after="0" w:line="255" w:lineRule="auto"/>
        <w:rPr>
          <w:sz w:val="20"/>
          <w:szCs w:val="20"/>
          <w:color w:val="auto"/>
        </w:rPr>
      </w:pPr>
      <w:r>
        <w:rPr>
          <w:rFonts w:ascii="Arial" w:cs="Arial" w:eastAsia="Arial" w:hAnsi="Arial"/>
          <w:sz w:val="18"/>
          <w:szCs w:val="18"/>
          <w:color w:val="auto"/>
        </w:rPr>
        <w:t>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OTA, sales-type leases to be financing receivables. Additional disclosures on the credit quality of the Company’s financing receivables are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June 30,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currently no impairment of the receivables for the sales-type leases. The Company incurred $0 of write-offs or credit losses against its OTA sales-type lease receivable balances in fiscal 2013 and for the three months ended June 30, 2013,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2013 and June 30, 2013, the Company had inventory obsolescence reserves of $2.3 million and $2.3 million, respectively.</w:t>
      </w:r>
    </w:p>
    <w:p>
      <w:pPr>
        <w:spacing w:after="0" w:line="1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260" w:type="dxa"/>
            <w:vAlign w:val="bottom"/>
          </w:tcPr>
          <w:p>
            <w:pPr>
              <w:spacing w:after="0"/>
              <w:rPr>
                <w:sz w:val="16"/>
                <w:szCs w:val="16"/>
                <w:color w:val="auto"/>
              </w:rPr>
            </w:pPr>
          </w:p>
        </w:tc>
        <w:tc>
          <w:tcPr>
            <w:tcW w:w="142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components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7,216</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999</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w:t>
            </w:r>
          </w:p>
        </w:tc>
      </w:tr>
      <w:tr>
        <w:trPr>
          <w:trHeight w:val="237"/>
        </w:trPr>
        <w:tc>
          <w:tcPr>
            <w:tcW w:w="80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15,376</w:t>
            </w:r>
          </w:p>
        </w:tc>
      </w:tr>
      <w:tr>
        <w:trPr>
          <w:trHeight w:val="27"/>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contract costs amounted to $2.1 million and $3.0 million as of March 31, 2013 and June 30, 2013,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16"/>
                <w:szCs w:val="16"/>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15,918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10,597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37"/>
        </w:trPr>
        <w:tc>
          <w:tcPr>
            <w:tcW w:w="8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45,239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(18,227)</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27,012</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84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10-15 years</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5840" w:type="dxa"/>
            <w:vAlign w:val="bottom"/>
          </w:tcPr>
          <w:p>
            <w:pPr>
              <w:ind w:left="2680"/>
              <w:spacing w:after="0"/>
              <w:rPr>
                <w:sz w:val="20"/>
                <w:szCs w:val="20"/>
                <w:color w:val="auto"/>
              </w:rPr>
            </w:pPr>
            <w:r>
              <w:rPr>
                <w:rFonts w:ascii="Arial" w:cs="Arial" w:eastAsia="Arial" w:hAnsi="Arial"/>
                <w:sz w:val="18"/>
                <w:szCs w:val="18"/>
                <w:color w:val="auto"/>
              </w:rPr>
              <w:t>3-39 years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84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8"/>
                <w:szCs w:val="18"/>
                <w:color w:val="auto"/>
              </w:rPr>
              <w:t>Shorter of asset life or life of lease</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5840" w:type="dxa"/>
            <w:vAlign w:val="bottom"/>
          </w:tcPr>
          <w:p>
            <w:pPr>
              <w:ind w:left="2680"/>
              <w:spacing w:after="0"/>
              <w:rPr>
                <w:sz w:val="20"/>
                <w:szCs w:val="20"/>
                <w:color w:val="auto"/>
              </w:rPr>
            </w:pPr>
            <w:r>
              <w:rPr>
                <w:rFonts w:ascii="Arial" w:cs="Arial" w:eastAsia="Arial" w:hAnsi="Arial"/>
                <w:sz w:val="18"/>
                <w:szCs w:val="18"/>
                <w:color w:val="auto"/>
              </w:rPr>
              <w:t>2-10 years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Plant equipment</w:t>
            </w:r>
          </w:p>
        </w:tc>
        <w:tc>
          <w:tcPr>
            <w:tcW w:w="584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3-10 years</w:t>
            </w:r>
          </w:p>
        </w:tc>
      </w:tr>
      <w:tr>
        <w:trPr>
          <w:trHeight w:val="27"/>
        </w:trPr>
        <w:tc>
          <w:tcPr>
            <w:tcW w:w="558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4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June 30, 2013, the following amounts were due from the third party finance company in future periods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955</w:t>
            </w:r>
          </w:p>
        </w:tc>
      </w:tr>
      <w:tr>
        <w:trPr>
          <w:trHeight w:val="27"/>
        </w:trPr>
        <w:tc>
          <w:tcPr>
            <w:tcW w:w="10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0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long-term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10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long-term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r>
      <w:tr>
        <w:trPr>
          <w:trHeight w:val="20"/>
        </w:trPr>
        <w:tc>
          <w:tcPr>
            <w:tcW w:w="10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Company records long-term inventory for the non-current portion of its wireless controls finished goods inventory. The inventories are stated at the lower of cost or market value with cost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firstLine="432"/>
        <w:spacing w:after="0" w:line="312" w:lineRule="auto"/>
        <w:rPr>
          <w:sz w:val="20"/>
          <w:szCs w:val="20"/>
          <w:color w:val="auto"/>
        </w:rPr>
      </w:pPr>
      <w:r>
        <w:rPr>
          <w:rFonts w:ascii="Arial" w:cs="Arial" w:eastAsia="Arial" w:hAnsi="Arial"/>
          <w:sz w:val="16"/>
          <w:szCs w:val="16"/>
          <w:color w:val="auto"/>
        </w:rPr>
        <w:t>Other long-term assets include long-term security deposits, prepaid licensing costs, a note receivable, deferred costs for a long-term contract, and deferred financing costs. Other long-term assets include $58,000 and $52,000 of deferred financing costs as of March 31, 2013 and June 30, 2013, respectively. Deferred financing costs related to debt issuances are amortized to interest expense over the life of the related debt issue (5 to 10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Accrued expenses include warranty accruals, accrued wages and benefits, accrued vacation, accrued legal costs, accrued commissions, accrued project costs, sales tax payable and other various unpaid expenses. Accrued expenses include $1.3 million and $1.6 million of accrued reorganization and settlement costs as of March 31, 2013 and June 30, 2013.</w:t>
      </w:r>
    </w:p>
    <w:p>
      <w:pPr>
        <w:spacing w:after="0" w:line="127"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8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149</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287</w:t>
            </w:r>
          </w:p>
        </w:tc>
      </w:tr>
      <w:tr>
        <w:trPr>
          <w:trHeight w:val="27"/>
        </w:trPr>
        <w:tc>
          <w:tcPr>
            <w:tcW w:w="8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183"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3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To determine the selling price in multiple-element arrangements, the Company established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Arial" w:cs="Arial" w:eastAsia="Arial" w:hAnsi="Arial"/>
          <w:sz w:val="17"/>
          <w:szCs w:val="17"/>
          <w:i w:val="1"/>
          <w:iCs w:val="1"/>
          <w:color w:val="auto"/>
        </w:rPr>
        <w:t>Construction-Type and Production-Type Contracts</w:t>
      </w:r>
      <w:r>
        <w:rPr>
          <w:rFonts w:ascii="Arial" w:cs="Arial" w:eastAsia="Arial" w:hAnsi="Arial"/>
          <w:sz w:val="17"/>
          <w:szCs w:val="17"/>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4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1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9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As of June 30, 2013, the Company has a valuation allowance of $7.5 million against its deferred tax assets.</w:t>
      </w:r>
    </w:p>
    <w:p>
      <w:pPr>
        <w:spacing w:after="0" w:line="13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9"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months ended June 30, 2012 and 2013, realized tax benefits from the exercise of stock options were $27,000 and $0,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 for the three months ended June 30, 2012 and 2013 was determined using the assumptions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2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June 30,</w:t>
            </w:r>
          </w:p>
        </w:tc>
      </w:tr>
      <w:tr>
        <w:trPr>
          <w:trHeight w:val="203"/>
        </w:trPr>
        <w:tc>
          <w:tcPr>
            <w:tcW w:w="8200" w:type="dxa"/>
            <w:vAlign w:val="bottom"/>
          </w:tcPr>
          <w:p>
            <w:pPr>
              <w:spacing w:after="0"/>
              <w:rPr>
                <w:sz w:val="17"/>
                <w:szCs w:val="17"/>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80"/>
        </w:trPr>
        <w:tc>
          <w:tcPr>
            <w:tcW w:w="820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5.5 years</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 years</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per Common Share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Basic net (loss) income per common share is computed by dividing net (loss) income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Diluted net (loss) income per common share reflects the dilution that would occur if warrants and employee stock options were exercised. In the computation of diluted net (loss) income per common share, the Company uses the “treasury stock” method for outstanding options, warrants and restricted shares. Diluted net loss per common share is the same as basic net loss per common share for the three months ended June 30, 2012 and 2013, because the effects of potentially dilutive securities are anti-dilutive. The effect of net (loss) income per common share is calculated based upon the following shares (in thousands except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22,561,135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20,173,743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effect of assumed conversion of stock options and warrants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22,561,135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20,173,743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outstanding as of the end of each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2012</w:t>
            </w:r>
          </w:p>
        </w:tc>
        <w:tc>
          <w:tcPr>
            <w:tcW w:w="148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4,272,747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3,459,091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270,788</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4,450,477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3,768,859</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90" w:lineRule="exact"/>
        <w:rPr>
          <w:sz w:val="20"/>
          <w:szCs w:val="20"/>
          <w:color w:val="auto"/>
        </w:rPr>
      </w:pPr>
    </w:p>
    <w:p>
      <w:pPr>
        <w:jc w:val="both"/>
        <w:ind w:right="120" w:firstLine="432"/>
        <w:spacing w:after="0" w:line="342" w:lineRule="auto"/>
        <w:rPr>
          <w:sz w:val="20"/>
          <w:szCs w:val="20"/>
          <w:color w:val="auto"/>
        </w:rPr>
      </w:pPr>
      <w:r>
        <w:rPr>
          <w:rFonts w:ascii="Arial" w:cs="Arial" w:eastAsia="Arial" w:hAnsi="Arial"/>
          <w:sz w:val="16"/>
          <w:szCs w:val="16"/>
          <w:color w:val="auto"/>
        </w:rPr>
        <w:t>The Company purchases its solar panels from multiple suppliers. For the three months ended June 30, 2012, no panel supplier accounted for more than 10% of total cost of revenue. For the three months ended June 30, 2013, purchases from one supplier accounted for 13% of total cost of revenue.</w:t>
      </w:r>
    </w:p>
    <w:p>
      <w:pPr>
        <w:spacing w:after="0" w:line="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For the three months ended June 30, 2012, no customer accounted for more than 10% of revenue. For the three months ended June 30, 2013, one customer accounted for 22% of revenue.</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March 31, 2013, no customer accounted for more than 10% of accounts receivable. As of June 30, 2013, one customer accounted for 23%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In December 2011, the FASB issued ASU No. 2011-11, “</w:t>
      </w:r>
      <w:r>
        <w:rPr>
          <w:rFonts w:ascii="Arial" w:cs="Arial" w:eastAsia="Arial" w:hAnsi="Arial"/>
          <w:sz w:val="18"/>
          <w:szCs w:val="18"/>
          <w:i w:val="1"/>
          <w:iCs w:val="1"/>
          <w:color w:val="auto"/>
        </w:rPr>
        <w:t>Balance Sheet: Disclosures about Offsetting Assets and Liabilities.</w:t>
      </w:r>
      <w:r>
        <w:rPr>
          <w:rFonts w:ascii="Arial" w:cs="Arial" w:eastAsia="Arial" w:hAnsi="Arial"/>
          <w:sz w:val="18"/>
          <w:szCs w:val="18"/>
          <w:color w:val="auto"/>
        </w:rPr>
        <w:t>” ASU 2011-11 requires entities to disclose information about offsetting and related arrangements of financial instruments and derivative instruments and will be applied retrospectively for all comparative periods presented. ASU 2011-11 is effective for annual reporting periods beginning on or after January 1, 2013, and interim periods within those annual periods. The adoption of ASU 2011-11 did not have a significant impact on the Company’s consolidated financial statements.</w:t>
      </w:r>
    </w:p>
    <w:p>
      <w:pPr>
        <w:spacing w:after="0" w:line="134"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October 2012, the FASB issued ASU No.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which amends a wide variety of Topics in the FASB Accounting Standards Codification ("Codification" or "ASC"). The amendments in ASU No. 2012-04 represent changes to clarify the Codification, correct unintended application of guidance, or make minor improvements to the Codification that are not expected to have a significant effect on current accounting practice. Additionally, the amendments make the Codification easier to understand and the fair value measurement guidance easier to apply by eliminating inconsistencies and providing needed clarifications. Amendments in ASU 2012-04 that do not provide transition guidance were effective upon issuance for public entities. Amendments that are subject to the transition guidance are effective for fiscal periods beginning after December 15, 2012. The adoption of ASU 2012-04 did not have a significant impact on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three months ended June 30, 2012 and 2013, the Company purchased goods and services from an entity in the amounts of $40,000 and $0, respectively, for which a director of the Company serves as a member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2013 and June 30, 2013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280" w:type="dxa"/>
            <w:vAlign w:val="bottom"/>
          </w:tcPr>
          <w:p>
            <w:pPr>
              <w:spacing w:after="0"/>
              <w:rPr>
                <w:sz w:val="16"/>
                <w:szCs w:val="16"/>
                <w:color w:val="auto"/>
              </w:rPr>
            </w:pPr>
          </w:p>
        </w:tc>
        <w:tc>
          <w:tcPr>
            <w:tcW w:w="142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note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3,724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mortgage note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Debenture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710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5,856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3,405</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Company has a credit agreement (Credit Agreement) with JP Morgan Chase Bank, N.A. (JP Morgan). The Credit Agreement provides for a revolving credit facility (Credit Facility) that matures on August 30, 2013.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June 30, 2013, the Company had outstanding letters of credit totaling $1.7 million, primarily for securing collateral requirements under equipment operating leases. There were no loans outstanding under the Credit Agreement as of March 31, 2013 or June 30, 2013. In February 2013, the Company completed an amendment to the Credit Agreement making certain changes to the financial covenants, which are described below. In June 2013, due to the timing of the closing of the Harris acquisition, the Company completed an amendment to extend the maturity date to August 30, 2013.</w:t>
      </w:r>
    </w:p>
    <w:p>
      <w:pPr>
        <w:spacing w:after="0" w:line="13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Credit Agreement, as amended, requires the Company to maintain (i) a ratio of total liabilities to tangible net worth not to exceed 0.50 to 1.00 as of the last day of any fiscal quarter, (ii) average daily unencumbered liquidity of at least $20.0 million during each period of three consecutive business days and</w:t>
      </w:r>
    </w:p>
    <w:p>
      <w:pPr>
        <w:ind w:right="20" w:firstLine="8"/>
        <w:spacing w:after="0" w:line="25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of at least $1.0 million during each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was not in compliance with the EBITDA covenant in the Credit Agreement, as amended, as of June 30, 2013. The Company expects to receive a waiver to the EBITDA covenant noncompliance, and to establish a revised EBITDA requirement, as part of its renewal of the Credit Agreement, which is expected to be completed before the end of August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Credit Agreement is secured by a first priority security interest in the Company’s accounts receivable, inventory and general intangibles, and a second priority security interest in the Company’s equipment and fixtures. All OTAs, PPAs, leases, supply agreements and/or similar agreements relating to solar PV and wind turbine systems or facilities, as well as all accounts receivable and assets of the Company related to the foregoing, are excluded from these liens, except to the extent the Company elects to finance any such assets with JP Morgan.</w:t>
      </w:r>
    </w:p>
    <w:p>
      <w:pPr>
        <w:spacing w:after="0" w:line="117" w:lineRule="exact"/>
        <w:rPr>
          <w:sz w:val="20"/>
          <w:szCs w:val="20"/>
          <w:color w:val="auto"/>
        </w:rPr>
      </w:pPr>
    </w:p>
    <w:p>
      <w:pPr>
        <w:jc w:val="both"/>
        <w:ind w:right="20" w:firstLine="432"/>
        <w:spacing w:after="0" w:line="255" w:lineRule="auto"/>
        <w:rPr>
          <w:sz w:val="20"/>
          <w:szCs w:val="20"/>
          <w:color w:val="auto"/>
        </w:rPr>
      </w:pPr>
      <w:r>
        <w:rPr>
          <w:rFonts w:ascii="Arial" w:cs="Arial" w:eastAsia="Arial" w:hAnsi="Arial"/>
          <w:sz w:val="18"/>
          <w:szCs w:val="18"/>
          <w:color w:val="auto"/>
        </w:rPr>
        <w:t>Borrowings under the Credit Agreement bear interest based on LIBOR plus an applicable margin (the Applicable Margin), which ranges from 2.0% to 3.0% per annum based on the Company's debt service coverage ratio from time to time. The Company must pay a fee ranging between 0.25% and 0.50% per annum on the average daily unused amount of the Credit Facility (with the amount of such fee based on the Company's debt service coverage ratio from time to time) and a fee in the amount of the Applicable Margin on the daily average face amount of undrawn issued letters of credit. The fee on unused amounts is waived if the Company or its affiliates maintain funds on deposit with JP Morgan or its affiliates above a specified amount. The deposit threshold requirement was not met as of June 30,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Company has a credit agreement with JP Morgan that provided up to $5.0 million that was immediately available to fund completed customer contracts under its OTA finance program. The Company had one year from the date of the commitment to borrow under the credit agreement, which expired on September 30, 2012 for new borrowings. As of June 30, 2013, the Company had $1.6 million outstanding under the credit agreement. There were no new borrowings during fiscal 2013. The loan amount is collateralized by the OTA-related equipment and the expected future monthly payments under the supporting 37 individual OTA customer contracts. The current loan amount under the credit agreement bears interest at LIBOR plus 4% and matures in December 2016. In February 2013, the Company completed an amendment to the credit agreement making certain changes to the financial covenants requiring the Company to maintain (i) average daily unencumbered liquidity of at least $20.0 million during each period of three consecutive business days and (ii) EBITDA of at least $1.0 million during each fiscal quarter. The Company was not in compliance with the EBITDA covenant, as amended, in the credit agreement as of June 30, 2013. The Company expects to receive a waiver to the EBITDA covenant noncompliance, and to establish a revised EBITDA requirement, as part of its renewal of the Credit Agreement, which is expected to be completed before the end of August 2013.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The income tax provision for the three months ended June 30, 2013 was determined by applying an estimated annual effective tax rate of (1.7)% to loss before taxes. The estimated effective income tax rate was determined by applying statutory tax rates to pretax loss adjusted for certain permanent book to tax differences and tax credits. As of June 30, 2013, the Company has recorded a valuation allowance of $7.5 million, equaling the net deferred tax asset due to the uncertainty of its realization value in the future. ASC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While the Company has positive evidence with a strong backlog of orders, the Company has determined that the current negative evidence outweighs the current positive evidence and has concluded that the conservative approach is to record a valuation allowance. The estimated effective income tax rate was determined by applying statutory tax rates to pretax loss adjusted for certain permanent book to tax differences and tax credits.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160" w:type="dxa"/>
            <w:vAlign w:val="bottom"/>
            <w:gridSpan w:val="2"/>
          </w:tcPr>
          <w:p>
            <w:pPr>
              <w:ind w:left="8800"/>
              <w:spacing w:after="0"/>
              <w:rPr>
                <w:sz w:val="20"/>
                <w:szCs w:val="20"/>
                <w:color w:val="auto"/>
              </w:rPr>
            </w:pPr>
            <w:r>
              <w:rPr>
                <w:rFonts w:ascii="Arial" w:cs="Arial" w:eastAsia="Arial" w:hAnsi="Arial"/>
                <w:sz w:val="14"/>
                <w:szCs w:val="14"/>
                <w:b w:val="1"/>
                <w:bCs w:val="1"/>
                <w:color w:val="auto"/>
              </w:rPr>
              <w:t>2012</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162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162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162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(53.0)%</w:t>
            </w:r>
          </w:p>
        </w:tc>
        <w:tc>
          <w:tcPr>
            <w:tcW w:w="0" w:type="dxa"/>
            <w:vAlign w:val="bottom"/>
          </w:tcPr>
          <w:p>
            <w:pPr>
              <w:spacing w:after="0"/>
              <w:rPr>
                <w:sz w:val="1"/>
                <w:szCs w:val="1"/>
                <w:color w:val="auto"/>
              </w:rPr>
            </w:pP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contingency reserve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162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1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60" w:firstLine="432"/>
        <w:spacing w:after="0" w:line="279"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$70,000 were recorded in fiscal 2013 as a reduction in taxes payable and a credit to additional paid in capital based on the amount that was utilized during the year. Benefits of $0 were recorded for the three months ended June 30, 2013.</w:t>
      </w:r>
    </w:p>
    <w:p>
      <w:pPr>
        <w:spacing w:after="0" w:line="117"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As of June 30, 2013, the Company had federal net operating loss carryforwards of approximately $11.8 million, of which $3.0 million are associated with the exercise of NQSOs that have not yet been recognized by the Company. The Company also has state net operating loss carryforwards of approximately $11.2 million, of which $4.1 million are associated with the exercise of NQSOs. The Company also has federal tax credit carryforwards of approximately $1.5 million and state tax credits of $0.5 million. As of June 30, 2013, the Company has recorded a valuation allowance of $7.5 million, equaling the net deferred tax asset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June 30, 2013, the balance of gross unrecognized tax benefits was approximately $0.2 million, all of which would reduce the Company’s effective tax rate if recognized. The Company does not expect this amount to change during fiscal 2014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three months ended June 30, 2012 and 2013, the Company had the following unrecognized tax benefit activity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9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r>
      <w:tr>
        <w:trPr>
          <w:trHeight w:val="276"/>
        </w:trPr>
        <w:tc>
          <w:tcPr>
            <w:tcW w:w="7900" w:type="dxa"/>
            <w:vAlign w:val="bottom"/>
          </w:tcPr>
          <w:p>
            <w:pPr>
              <w:spacing w:after="0"/>
              <w:rPr>
                <w:sz w:val="23"/>
                <w:szCs w:val="23"/>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3"/>
                <w:szCs w:val="23"/>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Unrecognized tax benefits as of beginning of period</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Reduction due to lapse of statute of limitations</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end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Company leases vehicles and equipment under operating leases expiring at various dates through 2021. Rent expense under operating leases was $0.5 million and $0.3 million for the three months ended June 30, 2012 and 2013, respectively. The Company enters into non-cancellable purchase commitments for certain inventory items in order to secure better pricing and ensure materials are on hand to meet anticipated order volume and customer expectations, as well as for capital expenditures. As of June 30, 2013, the Company had entered into $9.4 million of purchase commitments related to fiscal 2014, including $1.0 million for operating lease commitments and $5.7 million for inventory purchase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the loan program. The Company had the following shares issued from treasury for cash purchases as of March 31, 2013 and for the three months ended June 30, 2013: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 Value of</w:t>
            </w:r>
          </w:p>
        </w:tc>
        <w:tc>
          <w:tcPr>
            <w:tcW w:w="220" w:type="dxa"/>
            <w:vAlign w:val="bottom"/>
          </w:tcPr>
          <w:p>
            <w:pPr>
              <w:spacing w:after="0"/>
              <w:rPr>
                <w:sz w:val="14"/>
                <w:szCs w:val="14"/>
                <w:color w:val="auto"/>
              </w:rPr>
            </w:pPr>
          </w:p>
        </w:tc>
        <w:tc>
          <w:tcPr>
            <w:tcW w:w="12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through March 31, 2013</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150,408</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$1.66-4.04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2013</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990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 of June 30, 2013</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151,398</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$1.66 - 4.04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97,264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June 30, 2013, the Company had repurchased 3,002,200 shares of common stock at a cost of $6,742,000 under the program. The Company does not intend to repurchase common stock under this program in the near-term.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RESTRICTED SHARES AND WARRANTS</w:t>
      </w:r>
    </w:p>
    <w:p>
      <w:pPr>
        <w:spacing w:after="0" w:line="9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grants stock options and restricted stock awards under its 2003 Stock Option and 2004 Stock and Incentive Awards Plans (the Plans). Under the terms of the Plans, the Company has reserved 13,500,000 shares for issuance to key employees, consultants and directors. The options generally vest and become exercisable ratably between 1 month and 5 years although longer vesting periods have been used in certain circumstances. Exercisability of the options granted to employees are generally contingent on the employees’ continued employment and non-vested options are subject to forfeiture if employment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0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1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June 2012, the Compensation Committee of the Board of Directors approved the issuance of restricted shares under the Plans to key employees to provide an opportunity for such employees to earn long-term equity incentive awards.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For the three months ended June 30, 2013, an aggregate of 186,788 of restricted shares were granted valued at a price per share between $2.41 and $2.42, which was the closing market price as of each grant date.</w:t>
      </w:r>
    </w:p>
    <w:p>
      <w:pPr>
        <w:spacing w:after="0" w:line="12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 the three months ended June 30, 2012 and 2013, the Company issued 13,547 and 13,714 shares under the 2004 Stock and Incentive Awards Plan to certain non-employee directors who elected to receive stock awards in lieu of cash compensation. The shares were valued at $2.03 per share and $2.41 per share, respectively, the closing market prices as of the issuance dates. Additionally, during the three months ended June 30, 2012, the Company issued 3,000 shares to a consultant as part of a consulting compensation agreement. The shares were valued at $2.03 per share, the closing market price as of the issuance date.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6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As of June 30, 2013, compensation cost related to non-vested common stock-based compensation, excluding restricted share awards, amounted to $2.5 million over a remaining weighted average expected term of 6.5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1,632,778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3,312,523</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(305,544)</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305,544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(186,788)</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142,476</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(142,476)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2.57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1,275,458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3,459,091</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3.37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556,937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2013</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1,475,356</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181,506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$2.48 as of June 28, 2013.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939"/>
        </w:trPr>
        <w:tc>
          <w:tcPr>
            <w:tcW w:w="9940" w:type="dxa"/>
            <w:vAlign w:val="bottom"/>
            <w:gridSpan w:val="2"/>
          </w:tcPr>
          <w:p>
            <w:pPr>
              <w:ind w:left="440"/>
              <w:spacing w:after="0"/>
              <w:rPr>
                <w:sz w:val="20"/>
                <w:szCs w:val="20"/>
                <w:color w:val="auto"/>
              </w:rPr>
            </w:pPr>
            <w:r>
              <w:rPr>
                <w:rFonts w:ascii="Arial" w:cs="Arial" w:eastAsia="Arial" w:hAnsi="Arial"/>
                <w:sz w:val="18"/>
                <w:szCs w:val="18"/>
                <w:color w:val="auto"/>
              </w:rPr>
              <w:t>A summary of the status of the Company’s outstanding non-vested stock options as of June 30, 2013 was as follows:</w:t>
            </w:r>
          </w:p>
        </w:tc>
        <w:tc>
          <w:tcPr>
            <w:tcW w:w="14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March 31, 2013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1,747,805</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305,544</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(226,521)</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(142,476)</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30, 2013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1,684,352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first three months of fiscal 2014, the Company granted restricted shares as follows (which are included in the above stock plan activity tables):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2013</w:t>
            </w:r>
          </w:p>
        </w:tc>
        <w:tc>
          <w:tcPr>
            <w:tcW w:w="7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105,000</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186,788</w:t>
            </w:r>
          </w:p>
        </w:tc>
      </w:tr>
      <w:tr>
        <w:trPr>
          <w:trHeight w:val="27"/>
        </w:trPr>
        <w:tc>
          <w:tcPr>
            <w:tcW w:w="9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7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7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(6,250)</w:t>
            </w:r>
          </w:p>
        </w:tc>
      </w:tr>
      <w:tr>
        <w:trPr>
          <w:trHeight w:val="27"/>
        </w:trPr>
        <w:tc>
          <w:tcPr>
            <w:tcW w:w="9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June 30, 2013</w:t>
            </w: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270,788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$1.80-2.42</w:t>
            </w:r>
          </w:p>
        </w:tc>
      </w:tr>
      <w:tr>
        <w:trPr>
          <w:trHeight w:val="27"/>
        </w:trPr>
        <w:tc>
          <w:tcPr>
            <w:tcW w:w="9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for three months ended June 30, 2013</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22,683</w:t>
            </w:r>
          </w:p>
        </w:tc>
      </w:tr>
      <w:tr>
        <w:trPr>
          <w:trHeight w:val="27"/>
        </w:trPr>
        <w:tc>
          <w:tcPr>
            <w:tcW w:w="90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June 30, 2013, the amount of deferred stock-based compensation related to grants of restricted shares, to be recognized over a remaining period of 4.25 years, was approximately $0.6 million.</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2013 or during the three months ended June 30, 2013.</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outstanding warrants at June 30, 2013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12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Fiscal 2015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Fiscal 2015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Revenues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jc w:val="right"/>
              <w:ind w:right="1014"/>
              <w:spacing w:after="0"/>
              <w:rPr>
                <w:sz w:val="20"/>
                <w:szCs w:val="20"/>
                <w:color w:val="auto"/>
              </w:rPr>
            </w:pPr>
            <w:r>
              <w:rPr>
                <w:rFonts w:ascii="Arial" w:cs="Arial" w:eastAsia="Arial" w:hAnsi="Arial"/>
                <w:sz w:val="14"/>
                <w:szCs w:val="14"/>
                <w:b w:val="1"/>
                <w:bCs w:val="1"/>
                <w:color w:val="auto"/>
              </w:rPr>
              <w:t>Operating Income (Loss)</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For the Three Months Ended 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right"/>
              <w:ind w:right="614"/>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343"/>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1"/>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15,890</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5"/>
          </w:tcPr>
          <w:p>
            <w:pPr>
              <w:jc w:val="center"/>
              <w:ind w:left="1077"/>
              <w:spacing w:after="0"/>
              <w:rPr>
                <w:sz w:val="20"/>
                <w:szCs w:val="20"/>
                <w:color w:val="auto"/>
              </w:rPr>
            </w:pPr>
            <w:r>
              <w:rPr>
                <w:rFonts w:ascii="Arial" w:cs="Arial" w:eastAsia="Arial" w:hAnsi="Arial"/>
                <w:sz w:val="14"/>
                <w:szCs w:val="14"/>
                <w:b w:val="1"/>
                <w:bCs w:val="1"/>
                <w:color w:val="auto"/>
                <w:w w:val="86"/>
              </w:rPr>
              <w:t>Total Assets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right"/>
              <w:ind w:right="1154"/>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June 30, 2013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80"/>
        </w:trPr>
        <w:tc>
          <w:tcPr>
            <w:tcW w:w="3780" w:type="dxa"/>
            <w:vAlign w:val="bottom"/>
            <w:vMerge w:val="restart"/>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58,627</w:t>
            </w:r>
          </w:p>
        </w:tc>
        <w:tc>
          <w:tcPr>
            <w:tcW w:w="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56,655</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34,131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34,827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102,097</w:t>
            </w: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105,533</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SUBSEQUENT EVENTS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July 1, 2013, the Company completed its acquisition of Harris Manufacturing, Inc. and Harris LED, LLC. The purchase price was paid through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$5.0 million in cash, the issuance of an unsecured subordinated three-year promissory note in the principal amount of $3.0 million bearing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at the rate of 4% per annum and 856,997 shares of the Company's unregistered common stock, representing a fair value on the date of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The purchase price is subject to potential post-closing date adjustments for net working capital and certain other items. In addition,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pay up to an additional $1.0 million in shares of unregistered common stock upon Harris' post-closing achievement of certain revenue milestones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calendar year 2013 and/or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2013 Annual Report filed on Form 10-K for the fiscal year ended March 31, 2013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Management Change and Strategic Refocus</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September 2012, our Board of Directors elected John H. Scribante as our new Chief Executive Officer. Prior to his appointment, Mr. Scribante was the President of our Orion Engineered Systems division and had also served in executive sales management positions. As a result of this management change, we refocused our strategic initiatives to include: (i) enhancing and refocusing our sales organization with an emphasis on expanding our direct sales efforts;</w:t>
      </w:r>
    </w:p>
    <w:p>
      <w:pPr>
        <w:ind w:right="160" w:firstLine="8"/>
        <w:spacing w:after="0" w:line="302"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streamlining our product development initiatives with a focus on activities that will deliver the greatest return on our investment and disciplined product control releases versus a process of continuous development; and (iii) cost reduction initiatives to deliver profitability. Our strategic refocus delivered immediate financial results during our fiscal 2013 second half resulting in revenue growth versus our fiscal 2012 second half and a return to profitability.</w:t>
      </w:r>
    </w:p>
    <w:p>
      <w:pPr>
        <w:spacing w:after="0" w:line="10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During fiscal 2013, we recorded operating expenses related to reorganization costs of $2.1 million, which included $1.9 million to general and administrative expenses and $0.2 million to sales and marketing expenses. Additionally, we recorded a $4.1 million non-cash income tax expense to establish a valuation allowance against our deferred tax assets.</w:t>
      </w:r>
    </w:p>
    <w:p>
      <w:pPr>
        <w:spacing w:after="0" w:line="12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part of our cost reduction initiatives, we identified cost containment initiatives which we believe will result in annualized cost reductions of approximately $5.2 million. During the fiscal 2013 second half, we implemented all of these cost reduction initiatives, including a reduction in headcount of approximately 18%, the termination of consulting agreements, material and component cost savings in our HIF lighting products, and discretionary spending reductions. We have also identified an additional $2.0 million of annualized cost containment initiatives which we are working towards implementing in the future. These new initiatives will require some time to implement due to contractual obligations, engineering review, production planning and other analysis related to ensuring minimal business interruption and risk. There is no guarantee that we will be able to implement these cost containment opportunities and recognize any of these additional cost savings.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noted above, we are actively expanding our direct sales force. During fiscal 2013, we began to increase our in-market sales force and expect to continue to increase our sales headcount during the remainder of our fiscal 2014 year. We expect that these additional costs will increase our overall sales and marketing expense in fiscal 2014 by approximately $2.3 million and that the net benefit of these additions and our implemented cost containment initiatives will result in reduced annual expense of approximately $2.9 million.</w:t>
      </w:r>
    </w:p>
    <w:p>
      <w:pPr>
        <w:spacing w:after="0" w:line="13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July 1, 2013, we completed the acquisition of the equity interests of Harris Manufacturing, Inc. and Harris LED, LLC., or collectively Harris. Harris engineers, designs, sources and manufactures energy efficient lighting systems, including fluorescent and LED lighting solutions, and day-lighting products. We expect the Harris acquisition to expand our product lines, increase our sales force and provide growth opportunities into markets where we have not had a strong presence, specifically, new construction, retail store fronts, commercial office and government. The initial purchase price for the transaction was $10.1 million, subject to adjustments for net working capital. The purchase price was paid in a combination of $5.0 million of cash, $3.0 million in a three-year unsecured subordinated note bearing interest at the rate of 4% per annum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856,997 shares of unregistered common stock, representing a fair value on the date of issuance of $2.1 million. Additionally, we may pay up to an additional $1.0 million in shares of our common stock upon Harris’ post-closing achievement of certain revenue milestones in calendar year 2013 and/or 2014. Harris had unaudited revenue of approximately $14.5 million and unaudited net income of approximately $0.9 million during the year ended December 31, 2012. We expect the transaction to be accretive to our future earnings during fiscal 2014. Our disclosures and comments that follow, do not include the impact or the anticipated impact of the acquisition of Harris, other than as set forth under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52"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typically generate the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more recently introduced new products of our light emitting diode, or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and exterior lighting strategy in the future. We believe that our new LED product offerings also present new opportunities in the hospitality, health care, education, office and general retail markets, in addition to strengthening our position as an energy management leader in the commercial, industrial and food service markets.</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sold and installed more than 2,574,251 of our HIF and LED lighting systems in over 9,379 facilities from December 1, 2001 through June 30, 2013. We have sold our products to 152 Fortune 500 companies, many of which have installed our HIF lighting systems in multiple facilities. Our top direct customers by revenue in fiscal 2013 included Coca-Cola Enterprises, Inc., PepsoCo Inc., U.S. Foodservice, SYSCO Corp., Quad Graphics, Inc. and Wakefern Food Corporation.</w:t>
      </w:r>
    </w:p>
    <w:p>
      <w:pPr>
        <w:spacing w:after="0" w:line="13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2013, as “fiscal 2013”, and our current fiscal year, which will end on March 31, 2014, as “fiscal 2014.” Our fiscal first quarter of each fiscal year ends on June 30, our fiscal second quarter ends on September 30, our fiscal third quarter ends on December 31 and our fiscal fourth quarter ends on March 31.</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Due to a difficult economic environment, especially as it has impacted capital equipment manufacturers, our results for fiscal 2013 and the first quarter of fiscal 2014 continued to be adversely affected by lengthened customer sales cycles and sluggish customer capital spending. To address these difficult economic conditions, we implemented several cost reduction initiatives during the fiscal 2013 second half as described above. During fiscal 2014, we are aggressively focused on additional cost containment initiatives related to material product costs, service margin expansion and implementing lean manufacturing methodologies to reduce production costs in our manufacturing facility.</w:t>
      </w:r>
    </w:p>
    <w:p>
      <w:pPr>
        <w:spacing w:after="0" w:line="13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In response to the constraints on our customers’ capital spending budgets, we have been promoting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The majority of these sales occur on a non-recourse basis. During fiscal 2013 and the first quarter of fiscal 2014, approximately 73.3% and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87.2%, respectively, of our total completed OTA contracts were financed directly through third party equipment finance companies. In the future, we intend to continue to utilize third party finance companies to fund the majority of our OTA contracts. In future periods, the number of customers who choose to purchase our systems by using our OTA financing program will be dependent upon our relationships with third party equipment finance companies, the extent to which customers' choose to use their own capital budgets and the extent to which customers' choose to enter into finance contracts.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Despite these recent economic challenges, we remain optimistic about our near-term and long-term financial performance. Our near-term optimism is based upon our return to profitability during our fiscal 2013 second half, the significant improvement in our fiscal 2014 first quarter performance compared to our fiscal 2013 first quarter performance, our investments into our retail sales force and our intentions to continue to expand our retail sales force during the remainder of fiscal 2014, our cost containment initiatives and opportunities, the increasing volume of unit sales of our new products, specifically our exterior HIF and LED fixtures, and the completion of our acquisition of Harris and the increased sales market opportunities that Harris provides. Our long-term optimism is based upon the considerable size of the existing market opportunity for lighting retrofits, including the new market opportunities in commercial office, government and retail that Harris provides, the continued development of our new products and product enhancements, including our new LED product offerings, the opportunity for additional revenue from sales of renewable technologies through our Orion Engineered Systems Division, our refocused management efforts which has resulted in our cost reduction initiatives, and the opportunity to increase gross margins through the leverage of our under-utilized manufacturing capacity.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fiscal year ended March 31, 2013 provides additional information about our business and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Our wholesale channels, which includes our value-added resellers and electrical contractors, accounted for approximately 59% of our total revenue in fiscal 2013, not taking into consideration our renewable technologies revenue generated through our Orion Engineered Systems division. During the first three months of fiscal 2014, wholesale revenues accounted for approximately 62% of our total revenue, not taking into consideration our renewable technologies revenue generated through our Orion Engineered Systems division, compared to 62% for the first three months of fiscal 2013.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 During the fiscal 2013 second half, we re-engineered our telemarketing call center for the purpose of improving the quality of leads and increasing sales closing ratios. We also continued the expansion of a direct in-market sales force and intend to continue increasing the number of direct sales personnel during fiscal 2014.</w:t>
      </w:r>
    </w:p>
    <w:p>
      <w:pPr>
        <w:spacing w:after="0" w:line="13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third party finance companies in exchange for cash and future payments.</w:t>
      </w:r>
    </w:p>
    <w:p>
      <w:pPr>
        <w:spacing w:after="0" w:line="126" w:lineRule="exact"/>
        <w:rPr>
          <w:sz w:val="20"/>
          <w:szCs w:val="20"/>
          <w:color w:val="auto"/>
        </w:rPr>
      </w:pPr>
    </w:p>
    <w:p>
      <w:pPr>
        <w:jc w:val="both"/>
        <w:ind w:right="280" w:firstLine="432"/>
        <w:spacing w:after="0" w:line="342" w:lineRule="auto"/>
        <w:rPr>
          <w:sz w:val="20"/>
          <w:szCs w:val="20"/>
          <w:color w:val="auto"/>
        </w:rPr>
      </w:pPr>
      <w:r>
        <w:rPr>
          <w:rFonts w:ascii="Arial" w:cs="Arial" w:eastAsia="Arial" w:hAnsi="Arial"/>
          <w:sz w:val="16"/>
          <w:szCs w:val="16"/>
          <w:color w:val="auto"/>
        </w:rPr>
        <w:t>In fiscal 2013, we recognized $6.7 million of revenue from 128 completed OTA contracts. For the three months ended June 30, 2013, we recognized $1.6 million of revenue from 24 completed contracts compared to $1.8 million from 19 completed contracts during the three months ended June 30, 2012.</w:t>
      </w:r>
    </w:p>
    <w:p>
      <w:pPr>
        <w:spacing w:after="0" w:line="7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2013, we recognized $0.7 million of revenue from completed PPAs.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first three months of fiscal 2014, we recognized $0.2 million of revenue from completed PPAs. As of June 30, 2013, we had signed one customer to two separate PPAs representing future potential discounted revenue streams of $2.1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June 30, 2013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Beyond</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expected future discounted revenue from PPA's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w:t>
            </w:r>
          </w:p>
        </w:tc>
      </w:tr>
    </w:tbl>
    <w:p>
      <w:pPr>
        <w:spacing w:after="0" w:line="200" w:lineRule="exact"/>
        <w:rPr>
          <w:sz w:val="20"/>
          <w:szCs w:val="20"/>
          <w:color w:val="auto"/>
        </w:rPr>
      </w:pPr>
    </w:p>
    <w:p>
      <w:pPr>
        <w:spacing w:after="0" w:line="32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For sales of our solar PV systems, which are governed by customer contracts that require us to deliver functioning solar power systems and are generally completed within three to 15 months from the start of project construction,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28" w:lineRule="exact"/>
        <w:rPr>
          <w:sz w:val="20"/>
          <w:szCs w:val="20"/>
          <w:color w:val="auto"/>
        </w:rPr>
      </w:pPr>
    </w:p>
    <w:p>
      <w:pPr>
        <w:ind w:right="260" w:firstLine="432"/>
        <w:spacing w:after="0" w:line="290"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1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solar PV projects and multi-facility roll-out projects. Our top 10 customers accounted for approximately 34% and 45% of our total revenue for the first three months of fiscal 2013 and fiscal 2014, respectively. No customer accounted for more than 10% of our total revenue in the first three months of fiscal 2013. One customer accounted for 22% of our total revenue in the first three months of fiscal 2014. To the extent that multi-facility roll-out projects and large solar PV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35"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 (iii) the rate at which we expand our direct sales force; (iv) our ability to realize revenue from our services; (v) market conditions; (vi) the level of our wholesale sales; (vii) our execution of our sales process; (viii) our ability to compete in a highly competitive market and our ability to respond successfully to market competition; (ix) the selling price of our products and services;</w:t>
      </w:r>
    </w:p>
    <w:p>
      <w:pPr>
        <w:spacing w:after="0" w:line="2" w:lineRule="exact"/>
        <w:rPr>
          <w:sz w:val="20"/>
          <w:szCs w:val="20"/>
          <w:color w:val="auto"/>
        </w:rPr>
      </w:pPr>
    </w:p>
    <w:p>
      <w:pPr>
        <w:ind w:right="42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capital investment levels by our customers and prospects; and (xi) customer sales and budget cycles. As a result, our total revenue may be subject to quarterly variations and our total revenue for any particular fiscal quarter may not be indicative of future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and OTA contracts received for our lighting and solar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June 30, 2013, we had a backlog of firm purchase orders of approximately $18.6 million, which included $16.5 million of solar PV orders. As of March 31, 2013, we had a backlog of firm purchase orders of approximately $21.9 million, which included $20.2 million of solar PV orders. We currently expect approximately $16.6 million of our June 30, 2013 backlog to be recognized as revenue in fiscal 2014 and the remainder in future years. We generally expect this level of firm purchase order backlog related to HIF lighting systems to be recognized as revenue within the following quarter. We generally expect our firm purchase order backlog related to solar PV systems to be recognized within the following three to 15 months from the time construction of the system begins, although during fiscal 2012, we received a $20.2 million single order for which the solar PV system construction began during our fiscal 2014 first quarter. As a result of the decreased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w:t>
      </w:r>
    </w:p>
    <w:p>
      <w:pPr>
        <w:spacing w:after="0" w:line="35" w:lineRule="exact"/>
        <w:rPr>
          <w:sz w:val="20"/>
          <w:szCs w:val="20"/>
          <w:color w:val="auto"/>
        </w:rPr>
      </w:pPr>
    </w:p>
    <w:p>
      <w:pPr>
        <w:ind w:right="60" w:firstLine="8"/>
        <w:spacing w:after="0" w:line="267"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electrical 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through the recycling of old scrap fixtures through our facility which contain similar content of aluminum when compared to new fixtures. We also purchase many of our electrical components through forward purchase contracts. We buy most of our specialty reflective aluminum from a single supplier. We purchase our solar panels from multiple suppliers for sales of our solar generating systems. For the three months ended June 30, 2012, no panel supplier accounted for more than 10% of total cost of revenue. For the three months ended June 30, 2013, purchases from one supplier accounted for 13% of total cost of revenue. Our cost of revenue from OTA projects is recorded upon customer acceptance and acknowledgment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2013, we reduced indirect headcount as part of our cost containment initiative. During fiscal 2014, we are aggressively focused on cost containment initiatives related to material product costs, service margin expansion and the implementation of lean manufacturing methodologies to reduce production costs in our manufacturing facility.</w:t>
      </w:r>
    </w:p>
    <w:p>
      <w:pPr>
        <w:spacing w:after="0" w:line="12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has been, and will continue to be, affected by the relative levels of our total revenue and our total cost of revenue,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our gross profit may be subject to quarterly variation. Our gross profit as a percentage of total revenue, or gross margin, is affected by a number of factors, including: (i) our level of solar PV sales which have greater margin volatility due to recent decreases in product costs versus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12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Our operating expenses consist of: (i) general and administrative expenses; (ii) sales and marketing expenses; and (iii)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and development expenses. Personnel related costs are our largest operating expense. In fiscal 2013, we decreased headcount as part of our cost containment initiatives. In fiscal 2014, we expect to increase headcount in our sales areas for direct sales employees.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13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Our sales and marketing expenses consist primarily of costs for: (i) salaries and related personnel expenses, including stock-based compensation charges related to our sales and marketing organization; (ii) internal and external sales commissions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bonuses; (iii) travel, lodging and other out-of-pocket expenses associated with our selling efforts; (iv) marketing programs; (v) pre-sales costs; (vi) bad debt; and (vii) other related overhead.</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back half of fiscal 2013, we initiated cost containment efforts that reduced expenses related to compensation, consulting and other discretionary spending. We expense all pre-sale costs incurred in connection with our sales process prior to obtaining a purchase order. These pre-sale costs may reduce our net income in a given period prior to recognizing any corresponding revenue. We intend to continue to invest in the expansion of our in-market direct sales force during fiscal 2014. We also intend to continue investing in our research and development of new and enhanced energy management products and services.</w:t>
      </w:r>
    </w:p>
    <w:p>
      <w:pPr>
        <w:spacing w:after="0" w:line="134"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We recognize compensation expense for the fair value of our stock option and restricted stock awards granted over their related vesting period. We recognized $0.4 million and $0.4 million of compensation expense for the first three months of fiscal 2013 and fiscal 2014, respectively. As a result of prior option and restricted stock grants, we expect to recognize an additional $3.1 million of stock-based compensation over a weighted average period of approximately six years, including $0.8 million in the last nine months of fiscal 2014.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two to ten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June 30, 2013, we had net operating loss carryforwards of approximately $11.8 million for federal tax purposes and $11.2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state tax purposes. Included in these loss carryforwards were $3.0 million for federal and $4.1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credit carryforwards of approximately $0.5 million. A valuation allowance has been set up to fully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2020 and 2033. Our valuation allowance for deferred tax assets is based upon our cumulative three year operating losses.</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There was no limitation that occurred for fiscal 2012 or fiscal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Three Months 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 of</w:t>
            </w:r>
          </w:p>
        </w:tc>
        <w:tc>
          <w:tcPr>
            <w:tcW w:w="88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13,580</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88.7 %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84.0 %</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1,730</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92.4 %</w:t>
            </w:r>
          </w:p>
        </w:tc>
        <w:tc>
          <w:tcPr>
            <w:tcW w:w="0" w:type="dxa"/>
            <w:vAlign w:val="bottom"/>
          </w:tcPr>
          <w:p>
            <w:pPr>
              <w:spacing w:after="0"/>
              <w:rPr>
                <w:sz w:val="1"/>
                <w:szCs w:val="1"/>
                <w:color w:val="auto"/>
              </w:rPr>
            </w:pPr>
          </w:p>
        </w:tc>
      </w:tr>
      <w:tr>
        <w:trPr>
          <w:trHeight w:val="74"/>
        </w:trPr>
        <w:tc>
          <w:tcPr>
            <w:tcW w:w="67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15,310</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9,597</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62.7 %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12,884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61.8 %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34.3 %</w:t>
            </w: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67.5 %</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10,937</w:t>
            </w:r>
          </w:p>
        </w:tc>
        <w:tc>
          <w:tcPr>
            <w:tcW w:w="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15,129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72.6 %</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38.3 %</w:t>
            </w:r>
          </w:p>
        </w:tc>
        <w:tc>
          <w:tcPr>
            <w:tcW w:w="0" w:type="dxa"/>
            <w:vAlign w:val="bottom"/>
          </w:tcPr>
          <w:p>
            <w:pPr>
              <w:spacing w:after="0"/>
              <w:rPr>
                <w:sz w:val="1"/>
                <w:szCs w:val="1"/>
                <w:color w:val="auto"/>
              </w:rPr>
            </w:pPr>
          </w:p>
        </w:tc>
      </w:tr>
      <w:tr>
        <w:trPr>
          <w:trHeight w:val="74"/>
        </w:trPr>
        <w:tc>
          <w:tcPr>
            <w:tcW w:w="67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4,373</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27.4 %</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3,302</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2,759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697</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74"/>
        </w:trPr>
        <w:tc>
          <w:tcPr>
            <w:tcW w:w="67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(3,578)</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(3,514)</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80"/>
        </w:trPr>
        <w:tc>
          <w:tcPr>
            <w:tcW w:w="67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(1,940)</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60"/>
        </w:trPr>
        <w:tc>
          <w:tcPr>
            <w:tcW w:w="67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increased from $13.6 million for the fiscal 2013 first quarter to $17.5 million for the fiscal 2014 first quarter,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$3.9 million, or 29%. The increase in product revenue was a result of increased sales of our high intensity fluorescent, or HIF, integrated lighting systems through our direct and wholesale channels, sales of solar photovoltaic, or PV, systems and sales of our light emitting diode, or LED, fixtures. Service revenue increased from $1.7 million for the fiscal 2013 first quarter to $3.3 million for the fiscal 2014 first quarter, an increase of $1.6 million, or 92%. The increase in service revenue was a result of the installation of solar projects under construction. Total revenue from renewable energy systems was $5.0 million for the first three months of fiscal 2014 compared to $2.7 million for the first three months of fiscal 2013, an increase of $2.3. million, or 85%. The increase in solar revenue was due to an increase in the system size of our projects under construction compared to smaller projects under construction during fiscal 2013.</w:t>
      </w:r>
    </w:p>
    <w:p>
      <w:pPr>
        <w:spacing w:after="0" w:line="11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increased from $9.6 million for the fiscal 2013 first quarter to $12.9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2014 first quarter, an increase of $3.3 million, or 34%. Our cost of service revenue increased from $1.3 million for the fiscal 2013 first quarter to $2.2 million for the fiscal 2014 first quarter, an increase of $0.9 million, or 68%. Gross margin decreased from 28.6% for the fiscal 2013 first quarter to 27.4% for the fiscal 2014 first quarter. Our gross margins were unfavorably impacted by an increased mix of lower margin solar projects during the fiscal 2014 first quarter compared to the prior year first quarter. Our gross margin on renewable revenues was 22.2% during the fiscal 2014 first quarter compared to 34.8% during the fiscal 2013 first quarter. We expect that our total margins from sales of renewable solar systems will continue to remain in the 20.0% range during the remainder of fiscal 2014. Gross margin from sales of our integrated lighting systems for the fiscal 2014 first quarter was 29.1% compared to 27.2% for the fiscal 2013 first quarter. The increase in our lighting gross margin percentage was due to the increase in product revenue and the resulting leverage of our fixed manufacturing costs.</w:t>
      </w:r>
    </w:p>
    <w:p>
      <w:pPr>
        <w:spacing w:after="0" w:line="128"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from $3.3 million for the fiscal 2013 first quarter to $2.8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fiscal 2014 first quarter, a decrease of $0.5 million, or 16%. The decrease was due to reorganizational accrual reversals of $1.1 million, reduced compensation and benefit expenses of $0.3 million resulting from headcount reductions, decreased audit expenses of $0.3 million and other discretionary reductions of $0.1 million. These reductions were partially offset by a litigation settlement, net of insurance proceeds, of $1.0 million and other increased legal expenses of $0.1 million during the quarter. We reduced headcounts in November 2012 as part of our fiscal 2013 cost reduction initiatives.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from $4.0 million for the fiscal 2013 first quarter to $3.3 million for the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a decrease of $0.7 million, or 16%. The decrease was due to reduced compensation and benefit expense of $0.5 million resulting from headcount reductions and discretionary spending reductions of $0.4 million, offset by an increase in our sales commission expense of $0.2 million. Total sales and marketing headcount was 112 and 84 at June 30, 2012 and 2013, respectively.</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decreased from $0.7 million for the fiscal 2013 first quarter to $0.5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first quarter, a decrease of $0.2 million, or 30%. The decrease was due to a reduction in compensation expenses, consulting expenses and product testing costs related to our energy management control initiatives.</w:t>
      </w:r>
    </w:p>
    <w:p>
      <w:pPr>
        <w:spacing w:after="0" w:line="12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decreased from $161,000 for the fiscal 2013 first quarter to $113,000 for the fiscal 2014 first quarter,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$48,000, or 30%. The decrease in interest expense was due to the reduction in total debt compared to the prior year first quarter. In the future, we expect an increase in interest expense due to the $3.0 million promissory note issued as part of the Harris acquisition on July 1, 2013.</w:t>
      </w:r>
    </w:p>
    <w:p>
      <w:pPr>
        <w:spacing w:after="0" w:line="11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decreased from $225,000 for the fiscal 2013 first quarter to $174,000 for the fiscal 2014 first quarter,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$51,000, or 23%. Our interest income decreased as we increased the utilization of third party finance providers for a majority of our OTA financed projects. In the future, we expect our interest income to decrease as we continue to utilize third party finance providers for our OTA projects.</w:t>
      </w:r>
    </w:p>
    <w:p>
      <w:pPr>
        <w:spacing w:after="0" w:line="1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expense increased from a benefit of $1.6 million for the fiscal 2013 first quarter to expense of $13,000 for the fiscal 2014</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an increase of $1.6 million, or 101%. During our fiscal 2013 second quarter, we recorded a valuation reserve against our deferred tax assets in the amount of $4.1 million due to uncertainty over the realization value of these assets in the future. Our effective income tax rate for the first three months of fiscal 2013 was a benefit rate of 44.8%, compared to a rate of (1.7)% for the first three months of fiscal 2014. The change in effective rate was due primarily to the impact of the valuation reserve established and expected minimum state tax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For the Three Months Ended June 30,</w:t>
            </w:r>
          </w:p>
        </w:tc>
      </w:tr>
      <w:tr>
        <w:trPr>
          <w:trHeight w:val="276"/>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12,600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15,890</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149</w:t>
            </w:r>
          </w:p>
        </w:tc>
      </w:tr>
      <w:tr>
        <w:trPr>
          <w:trHeight w:val="27"/>
        </w:trPr>
        <w:tc>
          <w:tcPr>
            <w:tcW w:w="3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Energy Management segment revenue increased $3.3 million, or 26%, from $12.6 million for the fiscal 2013 first quarter to $15.9 million for the fiscal</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2014 first quarter. The increase in revenue for the fiscal 2014 first quarter was due to increased sales of our HIF and LED lighting systems to our national account and wholesale customers.</w:t>
      </w:r>
    </w:p>
    <w:p>
      <w:pPr>
        <w:spacing w:after="0" w:line="13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Energy Management segment operating income increased $1.9 million, or 108%, from an operating loss of $1.8 million for the fiscal 2013 first quarter to operating income of $0.1 million for the fiscal 2014 first quarter. The increase in operating income for the fiscal 2014 first was a result of increased revenue and reductions in operating headcount related to our November 2012 cost containment initiatives.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For the Three Months Ended June 30,</w:t>
            </w:r>
          </w:p>
        </w:tc>
      </w:tr>
      <w:tr>
        <w:trPr>
          <w:trHeight w:val="276"/>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4,962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202</w:t>
            </w:r>
          </w:p>
        </w:tc>
      </w:tr>
      <w:tr>
        <w:trPr>
          <w:trHeight w:val="27"/>
        </w:trPr>
        <w:tc>
          <w:tcPr>
            <w:tcW w:w="3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Engineered Systems segment revenue increased $2.3 million, or 83%, from $2.7 million for the fiscal 2013 first quarter to $5.0 million for the fiscal 2014 first quarter. The increase in revenue for the fiscal 2014 first quarter was due to the start of construction on a $20.0 million solar project on a landfill site.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Engineered Systems segment operating income increased $0.6 million, or 151%, from operating loss of $0.4 million for the fiscal 2013 first quarter to operating income of $0.2 million for the fiscal 2014 first quarter. The increase in operating income for the first quarter of fiscal 2014 compared to the first quarter of fiscal 2013 was a result of the increased gross margin contribution from the revenue increase and due to reduced operating costs due to cost containment initiatives.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approximately $15.5 million in cash and cash equivalents and $1.0 million in short-term investments as of June 30, 2013, compared to $14.4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and $1.0 million at March 31, 2013. Our cash equivalents are invested in money market accounts with maturities of less than 90 days and an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 of 0.24%. Our short-term investment account consists of a bank certificate of deposit in the amount of $1.0 million with an expiration date in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and a yield of 0.50%. Additionally, as of June 30, 2013, we had $13.3 million of borrowing availability under our revolving credit agreement. Our OTA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expired September 30, 2012 for new borrowings, but not for amounts previously drawn. We did not borrow on the OTA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2013. We believe that having multiple external funding sources that will purchase our OTA contracts from us has greatly reduced the cash strain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created by funding these contracts ourselves and is no longer an impediment to our ability to increase the number of OTA contracts we complete in the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July 1, 2013, we completed the acquisition of Harris Manufacturing Inc., and Harris LED, LLC. The purchase price was paid through a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in cash, $3.0 million in a three-year unsecured subordinated note bearing interest at the rate of 4% per annum and 856,997 shares of unregistered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Orion common stock, representing a fair value on the date of issuance of $2.1 million. In addition, we may pay up to an additional $1.0 million in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unregistered common stock upon Harris achieving certain revenue milestones in calendar year 2013 and/or 2014. In July 2013, we paid $975,000, net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proceeds, to settle various claims filed against us by a former senior vice president. We believe that our existing cash and cash equivalents,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anticipated cash flows from operating activities and our borrowing capacity under our revolving credit facility will be sufficient to meet our anticipated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needs for the next 12 months, dependent upon our growth opportunities with our cash and finance customers and acquisition opportunities.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three months ended June 30, 2012 and 2013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(4,060)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1,088</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provided from operating activities for the first quarter of fiscal 2014 was $2.0 million and consisted</w:t>
      </w:r>
      <w:r>
        <w:rPr>
          <w:rFonts w:ascii="Arial" w:cs="Arial" w:eastAsia="Arial" w:hAnsi="Arial"/>
          <w:sz w:val="16"/>
          <w:szCs w:val="16"/>
          <w:i w:val="1"/>
          <w:iCs w:val="1"/>
          <w:color w:val="auto"/>
        </w:rPr>
        <w:t xml:space="preserve"> </w:t>
      </w:r>
      <w:r>
        <w:rPr>
          <w:rFonts w:ascii="Arial" w:cs="Arial" w:eastAsia="Arial" w:hAnsi="Arial"/>
          <w:sz w:val="16"/>
          <w:szCs w:val="16"/>
          <w:color w:val="auto"/>
        </w:rPr>
        <w:t>of net cash provided by changes in operating assets and liabilities of $1.2 million and a net loss adjusted for non-cash expense items of $0.8 million. Cash provided by changes in operating assets and liabilities consisted of a decrease of $1.5 million in inventory on decreased purchases of lighting components, predominantly fluorescent ballasts and LED components, an increase in accounts payable of $2.9 million due to the timing of vendor payments for solar project materials and construction installation costs, a decrease in prepaid and other assets of $0.4 million for unbilled revenue related to solar projects where construction progress is billed to the customer at the beginning of the month following the month in which the work was performed and an increase in accrued expenses of $0.6 million related to legal expenses and project installation costs. Cash used from changes in operating assets and liabilities included a $4.4 million increase in accounts receivable due to the timing of project billing for a large solar project under construction.</w:t>
      </w:r>
    </w:p>
    <w:p>
      <w:pPr>
        <w:spacing w:after="0" w:line="11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Cash provided by operating activities for the first quarter of fiscal 2013 was break even and consisted of net cash provided from changes in operating assets and liabilities of $1.9 million offset by a net loss adjusted for non-cash expense items of $1.9 million. Cash provided by working capital improvements was primarily due to a decrease in total accounts receivable of $3.3 million due to customer collections and reduced revenue and a decrease of $1.3 million in inventory due to reduced purchases during the fiscal 2013 first quarter. These benefits were partially offset by a decrease of $2.5 million in accounts payable related to payments made and reduced inventory purchases.</w:t>
      </w:r>
    </w:p>
    <w:p>
      <w:pPr>
        <w:spacing w:after="0" w:line="134"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quarter of fiscal 2014, cash used in investing activities was $0.1 million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related to product development tooling and information technology systems.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the first quarter of fiscal 2013, cash used in investing activities was $1.0 million for capital improvements related to our product development, information technology systems, manufacturing improvements and facility investments.</w:t>
      </w:r>
    </w:p>
    <w:p>
      <w:pPr>
        <w:spacing w:after="0" w:line="116"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For the first quarter of fiscal 2014, cash flows used in financing activities were $0.8 million,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$0.9 million used for repayment of long-term debt partially offset by $36,000 received from stock option exercises and stock note repayments.</w:t>
      </w:r>
    </w:p>
    <w:p>
      <w:pPr>
        <w:spacing w:after="0" w:line="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the first quarter of fiscal 2013, cash flows used in financing activities were $3.1 million. This included $2.5 million used for common share repurchases and $0.7 million for repayment of long-term debt partially offset by $0.1 million received from stock option exercises and for excess tax benefits from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net working capital as of June 30, 2013 was $37.5 million, consisting of $60.6 million in current assets and $23.1 million in current liabilities. Our net working capital as of March 31, 2013 was $34.8 million, consisting of $53.6 million in current assets and $18.8 million in current liabilities. Our current accounts receivables increased from fiscal 2013 year-end by $5.3 million due to the timing of progress billing on a large solar project under construction. Our accounts payable increased from our fiscal 2013 year end by $2.9 million due to increased solar inventory purchases. Our accrued expenses increased from our fiscal 2013 year end by $0.6 million due to increased accrued project installation costs and increased legal expenses.</w:t>
      </w:r>
    </w:p>
    <w:p>
      <w:pPr>
        <w:spacing w:after="0" w:line="119"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For the remainder of fiscal 2014, we intend to focus our efforts to preserve cash by reducing expenses and by implementing conservative inventory purchasing strategies and reducing our overall inventories.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have a credit agreement (Credit Agreement) with JP Morgan Chase Bank, N.A. (JP Morgan). The Credit Agreement provides for a revolving credit facility (Credit Facility) that matures on August 30, 2013.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June 30, 2013, we had outstanding letters of credit totaling $1.7 million, primarily for securing collateral requirements under equipment operating leases. There were no borrowings outstanding under the Credit Agreement as of June 30, 2013. In February 2013, we completed an amendment to the Credit Agreement making certain changes to the financial covenants, which are described below. In June 2013, we completed an amendment to the Credit Agreement to extend the maturity date to August 30, 2013 due to the timing of the Harris acquisition.</w:t>
      </w:r>
    </w:p>
    <w:p>
      <w:pPr>
        <w:spacing w:after="0" w:line="11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Credit Agreement, as amended, requires us to maintain (i) a ratio of total liabilities to tangible net worth not to exceed 0.50 to 1.00 as of the last day of any fiscal quarter, (ii) average daily unencumbered liquidity of at least $20.0 million during each period of three consecutive business days and (iii) EBITDA of at least $1.0 million during each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We were not in compliance with our EBITDA covenant in the Credit Agreement, as amended, as of June 30, 2013. However, we expect to establish a revised EBITDA requirement, as part of our renewal of the credit agreement, which is expected to be completed before the end of August 2013.</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Credit Agreement is secured by a first priority security interest in our accounts receivable, inventory and general intangibles, and a second priority security interest in our equipment and fixtures. All OTAs, PPAs, leases, supply agreements and/or similar agreements relating to solar PV and wind turbine systems or facilities, as well as all accounts receivable and our assets related to the foregoing, are excluded from these liens, except to the extent that we elect to finance any such assets with JP Morgan.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Borrowings under the Credit Agreement bear interest based on LIBOR plus an applicable margin (the Applicable Margin), which ranges from 2.0% to 3.0% per annum based on our debt service coverage ratio from time to time. We must pay a fee ranging between 0.25% and 0.50% per annum on the average daily unused amount of the Credit Facility (with the amount of such fee based on our debt service coverage ratio from time to time) and a fee in the amount of the Applicable Margin on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daily average face amount of undrawn issued letters of credit. The fee on unused amounts is waived if we or our affiliates maintain funds on deposit with JP Morgan or its affiliates above a specified amount. The deposit threshold requirement was met as of June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have a credit agreement with JP Morgan that provided us with $5.0 million immediately available to fund completed customer contracts under our OTA finance program. We had one year from the date of the commitment to borrow under the credit agreement, which expired on September 30, 2012 for new borrowing. As of June 30, 2013, we had $1.5 million outstanding under the credit agreement. There were no new borrowings during fiscal 2013. During the quarter ended June 30, 2013, one customer executed the early buyout provision of their OTA contract. This resulted in a $0.2 million payment to reduce the related OTA debt obligation which was the outstanding debt balance on the individual contract. The loan amount is collateralized by the OTA-related equipment and the expected future monthly payments under the supporting 37 individual OTA customer contracts. The current loan amount under the credit agreement bears interest at LIBOR plus 4% and matures in December 2016. In February 2013, we completed an amendment to the credit agreement making certain changes to the financial covenants requiring us to maintain (i) average daily unencumbered liquidity of at least $20.0 million during each period of three consecutive business days and (ii) EBITDA of at least $1.0 million during each fiscal quarter. We were not in compliance with our EBITDA covenant, as amended, in the credit agreement as of June 30, 2013. However, we expect to establish a revised EBITDA requirement, as part of our renewal of the credit agreement, which is expected to be completed before the end of August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Capital expenditures totaled $0.1 million during the first three months of fiscal 2014 due to investments in new product development tooling and information systems technologies. We expect to incur approximately $0.8 to $1.0 million in capital expenditures during the remainder of fiscal 2014. Our capital spending plans predominantly consist of investments related to our manufacturing operations to improve efficiencies and reduce costs and for investments in information technology systems. We expect to finance these capital expenditures primarily through our existing cash, equipment secured loans and leases, to the extent needed, long-term debt financing, or by using our available capacity under our credit facility. For the remainder of fiscal 2014, we intend to focus our efforts to preserve cash by reducing capital spending initiatives.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our long-term contractual obligations as of June 30, 2013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Bank debt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Purchase order and cap-ex commitments(1)</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19,776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9,364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6,091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40" w:hanging="478"/>
        <w:spacing w:after="0" w:line="26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$7.0 million for certain inventory items entered into in order to secure better pricing and ensure materials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2013. There have been no material changes in any of our accounting policies since March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2013. There have been no material changes to such exposures since March 31, 2013.</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2013 pursuant to Rule 13a-15(b) of the Exchange Act of 1934 (the “Exchange Act”). Our Chief Executive Officer and our Chief Financial Officer concluded that our disclosure controls and procedures were effective as of June 30, 2013.</w:t>
      </w:r>
    </w:p>
    <w:p>
      <w:pPr>
        <w:spacing w:after="0" w:line="5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2013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Late during the first quarter of fiscal 2014, we settled various litigation claims filed against us by a former senior vice president for a cost to us of $975,000, net of insurance proceeds.</w:t>
      </w:r>
    </w:p>
    <w:p>
      <w:pPr>
        <w:spacing w:after="0" w:line="11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As previously disclosed, in August 2012, the Company received a subpoena issued by the staff of the Securities and Exchange Commission ("SEC") requesting certain documents and information generally related to the Company’s financial reporting of its sales of solar photovoltaic systems, among other matters. The Company continues to cooperate with the SEC regarding this non-public, fact-finding inquiry. The SEC has informed the Company that this inquiry should not be construed as an indication that any violations of law have occurred or that the SEC has any negative opinion of any person, entity or security.</w:t>
      </w:r>
    </w:p>
    <w:p>
      <w:pPr>
        <w:spacing w:after="0" w:line="134" w:lineRule="exact"/>
        <w:rPr>
          <w:sz w:val="20"/>
          <w:szCs w:val="20"/>
          <w:color w:val="auto"/>
        </w:rPr>
      </w:pPr>
    </w:p>
    <w:p>
      <w:pPr>
        <w:ind w:right="400" w:firstLine="432"/>
        <w:spacing w:after="0" w:line="312" w:lineRule="auto"/>
        <w:rPr>
          <w:sz w:val="20"/>
          <w:szCs w:val="20"/>
          <w:color w:val="auto"/>
        </w:rPr>
      </w:pPr>
      <w:r>
        <w:rPr>
          <w:rFonts w:ascii="Arial" w:cs="Arial" w:eastAsia="Arial" w:hAnsi="Arial"/>
          <w:sz w:val="16"/>
          <w:szCs w:val="16"/>
          <w:color w:val="auto"/>
        </w:rPr>
        <w:t>In addition, we are a party to various legal proceedings which arise in the ordinary course of our business. Other than as set forth above, we are not currently involved in any material litigation nor to our knowledge, is any material litigation threatened against us, the outcome of which would, in our judgment based on information currently available to us , have a material adverse effect on our financial position or results of operations.</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2013, which we filed with the SEC on June 14, 2013.</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June 30, 2013, regarding sales of our HIF and LED lighting systems, total units sold (including HIF and LED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From December 1, 2001</w:t>
            </w:r>
          </w:p>
        </w:tc>
      </w:tr>
      <w:tr>
        <w:trPr>
          <w:trHeight w:val="192"/>
        </w:trPr>
        <w:tc>
          <w:tcPr>
            <w:tcW w:w="9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Through June 30, 2013</w:t>
            </w:r>
          </w:p>
        </w:tc>
      </w:tr>
      <w:tr>
        <w:trPr>
          <w:trHeight w:val="190"/>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(in thousands, unaudited)</w:t>
            </w:r>
          </w:p>
        </w:tc>
      </w:tr>
      <w:tr>
        <w:trPr>
          <w:trHeight w:val="255"/>
        </w:trPr>
        <w:tc>
          <w:tcPr>
            <w:tcW w:w="9100" w:type="dxa"/>
            <w:vAlign w:val="bottom"/>
          </w:tcPr>
          <w:p>
            <w:pPr>
              <w:spacing w:after="0"/>
              <w:rPr>
                <w:sz w:val="20"/>
                <w:szCs w:val="20"/>
                <w:color w:val="auto"/>
              </w:rPr>
            </w:pPr>
            <w:r>
              <w:rPr>
                <w:rFonts w:ascii="Arial" w:cs="Arial" w:eastAsia="Arial" w:hAnsi="Arial"/>
                <w:sz w:val="18"/>
                <w:szCs w:val="18"/>
                <w:color w:val="auto"/>
              </w:rPr>
              <w:t>HIF and LED lighting systems sold(1)</w:t>
            </w:r>
          </w:p>
        </w:tc>
        <w:tc>
          <w:tcPr>
            <w:tcW w:w="240" w:type="dxa"/>
            <w:vAlign w:val="bottom"/>
          </w:tcPr>
          <w:p>
            <w:pPr>
              <w:spacing w:after="0"/>
              <w:rPr>
                <w:sz w:val="22"/>
                <w:szCs w:val="22"/>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2,574</w:t>
            </w: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Total units sold (including HIF and LED lighting systems)</w:t>
            </w:r>
          </w:p>
        </w:tc>
        <w:tc>
          <w:tcPr>
            <w:tcW w:w="240" w:type="dxa"/>
            <w:vAlign w:val="bottom"/>
          </w:tcPr>
          <w:p>
            <w:pPr>
              <w:spacing w:after="0"/>
              <w:rPr>
                <w:sz w:val="23"/>
                <w:szCs w:val="23"/>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3,584</w:t>
            </w: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Customer kilowatt demand reduction(2)</w:t>
            </w:r>
          </w:p>
        </w:tc>
        <w:tc>
          <w:tcPr>
            <w:tcW w:w="240" w:type="dxa"/>
            <w:vAlign w:val="bottom"/>
          </w:tcPr>
          <w:p>
            <w:pPr>
              <w:spacing w:after="0"/>
              <w:rPr>
                <w:sz w:val="23"/>
                <w:szCs w:val="23"/>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823</w:t>
            </w: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40" w:type="dxa"/>
            <w:vAlign w:val="bottom"/>
          </w:tcPr>
          <w:p>
            <w:pPr>
              <w:spacing w:after="0"/>
              <w:rPr>
                <w:sz w:val="23"/>
                <w:szCs w:val="23"/>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27,853,793</w:t>
            </w: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Customer electricity costs saved(4)</w:t>
            </w: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2,143,618</w:t>
            </w: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40" w:type="dxa"/>
            <w:vAlign w:val="bottom"/>
          </w:tcPr>
          <w:p>
            <w:pPr>
              <w:spacing w:after="0"/>
              <w:rPr>
                <w:sz w:val="23"/>
                <w:szCs w:val="23"/>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18,081</w:t>
            </w: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Square footage retrofitted(6)</w:t>
            </w:r>
          </w:p>
        </w:tc>
        <w:tc>
          <w:tcPr>
            <w:tcW w:w="240" w:type="dxa"/>
            <w:vAlign w:val="bottom"/>
          </w:tcPr>
          <w:p>
            <w:pPr>
              <w:spacing w:after="0"/>
              <w:rPr>
                <w:sz w:val="23"/>
                <w:szCs w:val="23"/>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1,347,338</w:t>
            </w:r>
          </w:p>
        </w:tc>
      </w:tr>
    </w:tbl>
    <w:p>
      <w:pPr>
        <w:spacing w:after="0" w:line="9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“HIF and LED lighting systems” includes all HIF units sold under the brand name “Compact Modular” and its predecessor, “Illuminator.”</w:t>
      </w:r>
    </w:p>
    <w:p>
      <w:pPr>
        <w:spacing w:after="0" w:line="90" w:lineRule="exact"/>
        <w:rPr>
          <w:rFonts w:ascii="Arial" w:cs="Arial" w:eastAsia="Arial" w:hAnsi="Arial"/>
          <w:sz w:val="18"/>
          <w:szCs w:val="18"/>
          <w:color w:val="auto"/>
        </w:rPr>
      </w:pPr>
    </w:p>
    <w:p>
      <w:pPr>
        <w:ind w:left="500" w:right="60" w:hanging="492"/>
        <w:spacing w:after="0" w:line="25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kilowatts per six-lamp equivalent unit we install by (ii) the number of units we have installed in the period presented, including products other than our HIF lighting systems (or a total of approximately 3.6 million units).</w:t>
      </w:r>
    </w:p>
    <w:p>
      <w:pPr>
        <w:spacing w:after="0" w:line="8" w:lineRule="exact"/>
        <w:rPr>
          <w:sz w:val="20"/>
          <w:szCs w:val="20"/>
          <w:color w:val="auto"/>
        </w:rPr>
      </w:pPr>
    </w:p>
    <w:p>
      <w:pPr>
        <w:ind w:left="500" w:right="3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35" w:lineRule="exact"/>
        <w:rPr>
          <w:rFonts w:ascii="Arial" w:cs="Arial" w:eastAsia="Arial" w:hAnsi="Arial"/>
          <w:sz w:val="18"/>
          <w:szCs w:val="18"/>
          <w:color w:val="auto"/>
        </w:rPr>
      </w:pPr>
    </w:p>
    <w:p>
      <w:pPr>
        <w:ind w:left="500" w:right="80" w:hanging="492"/>
        <w:spacing w:after="0" w:line="28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calculate our customers’ electricity costs saved by multiplying the cumulative total customer kilowatt hours saved indicated in the table by $0.077 per kilowatt hour. The national average rate for 2011, which is the most current full year</w:t>
      </w:r>
      <w:r>
        <w:rPr>
          <w:rFonts w:ascii="Arial" w:cs="Arial" w:eastAsia="Arial" w:hAnsi="Arial"/>
          <w:sz w:val="1"/>
          <w:szCs w:val="1"/>
          <w:color w:val="auto"/>
        </w:rPr>
        <w:drawing>
          <wp:inline distT="0" distB="0" distL="0" distR="0">
            <wp:extent cx="26035" cy="1289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6"/>
          <w:szCs w:val="16"/>
          <w:color w:val="auto"/>
        </w:rPr>
        <w:t>for which this information is available, was $0.0983 per kilowatt hour according to the updated Electric Power annual released in January 2013 by the United States Energy Information Administration.</w:t>
      </w:r>
    </w:p>
    <w:p>
      <w:pPr>
        <w:spacing w:after="0" w:line="30" w:lineRule="exact"/>
        <w:rPr>
          <w:rFonts w:ascii="Arial" w:cs="Arial" w:eastAsia="Arial" w:hAnsi="Arial"/>
          <w:sz w:val="16"/>
          <w:szCs w:val="16"/>
          <w:color w:val="auto"/>
        </w:rPr>
      </w:pPr>
    </w:p>
    <w:p>
      <w:pPr>
        <w:jc w:val="both"/>
        <w:ind w:left="500" w:right="28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46"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3.6 million total units sold, which contain a total of approximately 18.0 million lamps. Each lamp illuminates approximately 75 square feet. The majority of our installed fixtures contain six lamps and typically illuminate approximately 450 square feet.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360" w:type="dxa"/>
            <w:vAlign w:val="bottom"/>
          </w:tcPr>
          <w:p>
            <w:pPr>
              <w:ind w:left="240"/>
              <w:spacing w:after="0"/>
              <w:rPr>
                <w:sz w:val="20"/>
                <w:szCs w:val="20"/>
                <w:color w:val="auto"/>
              </w:rPr>
            </w:pPr>
            <w:r>
              <w:rPr>
                <w:rFonts w:ascii="Arial" w:cs="Arial" w:eastAsia="Arial" w:hAnsi="Arial"/>
                <w:sz w:val="18"/>
                <w:szCs w:val="18"/>
                <w:color w:val="auto"/>
                <w:w w:val="99"/>
              </w:rPr>
              <w:t>Stock and Unit Purchase Agreement dated May 22, 2013 between Orion Energy Systems, Inc., a Wisconsin corporation, Harris</w:t>
            </w:r>
          </w:p>
        </w:tc>
      </w:tr>
      <w:tr>
        <w:trPr>
          <w:trHeight w:val="216"/>
        </w:trPr>
        <w:tc>
          <w:tcPr>
            <w:tcW w:w="90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4"/>
              </w:rPr>
              <w:t>Manufacturing, Inc., a Florida corporation, Harris LED, LLC, a Florida limited liability corporation and their respective shareholders and</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members. (Incorporated by reference to Form 8-K filed on July 2, 2013)</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Fourth Amendment to Credit Agreement, dated June 28, 2013, by and among Orion Energy Systems, Inc., Orion Asset Management, LLC,</w:t>
            </w:r>
          </w:p>
        </w:tc>
      </w:tr>
      <w:tr>
        <w:trPr>
          <w:trHeight w:val="216"/>
        </w:trPr>
        <w:tc>
          <w:tcPr>
            <w:tcW w:w="90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0"/>
              </w:rPr>
              <w:t>Clean Energy Solutions, LLC, Great Lakes Energy Technologies, LLC and JPMorgan Chase Bank, N.A. (Incorporated by reference to Form</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8-K filed on July 2, 2013)</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360" w:type="dxa"/>
            <w:vAlign w:val="bottom"/>
          </w:tcPr>
          <w:p>
            <w:pPr>
              <w:ind w:left="468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00"/>
          </w:cols>
          <w:pgMar w:left="24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9, 2013.</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June 30, 2013</w:t>
            </w: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600"/>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9"/>
              </w:rPr>
              <w:t>Stock and Unit Purchase Agreement dated May 22, 2013 between Orion Energy Systems, Inc., a Wisconsin corporation, Harris</w:t>
            </w:r>
          </w:p>
        </w:tc>
      </w:tr>
      <w:tr>
        <w:trPr>
          <w:trHeight w:val="216"/>
        </w:trPr>
        <w:tc>
          <w:tcPr>
            <w:tcW w:w="900" w:type="dxa"/>
            <w:vAlign w:val="bottom"/>
          </w:tcPr>
          <w:p>
            <w:pPr>
              <w:spacing w:after="0"/>
              <w:rPr>
                <w:sz w:val="18"/>
                <w:szCs w:val="18"/>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4"/>
              </w:rPr>
              <w:t>Manufacturing, Inc., a Florida corporation, Harris LED, LLC, a Florida limited liability corporation and their respective shareholders and</w:t>
            </w:r>
          </w:p>
        </w:tc>
      </w:tr>
      <w:tr>
        <w:trPr>
          <w:trHeight w:val="230"/>
        </w:trPr>
        <w:tc>
          <w:tcPr>
            <w:tcW w:w="9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members. (Incorporated by reference to Form 8-K filed on July 2, 2013)</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1"/>
              </w:rPr>
              <w:t>Fourth Amendment to Credit Agreement, dated June 28, 2013, by and among Orion Energy Systems, Inc., Orion Asset Management, LLC,</w:t>
            </w:r>
          </w:p>
        </w:tc>
      </w:tr>
      <w:tr>
        <w:trPr>
          <w:trHeight w:val="216"/>
        </w:trPr>
        <w:tc>
          <w:tcPr>
            <w:tcW w:w="900" w:type="dxa"/>
            <w:vAlign w:val="bottom"/>
          </w:tcPr>
          <w:p>
            <w:pPr>
              <w:spacing w:after="0"/>
              <w:rPr>
                <w:sz w:val="18"/>
                <w:szCs w:val="18"/>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0"/>
              </w:rPr>
              <w:t>Clean Energy Solutions, LLC, Great Lakes Energy Technologies, LLC and JPMorgan Chase Bank, N.A. (Incorporated by reference to Form</w:t>
            </w:r>
          </w:p>
        </w:tc>
      </w:tr>
      <w:tr>
        <w:trPr>
          <w:trHeight w:val="230"/>
        </w:trPr>
        <w:tc>
          <w:tcPr>
            <w:tcW w:w="9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8-K filed on July 2, 2013)</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220" w:type="dxa"/>
            <w:vAlign w:val="bottom"/>
            <w:gridSpan w:val="2"/>
          </w:tcPr>
          <w:p>
            <w:pPr>
              <w:ind w:left="4680"/>
              <w:spacing w:after="0"/>
              <w:rPr>
                <w:sz w:val="20"/>
                <w:szCs w:val="20"/>
                <w:color w:val="auto"/>
              </w:rPr>
            </w:pPr>
            <w:r>
              <w:rPr>
                <w:rFonts w:ascii="Arial" w:cs="Arial" w:eastAsia="Arial" w:hAnsi="Arial"/>
                <w:sz w:val="18"/>
                <w:szCs w:val="18"/>
                <w:color w:val="auto"/>
              </w:rPr>
              <w:t>36</w:t>
            </w:r>
          </w:p>
        </w:tc>
        <w:tc>
          <w:tcPr>
            <w:tcW w:w="3140" w:type="dxa"/>
            <w:vAlign w:val="bottom"/>
          </w:tcPr>
          <w:p>
            <w:pPr>
              <w:spacing w:after="0"/>
              <w:rPr>
                <w:sz w:val="24"/>
                <w:szCs w:val="24"/>
                <w:color w:val="auto"/>
              </w:rPr>
            </w:pPr>
          </w:p>
        </w:tc>
      </w:tr>
    </w:tbl>
    <w:p>
      <w:pPr>
        <w:sectPr>
          <w:pgSz w:w="11900" w:h="16838" w:orient="portrait"/>
          <w:cols w:equalWidth="0" w:num="1">
            <w:col w:w="11300"/>
          </w:cols>
          <w:pgMar w:left="240" w:top="125"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420"/>
          </w:cols>
          <w:pgMar w:left="240" w:top="20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2013,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August 9, 2013</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2013,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August 9, 2013</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3"/>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lowerRoman"/>
      <w:start w:val="10"/>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2019-12-07T16:14:33Z</dcterms:created>
  <dcterms:modified xsi:type="dcterms:W3CDTF">2019-12-07T16:14:33Z</dcterms:modified>
</cp:coreProperties>
</file>