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ind w:left="4080" w:right="1940" w:hanging="4072"/>
        <w:spacing w:after="0" w:line="297" w:lineRule="auto"/>
        <w:tabs>
          <w:tab w:leader="none" w:pos="5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For the fiscal year ended </w:t>
      </w:r>
      <w:r>
        <w:rPr>
          <w:rFonts w:ascii="Arial" w:cs="Arial" w:eastAsia="Arial" w:hAnsi="Arial"/>
          <w:sz w:val="18"/>
          <w:szCs w:val="18"/>
          <w:color w:val="auto"/>
        </w:rPr>
        <w:t>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5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18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Orion Energy Systems, Inc.</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4480" w:type="dxa"/>
            <w:vAlign w:val="bottom"/>
          </w:tcPr>
          <w:p>
            <w:pPr>
              <w:jc w:val="center"/>
              <w:ind w:right="1461"/>
              <w:spacing w:after="0"/>
              <w:rPr>
                <w:sz w:val="20"/>
                <w:szCs w:val="20"/>
                <w:color w:val="auto"/>
              </w:rPr>
            </w:pPr>
            <w:r>
              <w:rPr>
                <w:rFonts w:ascii="Arial" w:cs="Arial" w:eastAsia="Arial" w:hAnsi="Arial"/>
                <w:sz w:val="18"/>
                <w:szCs w:val="18"/>
                <w:b w:val="1"/>
                <w:bCs w:val="1"/>
                <w:color w:val="auto"/>
                <w:w w:val="86"/>
              </w:rPr>
              <w:t>Wisconsin</w:t>
            </w:r>
          </w:p>
        </w:tc>
        <w:tc>
          <w:tcPr>
            <w:tcW w:w="2660" w:type="dxa"/>
            <w:vAlign w:val="bottom"/>
          </w:tcPr>
          <w:p>
            <w:pPr>
              <w:jc w:val="right"/>
              <w:ind w:right="61"/>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480" w:type="dxa"/>
            <w:vAlign w:val="bottom"/>
          </w:tcPr>
          <w:p>
            <w:pPr>
              <w:jc w:val="center"/>
              <w:ind w:right="14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60" w:type="dxa"/>
            <w:vAlign w:val="bottom"/>
          </w:tcPr>
          <w:p>
            <w:pPr>
              <w:jc w:val="center"/>
              <w:ind w:left="142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53"/>
        </w:trPr>
        <w:tc>
          <w:tcPr>
            <w:tcW w:w="4480" w:type="dxa"/>
            <w:vAlign w:val="bottom"/>
          </w:tcPr>
          <w:p>
            <w:pPr>
              <w:jc w:val="center"/>
              <w:ind w:right="1441"/>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2660" w:type="dxa"/>
            <w:vAlign w:val="bottom"/>
          </w:tcPr>
          <w:p>
            <w:pPr>
              <w:jc w:val="center"/>
              <w:ind w:left="1441"/>
              <w:spacing w:after="0" w:line="153"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34"/>
        </w:trPr>
        <w:tc>
          <w:tcPr>
            <w:tcW w:w="4480" w:type="dxa"/>
            <w:vAlign w:val="bottom"/>
          </w:tcPr>
          <w:p>
            <w:pPr>
              <w:jc w:val="center"/>
              <w:ind w:right="1441"/>
              <w:spacing w:after="0"/>
              <w:rPr>
                <w:sz w:val="20"/>
                <w:szCs w:val="20"/>
                <w:color w:val="auto"/>
              </w:rPr>
            </w:pPr>
            <w:r>
              <w:rPr>
                <w:rFonts w:ascii="Arial" w:cs="Arial" w:eastAsia="Arial" w:hAnsi="Arial"/>
                <w:sz w:val="18"/>
                <w:szCs w:val="18"/>
                <w:b w:val="1"/>
                <w:bCs w:val="1"/>
                <w:color w:val="auto"/>
                <w:w w:val="93"/>
              </w:rPr>
              <w:t>2210 Woodland Drive, Manitowoc, WI</w:t>
            </w:r>
          </w:p>
        </w:tc>
        <w:tc>
          <w:tcPr>
            <w:tcW w:w="2660" w:type="dxa"/>
            <w:vAlign w:val="bottom"/>
          </w:tcPr>
          <w:p>
            <w:pPr>
              <w:jc w:val="right"/>
              <w:ind w:right="261"/>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231"/>
        </w:trPr>
        <w:tc>
          <w:tcPr>
            <w:tcW w:w="4480" w:type="dxa"/>
            <w:vAlign w:val="bottom"/>
            <w:vMerge w:val="restart"/>
          </w:tcPr>
          <w:p>
            <w:pPr>
              <w:jc w:val="center"/>
              <w:ind w:right="14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60" w:type="dxa"/>
            <w:vAlign w:val="bottom"/>
          </w:tcPr>
          <w:p>
            <w:pPr>
              <w:jc w:val="center"/>
              <w:ind w:left="14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8"/>
        </w:trPr>
        <w:tc>
          <w:tcPr>
            <w:tcW w:w="4480" w:type="dxa"/>
            <w:vAlign w:val="bottom"/>
            <w:vMerge w:val="continue"/>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(920) 892-9340</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9" w:lineRule="exact"/>
        <w:rPr>
          <w:sz w:val="24"/>
          <w:szCs w:val="24"/>
          <w:color w:val="auto"/>
        </w:rPr>
      </w:pPr>
    </w:p>
    <w:tbl>
      <w:tblPr>
        <w:tblLayout w:type="fixed"/>
        <w:tblInd w:w="130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200" w:type="dxa"/>
            <w:vAlign w:val="bottom"/>
          </w:tcPr>
          <w:p>
            <w:pPr>
              <w:spacing w:after="0"/>
              <w:rPr>
                <w:sz w:val="14"/>
                <w:szCs w:val="14"/>
                <w:color w:val="auto"/>
              </w:rPr>
            </w:pPr>
          </w:p>
        </w:tc>
        <w:tc>
          <w:tcPr>
            <w:tcW w:w="16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Trading Symbol (s)</w:t>
            </w:r>
          </w:p>
        </w:tc>
        <w:tc>
          <w:tcPr>
            <w:tcW w:w="200" w:type="dxa"/>
            <w:vAlign w:val="bottom"/>
          </w:tcPr>
          <w:p>
            <w:pPr>
              <w:spacing w:after="0"/>
              <w:rPr>
                <w:sz w:val="14"/>
                <w:szCs w:val="1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123"/>
        </w:trPr>
        <w:tc>
          <w:tcPr>
            <w:tcW w:w="3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OESX</w:t>
            </w:r>
          </w:p>
        </w:tc>
        <w:tc>
          <w:tcPr>
            <w:tcW w:w="2920" w:type="dxa"/>
            <w:vAlign w:val="bottom"/>
          </w:tcPr>
          <w:p>
            <w:pPr>
              <w:jc w:val="center"/>
              <w:spacing w:after="0" w:line="123"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2"/>
        </w:trPr>
        <w:tc>
          <w:tcPr>
            <w:tcW w:w="39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Common stock, no par value</w:t>
            </w:r>
          </w:p>
        </w:tc>
        <w:tc>
          <w:tcPr>
            <w:tcW w:w="1820" w:type="dxa"/>
            <w:vAlign w:val="bottom"/>
            <w:gridSpan w:val="2"/>
            <w:vMerge w:val="continue"/>
          </w:tcPr>
          <w:p>
            <w:pPr>
              <w:spacing w:after="0"/>
              <w:rPr>
                <w:sz w:val="15"/>
                <w:szCs w:val="15"/>
                <w:color w:val="auto"/>
              </w:rPr>
            </w:pPr>
          </w:p>
        </w:tc>
        <w:tc>
          <w:tcPr>
            <w:tcW w:w="292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Pr>
          <w:p>
            <w:pPr>
              <w:jc w:val="center"/>
              <w:spacing w:after="0" w:line="155"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2"/>
        </w:trPr>
        <w:tc>
          <w:tcPr>
            <w:tcW w:w="39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Common stock purchase rights</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p>
      <w:pPr>
        <w:spacing w:after="0" w:line="184"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4">
            <w:col w:w="7280" w:space="140"/>
            <w:col w:w="220" w:space="60"/>
            <w:col w:w="140" w:space="140"/>
            <w:col w:w="3260"/>
          </w:cols>
          <w:pgMar w:left="320" w:top="323" w:right="339" w:bottom="1440" w:gutter="0" w:footer="0" w:header="0"/>
          <w:type w:val="continuous"/>
        </w:sectPr>
      </w:pPr>
    </w:p>
    <w:p>
      <w:pPr>
        <w:spacing w:after="0" w:line="27"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ectPr>
          <w:pgSz w:w="11900" w:h="16838" w:orient="portrait"/>
          <w:cols w:equalWidth="0" w:num="5">
            <w:col w:w="6980" w:space="140"/>
            <w:col w:w="200" w:space="80"/>
            <w:col w:w="140" w:space="140"/>
            <w:col w:w="180" w:space="60"/>
            <w:col w:w="3320"/>
          </w:cols>
          <w:pgMar w:left="320" w:top="323" w:right="339" w:bottom="1440" w:gutter="0" w:footer="0" w:header="0"/>
          <w:type w:val="continuous"/>
        </w:sectPr>
      </w:pPr>
    </w:p>
    <w:p>
      <w:pPr>
        <w:ind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94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ind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2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left="520"/>
        <w:spacing w:after="0" w:line="161" w:lineRule="exact"/>
        <w:tabs>
          <w:tab w:leader="none" w:pos="7220" w:val="left"/>
          <w:tab w:leader="none" w:pos="7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firstLine="510"/>
        <w:spacing w:after="0" w:line="253" w:lineRule="auto"/>
        <w:rPr>
          <w:sz w:val="20"/>
          <w:szCs w:val="20"/>
          <w:color w:val="auto"/>
        </w:rPr>
      </w:pPr>
      <w:r>
        <w:rPr>
          <w:rFonts w:ascii="Arial" w:cs="Arial" w:eastAsia="Arial" w:hAnsi="Arial"/>
          <w:sz w:val="14"/>
          <w:szCs w:val="14"/>
          <w:color w:val="auto"/>
        </w:rPr>
        <w:t>The aggregate market value of shares of the Registrant’s common stock held by non-affiliates as of September 30, 2020, the last business day of the Registrant’s most recently completed second fiscal quarter, was approximately $189,240,242.</w:t>
      </w:r>
    </w:p>
    <w:p>
      <w:pPr>
        <w:spacing w:after="0" w:line="1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May 21, 2021, there were 30,806,390 shares of the Registrant’s common stock outstanding.</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3" w:lineRule="exact"/>
        <w:rPr>
          <w:sz w:val="24"/>
          <w:szCs w:val="24"/>
          <w:color w:val="auto"/>
        </w:rPr>
      </w:pPr>
    </w:p>
    <w:p>
      <w:pPr>
        <w:ind w:right="20" w:firstLine="510"/>
        <w:spacing w:after="0" w:line="253" w:lineRule="auto"/>
        <w:rPr>
          <w:sz w:val="20"/>
          <w:szCs w:val="20"/>
          <w:color w:val="auto"/>
        </w:rPr>
      </w:pPr>
      <w:r>
        <w:rPr>
          <w:rFonts w:ascii="Arial" w:cs="Arial" w:eastAsia="Arial" w:hAnsi="Arial"/>
          <w:sz w:val="14"/>
          <w:szCs w:val="14"/>
          <w:color w:val="auto"/>
        </w:rPr>
        <w:t>Portions of the Registrant's Proxy Statement for the 2021 Annual Meeting of Shareholders to be held on August 5, 2021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229235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8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rPr>
              <w:t>ORION ENERGY SYSTEMS, INC.</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8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9"/>
              </w:rPr>
              <w:t>ANNUAL REPORT ON FORM 10-K</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60" w:type="dxa"/>
            <w:vAlign w:val="bottom"/>
            <w:gridSpan w:val="9"/>
          </w:tcPr>
          <w:p>
            <w:pPr>
              <w:jc w:val="center"/>
              <w:ind w:right="3240"/>
              <w:spacing w:after="0"/>
              <w:rPr>
                <w:sz w:val="20"/>
                <w:szCs w:val="20"/>
                <w:color w:val="auto"/>
              </w:rPr>
            </w:pPr>
            <w:r>
              <w:rPr>
                <w:rFonts w:ascii="Arial" w:cs="Arial" w:eastAsia="Arial" w:hAnsi="Arial"/>
                <w:sz w:val="18"/>
                <w:szCs w:val="18"/>
                <w:b w:val="1"/>
                <w:bCs w:val="1"/>
                <w:color w:val="auto"/>
                <w:w w:val="99"/>
              </w:rPr>
              <w:t>FOR THE YEAR ENDED MARCH 31, 2021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20" w:type="dxa"/>
            <w:vAlign w:val="bottom"/>
            <w:gridSpan w:val="7"/>
          </w:tcPr>
          <w:p>
            <w:pPr>
              <w:jc w:val="center"/>
              <w:ind w:right="42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6"/>
            <w:vMerge w:val="restart"/>
          </w:tcPr>
          <w:p>
            <w:pPr>
              <w:jc w:val="center"/>
              <w:ind w:right="4480"/>
              <w:spacing w:after="0"/>
              <w:rPr>
                <w:sz w:val="20"/>
                <w:szCs w:val="20"/>
                <w:color w:val="auto"/>
              </w:rPr>
            </w:pPr>
            <w:r>
              <w:rPr>
                <w:rFonts w:ascii="Arial" w:cs="Arial" w:eastAsia="Arial" w:hAnsi="Arial"/>
                <w:sz w:val="18"/>
                <w:szCs w:val="18"/>
                <w:color w:val="auto"/>
                <w:w w:val="92"/>
              </w:rPr>
              <w:t>PART I</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gridSpan w:val="6"/>
            <w:vMerge w:val="continue"/>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160" w:type="dxa"/>
            <w:vAlign w:val="bottom"/>
            <w:tcBorders>
              <w:bottom w:val="single" w:sz="8" w:color="0000EE"/>
            </w:tcBorders>
            <w:gridSpan w:val="2"/>
          </w:tcPr>
          <w:p>
            <w:pPr>
              <w:spacing w:after="0" w:line="170"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Item 1 Business</w:t>
              </w:r>
            </w:hyperlink>
          </w:p>
        </w:tc>
        <w:tc>
          <w:tcPr>
            <w:tcW w:w="9460" w:type="dxa"/>
            <w:vAlign w:val="bottom"/>
            <w:gridSpan w:val="20"/>
          </w:tcPr>
          <w:p>
            <w:pPr>
              <w:spacing w:after="0"/>
              <w:rPr>
                <w:sz w:val="16"/>
                <w:szCs w:val="16"/>
                <w:color w:val="auto"/>
              </w:rPr>
            </w:pPr>
          </w:p>
        </w:tc>
        <w:tc>
          <w:tcPr>
            <w:tcW w:w="560" w:type="dxa"/>
            <w:vAlign w:val="bottom"/>
          </w:tcPr>
          <w:p>
            <w:pPr>
              <w:jc w:val="right"/>
              <w:spacing w:after="0" w:line="170"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1A 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1B Unresolved Staff Comments</w:t>
              </w:r>
            </w:hyperlink>
          </w:p>
        </w:tc>
        <w:tc>
          <w:tcPr>
            <w:tcW w:w="7940" w:type="dxa"/>
            <w:vAlign w:val="bottom"/>
            <w:gridSpan w:val="11"/>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Properties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3 Legal Proceedings</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4 Mine Safety Disclosures</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20" w:type="dxa"/>
            <w:vAlign w:val="bottom"/>
            <w:gridSpan w:val="6"/>
            <w:vMerge w:val="restart"/>
          </w:tcPr>
          <w:p>
            <w:pPr>
              <w:jc w:val="center"/>
              <w:ind w:right="4500"/>
              <w:spacing w:after="0"/>
              <w:rPr>
                <w:sz w:val="20"/>
                <w:szCs w:val="20"/>
                <w:color w:val="auto"/>
              </w:rPr>
            </w:pPr>
            <w:r>
              <w:rPr>
                <w:rFonts w:ascii="Arial" w:cs="Arial" w:eastAsia="Arial" w:hAnsi="Arial"/>
                <w:sz w:val="18"/>
                <w:szCs w:val="18"/>
                <w:color w:val="auto"/>
                <w:w w:val="95"/>
              </w:rPr>
              <w:t>PART II</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6"/>
            <w:vMerge w:val="continue"/>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0620" w:type="dxa"/>
            <w:vAlign w:val="bottom"/>
            <w:gridSpan w:val="22"/>
          </w:tcPr>
          <w:p>
            <w:pPr>
              <w:spacing w:after="0" w:line="170" w:lineRule="exact"/>
              <w:rPr>
                <w:rFonts w:ascii="Arial" w:cs="Arial" w:eastAsia="Arial" w:hAnsi="Arial"/>
                <w:sz w:val="18"/>
                <w:szCs w:val="18"/>
                <w:color w:val="0000EE"/>
              </w:rPr>
            </w:pPr>
            <w:hyperlink w:anchor="page30">
              <w:r>
                <w:rPr>
                  <w:rFonts w:ascii="Arial" w:cs="Arial" w:eastAsia="Arial" w:hAnsi="Arial"/>
                  <w:sz w:val="18"/>
                  <w:szCs w:val="18"/>
                  <w:color w:val="0000EE"/>
                </w:rPr>
                <w:t>Item 5 Market for Registrant’s Common Equity, Related Shareholder Matters and Issuer Purchases of Equity Securities</w:t>
              </w:r>
            </w:hyperlink>
          </w:p>
        </w:tc>
        <w:tc>
          <w:tcPr>
            <w:tcW w:w="560" w:type="dxa"/>
            <w:vAlign w:val="bottom"/>
          </w:tcPr>
          <w:p>
            <w:pPr>
              <w:jc w:val="right"/>
              <w:spacing w:after="0" w:line="170"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85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6 Selected Financial Data</w:t>
              </w:r>
            </w:hyperlink>
          </w:p>
        </w:tc>
        <w:tc>
          <w:tcPr>
            <w:tcW w:w="2040" w:type="dxa"/>
            <w:vAlign w:val="bottom"/>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9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7 Management’s Discussion and Analysis of Financial Condition and Results of Operations</w:t>
              </w:r>
            </w:hyperlink>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0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7A Quantitative and Qualitative Disclosures About Market Risk</w:t>
              </w:r>
            </w:hyperlink>
          </w:p>
        </w:tc>
        <w:tc>
          <w:tcPr>
            <w:tcW w:w="10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8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Item 8 Financial Statements and Supplementary Data</w:t>
              </w:r>
            </w:hyperlink>
          </w:p>
        </w:tc>
        <w:tc>
          <w:tcPr>
            <w:tcW w:w="6780" w:type="dxa"/>
            <w:vAlign w:val="bottom"/>
            <w:gridSpan w:val="8"/>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9 Changes in and Disagreements with Accountants on Accounting and Financial Disclosure</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Item 9A Controls and Procedures</w:t>
              </w:r>
            </w:hyperlink>
          </w:p>
        </w:tc>
        <w:tc>
          <w:tcPr>
            <w:tcW w:w="4560" w:type="dxa"/>
            <w:vAlign w:val="bottom"/>
            <w:tcBorders>
              <w:top w:val="single" w:sz="8" w:color="0000EE"/>
            </w:tcBorders>
            <w:gridSpan w:val="9"/>
          </w:tcPr>
          <w:p>
            <w:pPr>
              <w:spacing w:after="0"/>
              <w:rPr>
                <w:sz w:val="18"/>
                <w:szCs w:val="18"/>
                <w:color w:val="auto"/>
              </w:rPr>
            </w:pPr>
          </w:p>
        </w:tc>
        <w:tc>
          <w:tcPr>
            <w:tcW w:w="3640" w:type="dxa"/>
            <w:vAlign w:val="bottom"/>
            <w:gridSpan w:val="3"/>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9B Other Information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gridSpan w:val="6"/>
            <w:vMerge w:val="restart"/>
          </w:tcPr>
          <w:p>
            <w:pPr>
              <w:jc w:val="center"/>
              <w:ind w:right="4480"/>
              <w:spacing w:after="0"/>
              <w:rPr>
                <w:sz w:val="20"/>
                <w:szCs w:val="20"/>
                <w:color w:val="auto"/>
              </w:rPr>
            </w:pPr>
            <w:r>
              <w:rPr>
                <w:rFonts w:ascii="Arial" w:cs="Arial" w:eastAsia="Arial" w:hAnsi="Arial"/>
                <w:sz w:val="18"/>
                <w:szCs w:val="18"/>
                <w:color w:val="auto"/>
                <w:w w:val="96"/>
              </w:rPr>
              <w:t>PART III</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gridSpan w:val="15"/>
            <w:vMerge w:val="restart"/>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Item 10 Directors, Executive Officers and Corporate Governance</w:t>
              </w:r>
            </w:hyperlink>
          </w:p>
        </w:tc>
        <w:tc>
          <w:tcPr>
            <w:tcW w:w="300" w:type="dxa"/>
            <w:vAlign w:val="bottom"/>
          </w:tcPr>
          <w:p>
            <w:pPr>
              <w:spacing w:after="0"/>
              <w:rPr>
                <w:sz w:val="21"/>
                <w:szCs w:val="21"/>
                <w:color w:val="auto"/>
              </w:rPr>
            </w:pPr>
          </w:p>
        </w:tc>
        <w:tc>
          <w:tcPr>
            <w:tcW w:w="5620" w:type="dxa"/>
            <w:vAlign w:val="bottom"/>
            <w:gridSpan w:val="6"/>
            <w:vMerge w:val="continue"/>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700" w:type="dxa"/>
            <w:vAlign w:val="bottom"/>
            <w:tcBorders>
              <w:bottom w:val="single" w:sz="8" w:color="0000EE"/>
            </w:tcBorders>
            <w:gridSpan w:val="15"/>
            <w:vMerge w:val="continue"/>
          </w:tcPr>
          <w:p>
            <w:pPr>
              <w:spacing w:after="0"/>
              <w:rPr>
                <w:sz w:val="16"/>
                <w:szCs w:val="16"/>
                <w:color w:val="auto"/>
              </w:rPr>
            </w:pPr>
          </w:p>
        </w:tc>
        <w:tc>
          <w:tcPr>
            <w:tcW w:w="1360" w:type="dxa"/>
            <w:vAlign w:val="bottom"/>
            <w:gridSpan w:val="2"/>
          </w:tcPr>
          <w:p>
            <w:pPr>
              <w:spacing w:after="0"/>
              <w:rPr>
                <w:sz w:val="16"/>
                <w:szCs w:val="16"/>
                <w:color w:val="auto"/>
              </w:rPr>
            </w:pPr>
          </w:p>
        </w:tc>
        <w:tc>
          <w:tcPr>
            <w:tcW w:w="1840" w:type="dxa"/>
            <w:vAlign w:val="bottom"/>
            <w:gridSpan w:val="3"/>
          </w:tcPr>
          <w:p>
            <w:pPr>
              <w:spacing w:after="0"/>
              <w:rPr>
                <w:sz w:val="16"/>
                <w:szCs w:val="16"/>
                <w:color w:val="auto"/>
              </w:rPr>
            </w:pPr>
          </w:p>
        </w:tc>
        <w:tc>
          <w:tcPr>
            <w:tcW w:w="2720" w:type="dxa"/>
            <w:vAlign w:val="bottom"/>
            <w:gridSpan w:val="2"/>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4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Item 11 Executive Compensation</w:t>
              </w:r>
            </w:hyperlink>
          </w:p>
        </w:tc>
        <w:tc>
          <w:tcPr>
            <w:tcW w:w="8220" w:type="dxa"/>
            <w:vAlign w:val="bottom"/>
            <w:gridSpan w:val="13"/>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9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Item 12 Security Ownership of Certain Beneficial Owners and Management and Related Shareholder Matters</w:t>
              </w:r>
            </w:hyperlink>
          </w:p>
        </w:tc>
        <w:tc>
          <w:tcPr>
            <w:tcW w:w="2720" w:type="dxa"/>
            <w:vAlign w:val="bottom"/>
            <w:gridSpan w:val="2"/>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Item 13 Certain Relationships and Related Transactions, and Director Independence</w:t>
              </w:r>
            </w:hyperlink>
          </w:p>
        </w:tc>
        <w:tc>
          <w:tcPr>
            <w:tcW w:w="4560" w:type="dxa"/>
            <w:vAlign w:val="bottom"/>
            <w:gridSpan w:val="5"/>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Item 14 Principal Accountant Fees and Services</w:t>
              </w:r>
            </w:hyperlink>
          </w:p>
        </w:tc>
        <w:tc>
          <w:tcPr>
            <w:tcW w:w="300" w:type="dxa"/>
            <w:vAlign w:val="bottom"/>
          </w:tcPr>
          <w:p>
            <w:pPr>
              <w:spacing w:after="0"/>
              <w:rPr>
                <w:sz w:val="18"/>
                <w:szCs w:val="18"/>
                <w:color w:val="auto"/>
              </w:rPr>
            </w:pPr>
          </w:p>
        </w:tc>
        <w:tc>
          <w:tcPr>
            <w:tcW w:w="686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6"/>
          </w:tcPr>
          <w:p>
            <w:pPr>
              <w:jc w:val="center"/>
              <w:ind w:right="4480"/>
              <w:spacing w:after="0"/>
              <w:rPr>
                <w:sz w:val="20"/>
                <w:szCs w:val="20"/>
                <w:color w:val="auto"/>
              </w:rPr>
            </w:pPr>
            <w:r>
              <w:rPr>
                <w:rFonts w:ascii="Arial" w:cs="Arial" w:eastAsia="Arial" w:hAnsi="Arial"/>
                <w:sz w:val="18"/>
                <w:szCs w:val="18"/>
                <w:color w:val="auto"/>
                <w:w w:val="94"/>
              </w:rPr>
              <w:t>PART IV</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Borders>
              <w:bottom w:val="single" w:sz="8" w:color="0000EE"/>
            </w:tcBorders>
            <w:gridSpan w:val="13"/>
          </w:tcPr>
          <w:p>
            <w:pPr>
              <w:spacing w:after="0" w:line="170"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Item 15 Exhibits and Financial Statement Schedules</w:t>
              </w:r>
            </w:hyperlink>
          </w:p>
        </w:tc>
        <w:tc>
          <w:tcPr>
            <w:tcW w:w="6860" w:type="dxa"/>
            <w:vAlign w:val="bottom"/>
            <w:gridSpan w:val="9"/>
          </w:tcPr>
          <w:p>
            <w:pPr>
              <w:spacing w:after="0"/>
              <w:rPr>
                <w:sz w:val="16"/>
                <w:szCs w:val="16"/>
                <w:color w:val="auto"/>
              </w:rPr>
            </w:pPr>
          </w:p>
        </w:tc>
        <w:tc>
          <w:tcPr>
            <w:tcW w:w="560" w:type="dxa"/>
            <w:vAlign w:val="bottom"/>
          </w:tcPr>
          <w:p>
            <w:pPr>
              <w:jc w:val="right"/>
              <w:spacing w:after="0" w:line="170"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Item 16 Form 10-K Summary</w:t>
              </w:r>
            </w:hyperlink>
          </w:p>
        </w:tc>
        <w:tc>
          <w:tcPr>
            <w:tcW w:w="8400" w:type="dxa"/>
            <w:vAlign w:val="bottom"/>
            <w:gridSpan w:val="15"/>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1"/>
        </w:trPr>
        <w:tc>
          <w:tcPr>
            <w:tcW w:w="6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6"/>
          <w:szCs w:val="16"/>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63" w:lineRule="exact"/>
        <w:rPr>
          <w:sz w:val="20"/>
          <w:szCs w:val="20"/>
          <w:color w:val="auto"/>
        </w:rPr>
      </w:pPr>
    </w:p>
    <w:p>
      <w:pPr>
        <w:ind w:left="860" w:hanging="366"/>
        <w:spacing w:after="0" w:line="308"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212529"/>
        </w:rPr>
        <w:t>our ability to manage general economic, business and geopolitical conditions, including the impacts of natural disasters, pandemics and outbreaks of contagious diseases and other adverse public health developments, such as the COVID-19 pandemic;</w:t>
      </w:r>
    </w:p>
    <w:p>
      <w:pPr>
        <w:spacing w:after="0" w:line="38" w:lineRule="exact"/>
        <w:rPr>
          <w:rFonts w:ascii="Arial" w:cs="Arial" w:eastAsia="Arial" w:hAnsi="Arial"/>
          <w:sz w:val="17"/>
          <w:szCs w:val="17"/>
          <w:color w:val="auto"/>
        </w:rPr>
      </w:pPr>
    </w:p>
    <w:p>
      <w:pPr>
        <w:ind w:left="860" w:hanging="366"/>
        <w:spacing w:after="0" w:line="342"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deterioration of market conditions, including our dependence on customers' capital budgets for sales of products and services, and adverse impacts on costs and the demand for our products as a result of factors such as the COVID-19 pandemic and the implementation of tariffs;</w:t>
      </w:r>
    </w:p>
    <w:p>
      <w:pPr>
        <w:spacing w:after="0" w:line="15" w:lineRule="exact"/>
        <w:rPr>
          <w:rFonts w:ascii="Arial" w:cs="Arial" w:eastAsia="Arial" w:hAnsi="Arial"/>
          <w:sz w:val="16"/>
          <w:szCs w:val="16"/>
          <w:color w:val="auto"/>
        </w:rPr>
      </w:pPr>
    </w:p>
    <w:p>
      <w:pPr>
        <w:ind w:left="860" w:hanging="36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launch, manage and maintain our refocused business strategy to successfully bring to market new and innovative product and service offerings;</w:t>
      </w:r>
    </w:p>
    <w:p>
      <w:pPr>
        <w:spacing w:after="0" w:line="62"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and continued reliance on significant revenue to be generated in fiscal 2022 from the lighting and controls retrofit projects for two major global logistics companies;</w:t>
      </w:r>
    </w:p>
    <w:p>
      <w:pPr>
        <w:spacing w:after="0" w:line="62"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key customers, and the potential consequences of the loss of one or more key customers or suppliers, including key contacts at such customers;</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identify and successfully complete transactions with suitable acquisition candidates in the future as part of our growth strategy;</w:t>
      </w:r>
    </w:p>
    <w:p>
      <w:pPr>
        <w:spacing w:after="0" w:line="140" w:lineRule="exact"/>
        <w:rPr>
          <w:rFonts w:ascii="Arial" w:cs="Arial" w:eastAsia="Arial" w:hAnsi="Arial"/>
          <w:sz w:val="16"/>
          <w:szCs w:val="16"/>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additional debt financing and/or equity capital to pursue our evolving strategy and sustain our growth initiatives;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of potential loss related to single or focused exposure within the current customer base and product offerings;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our profitability and positive cash flows;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differentiate our products in a highly competitive and converging market, expand our customer base and gain market share;</w:t>
      </w:r>
    </w:p>
    <w:p>
      <w:pPr>
        <w:spacing w:after="0" w:line="128" w:lineRule="exact"/>
        <w:rPr>
          <w:rFonts w:ascii="Arial" w:cs="Arial" w:eastAsia="Arial" w:hAnsi="Arial"/>
          <w:sz w:val="17"/>
          <w:szCs w:val="17"/>
          <w:color w:val="auto"/>
        </w:rPr>
      </w:pPr>
    </w:p>
    <w:p>
      <w:pPr>
        <w:ind w:left="860" w:hanging="36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mitigate downward pressure on the average selling prices of our products as a result of competitive pressures in the light emitting diode ("LED") market;</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and avoid inventory obsolescence in a rapidly evolving LED market;</w:t>
      </w:r>
    </w:p>
    <w:p>
      <w:pPr>
        <w:spacing w:after="0" w:line="117"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reliance on third parties for the manufacture and development of products, product components, as well as the provision of certain services;</w:t>
      </w:r>
    </w:p>
    <w:p>
      <w:pPr>
        <w:spacing w:after="0" w:line="62"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emphasis on selling more of our products through third party distributors and sales agents, including our ability to attract and retain effective third party distributors and sales agents to execute our sales model;</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participate in new product and technology offerings or applications in a cost effective and timely manner;</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safe and secure information technology systems;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covenants in our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hire and retain talented individuals in all disciplines of our company;</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balance customer demand and production capacity;</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117"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fluctuations (including as a result of tariffs), shortages or interruptions of component supplies and raw materials used to manufacture our products;</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defend our patent portfolio and license technology from third parties;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reduction in the price of electricity;</w:t>
      </w:r>
    </w:p>
    <w:p>
      <w:pPr>
        <w:spacing w:after="0" w:line="117" w:lineRule="exact"/>
        <w:rPr>
          <w:rFonts w:ascii="Arial" w:cs="Arial" w:eastAsia="Arial" w:hAnsi="Arial"/>
          <w:sz w:val="18"/>
          <w:szCs w:val="18"/>
          <w:color w:val="auto"/>
        </w:rPr>
      </w:pPr>
    </w:p>
    <w:p>
      <w:pPr>
        <w:ind w:left="860" w:right="20" w:hanging="36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comply with, and the effects of, any current and future industry and government regulations, laws and policies; and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warranty claims in excess of our reserve estimates.</w:t>
      </w:r>
    </w:p>
    <w:p>
      <w:pPr>
        <w:spacing w:after="0" w:line="225"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70" w:lineRule="exact"/>
        <w:rPr>
          <w:sz w:val="20"/>
          <w:szCs w:val="20"/>
          <w:color w:val="auto"/>
        </w:rPr>
      </w:pPr>
    </w:p>
    <w:p>
      <w:pPr>
        <w:ind w:firstLine="499"/>
        <w:spacing w:after="0" w:line="342" w:lineRule="auto"/>
        <w:rPr>
          <w:sz w:val="20"/>
          <w:szCs w:val="20"/>
          <w:color w:val="auto"/>
        </w:rPr>
      </w:pPr>
      <w:r>
        <w:rPr>
          <w:rFonts w:ascii="Arial" w:cs="Arial" w:eastAsia="Arial" w:hAnsi="Arial"/>
          <w:sz w:val="16"/>
          <w:szCs w:val="16"/>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right="20" w:firstLine="494"/>
        <w:spacing w:after="0" w:line="277" w:lineRule="auto"/>
        <w:rPr>
          <w:sz w:val="20"/>
          <w:szCs w:val="20"/>
          <w:color w:val="auto"/>
        </w:rPr>
      </w:pPr>
      <w:r>
        <w:rPr>
          <w:rFonts w:ascii="Arial" w:cs="Arial" w:eastAsia="Arial" w:hAnsi="Arial"/>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color w:val="auto"/>
        </w:rPr>
        <w:t>We provide state-of-the-art light emitting diode (“LED”) lighting systems, wireless Internet of Things (“IoT”) enabled control solutions, project engineering, design energy project management and maintenance services. We help our customers achieve energy savings with healthy, safe and sustainable solutions that enable them to reduce their carbon footprint and digitize their business.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9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principal customers include large national account end-users, electrical distributors, electrical contractors and energy service companies (“ESCOS”). Currently, a significant amount of our products are manufactured at our leased production facility located in Manitowoc, Wisconsin, although as the LED and related IoT market continues to evolve, we are increasingly sourcing products and components from third parties in order to diversify our product offerings.</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w:t>
      </w:r>
    </w:p>
    <w:p>
      <w:pPr>
        <w:spacing w:after="0" w:line="184"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We generally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92"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as well as project management services. We also sell our lighting systems on a wholesale basis, principally to electrical distributors, electrical contractors and ESCOs to sell to their own customer bases.</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84"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fiscal year ends on March 31. We refer to our current fiscal year which ended on March 31, 2021 as "fiscal 2021". We refer to our most recently completed fiscal year, which ended on March 31, 2020, as “fiscal 2020”, and our prior fiscal year which ended on March 31, 2019 as "fiscal 2019". Our fiscal first quarter of each fiscal year ends on June 30, our fiscal second quarter ends on September 30, our fiscal third quarter ends on December 31, and our fiscal fourth quarter ends on March 31.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jc w:val="both"/>
        <w:ind w:firstLine="494"/>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Engineered Systems Division ("OES"), and Orion Distribution Services Division ("ODS"), and Orion U.S. Markets Division ("USM").</w:t>
      </w:r>
    </w:p>
    <w:p>
      <w:pPr>
        <w:spacing w:after="0" w:line="16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For financial results by reportable segment, please refer to Note 18 – Segment Data in our consolidated financial statements included in Item 8. of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2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21"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21" w:lineRule="exact"/>
        <w:rPr>
          <w:sz w:val="20"/>
          <w:szCs w:val="20"/>
          <w:color w:val="auto"/>
        </w:rPr>
      </w:pPr>
    </w:p>
    <w:p>
      <w:pPr>
        <w:jc w:val="both"/>
        <w:ind w:right="20" w:firstLine="494"/>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We provide enterprise-grade LED lighting and energy management project solutions. We are primarily focused on providing commercial and industrial facilities lighting retrofit solutions in North America using solid-state LED technology. We believe the market for lighting products has shifted to LED lighting systems and continues to grow.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other technologies.</w:t>
      </w:r>
    </w:p>
    <w:p>
      <w:pPr>
        <w:spacing w:after="0" w:line="176"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Our products deliver energy savings and efficiency gains to our commercial and industrial customers without compromising their quantity or quality of light. We estimate that our energy management systems reduce our customers’ legacy lighting-related electricity costs by approximately 50% or greater, while maintaining their quantity of light after the reduced wattage and improving overall lighting quality when replacing traditional fixtures. Our customers with legacy lighting systems typically realize a one to four-year payback period, and most often 18 – 24 months, from electricity cost savings generated by our lighting systems without considering utility incentives or government subsidies. Energy-efficient lighting systems are cost-effective and environmentally responsible solutions allowing end users to reduce operating expenses and their carbon footprint.</w:t>
      </w:r>
    </w:p>
    <w:p>
      <w:pPr>
        <w:spacing w:after="0" w:line="178"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We serve government and private sector end-customers in the following primary markets: commercial office and retail, exterior area lighting and industrial applications.</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Commercial office and retail. </w:t>
      </w:r>
      <w:r>
        <w:rPr>
          <w:rFonts w:ascii="Arial" w:cs="Arial" w:eastAsia="Arial" w:hAnsi="Arial"/>
          <w:sz w:val="18"/>
          <w:szCs w:val="18"/>
          <w:color w:val="auto"/>
        </w:rPr>
        <w:t>Our commercial office and retail market includes commercial office buildings, retail store fronts, government offices,</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hospitals and other buildings with traditional 10 to 12 foot ceiling heights.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Exterior Area lighting. </w:t>
      </w:r>
      <w:r>
        <w:rPr>
          <w:rFonts w:ascii="Arial" w:cs="Arial" w:eastAsia="Arial" w:hAnsi="Arial"/>
          <w:sz w:val="17"/>
          <w:szCs w:val="17"/>
          <w:color w:val="auto"/>
        </w:rPr>
        <w:t>Our market for area lighting includes parking garages, surface lots, automobile dealerships and gas service stations.</w:t>
      </w:r>
    </w:p>
    <w:p>
      <w:pPr>
        <w:spacing w:after="0" w:line="23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Industrial applications. </w:t>
      </w:r>
      <w:r>
        <w:rPr>
          <w:rFonts w:ascii="Arial" w:cs="Arial" w:eastAsia="Arial" w:hAnsi="Arial"/>
          <w:sz w:val="18"/>
          <w:szCs w:val="18"/>
          <w:color w:val="auto"/>
        </w:rPr>
        <w:t>Our market for industrial facilities includes manufacturing facilities, distribution and warehouse facilities,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buildings and agricultural buildings. These facilities typically contain "high-bay" lighting fixtures.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ind w:firstLine="494"/>
        <w:spacing w:after="0" w:line="286" w:lineRule="auto"/>
        <w:rPr>
          <w:sz w:val="20"/>
          <w:szCs w:val="20"/>
          <w:color w:val="auto"/>
        </w:rPr>
      </w:pPr>
      <w:r>
        <w:rPr>
          <w:rFonts w:ascii="Arial" w:cs="Arial" w:eastAsia="Arial" w:hAnsi="Arial"/>
          <w:sz w:val="17"/>
          <w:szCs w:val="17"/>
          <w:color w:val="auto"/>
        </w:rPr>
        <w:t>Commercial and industrial facilities in the United States employ a variety of lighting technologies, including HID, traditional fluorescents, LED and incandescent lighting fixtures. We estimate that approximately 50% of this market still utilizes inefficient high intensity discharge ("HID") lighting technologies. Our lighting systems typically replace less efficient HID, HIF fixtures, and earlier generation of LED fixtures.</w:t>
      </w:r>
    </w:p>
    <w:p>
      <w:pPr>
        <w:spacing w:after="0" w:line="165"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utilities design and fund programs that promote or deliver energy efficiency through legislation, regulation or voluntary action. Our product sales are not solely dependent upon these incentive programs, but we do believe that these incentive programs provide an important benefit as our customers evaluate their out-of-pocket cash investments.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i w:val="1"/>
          <w:iCs w:val="1"/>
          <w:color w:val="auto"/>
        </w:rPr>
        <w:t xml:space="preserve">Value Proposition. </w:t>
      </w:r>
      <w:r>
        <w:rPr>
          <w:rFonts w:ascii="Arial" w:cs="Arial" w:eastAsia="Arial" w:hAnsi="Arial"/>
          <w:sz w:val="18"/>
          <w:szCs w:val="18"/>
          <w:color w:val="auto"/>
        </w:rPr>
        <w:t>We estimate our LED lighting systems generally reduce lighting-related electricity usage and costs by approximately 50% or</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compared to legacy fixtures, while retaining the quantity of light, improving overall lighting quality and helping customers reduce their carbon footprint.</w:t>
      </w:r>
    </w:p>
    <w:p>
      <w:pPr>
        <w:spacing w:after="0" w:line="184"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i w:val="1"/>
          <w:iCs w:val="1"/>
          <w:color w:val="auto"/>
        </w:rPr>
        <w:t xml:space="preserve">Multi-Facility Roll-Out Capability. </w:t>
      </w:r>
      <w:r>
        <w:rPr>
          <w:rFonts w:ascii="Arial" w:cs="Arial" w:eastAsia="Arial" w:hAnsi="Arial"/>
          <w:sz w:val="16"/>
          <w:szCs w:val="16"/>
          <w:color w:val="auto"/>
        </w:rPr>
        <w:t>We offer our customers a single source, turnkey solution for project implementation in which we manage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responsibility for 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pacing w:after="0" w:line="149"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Rapid Payback Period. </w:t>
      </w:r>
      <w:r>
        <w:rPr>
          <w:rFonts w:ascii="Arial" w:cs="Arial" w:eastAsia="Arial" w:hAnsi="Arial"/>
          <w:sz w:val="18"/>
          <w:szCs w:val="18"/>
          <w:color w:val="auto"/>
        </w:rPr>
        <w:t>In most retrofit projects where we replace HID and HIF fixtures, our customers typically realize a one to four year, but most</w:t>
      </w:r>
      <w:r>
        <w:rPr>
          <w:rFonts w:ascii="Arial" w:cs="Arial" w:eastAsia="Arial" w:hAnsi="Arial"/>
          <w:sz w:val="18"/>
          <w:szCs w:val="18"/>
          <w:i w:val="1"/>
          <w:iCs w:val="1"/>
          <w:color w:val="auto"/>
        </w:rPr>
        <w:t xml:space="preserve"> </w:t>
      </w:r>
      <w:r>
        <w:rPr>
          <w:rFonts w:ascii="Arial" w:cs="Arial" w:eastAsia="Arial" w:hAnsi="Arial"/>
          <w:sz w:val="18"/>
          <w:szCs w:val="18"/>
          <w:color w:val="auto"/>
        </w:rPr>
        <w:t>often 18 – 24 months, payback period on our lighting systems. These returns are achieved without considering utility incentives or government subsidies (although subsidies and incentives are continually being made available to our customers in connection with the installation of our systems that further shorten payback periods).</w:t>
      </w:r>
    </w:p>
    <w:p>
      <w:pPr>
        <w:spacing w:after="0" w:line="187"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i w:val="1"/>
          <w:iCs w:val="1"/>
          <w:color w:val="auto"/>
        </w:rPr>
        <w:t xml:space="preserve">Easy Installation, Implementation and Maintenance. </w:t>
      </w:r>
      <w:r>
        <w:rPr>
          <w:rFonts w:ascii="Arial" w:cs="Arial" w:eastAsia="Arial" w:hAnsi="Arial"/>
          <w:sz w:val="16"/>
          <w:szCs w:val="16"/>
          <w:color w:val="auto"/>
        </w:rPr>
        <w:t>Most of our fixtures are designed with a lightweight construction and modular plug-and-play</w:t>
      </w:r>
      <w:r>
        <w:rPr>
          <w:rFonts w:ascii="Arial" w:cs="Arial" w:eastAsia="Arial" w:hAnsi="Arial"/>
          <w:sz w:val="16"/>
          <w:szCs w:val="16"/>
          <w:i w:val="1"/>
          <w:iCs w:val="1"/>
          <w:color w:val="auto"/>
        </w:rPr>
        <w:t xml:space="preserve"> </w:t>
      </w:r>
      <w:r>
        <w:rPr>
          <w:rFonts w:ascii="Arial" w:cs="Arial" w:eastAsia="Arial" w:hAnsi="Arial"/>
          <w:sz w:val="16"/>
          <w:szCs w:val="16"/>
          <w:color w:val="auto"/>
        </w:rPr>
        <w:t>architecture that allows for fast and easy installation, facilitates maintenance, and integration of other components of our energy management system. Our office LED Troffer Door Retrofit (</w:t>
      </w:r>
      <w:r>
        <w:rPr>
          <w:rFonts w:ascii="Arial" w:cs="Arial" w:eastAsia="Arial" w:hAnsi="Arial"/>
          <w:sz w:val="16"/>
          <w:szCs w:val="16"/>
          <w:i w:val="1"/>
          <w:iCs w:val="1"/>
          <w:color w:val="auto"/>
        </w:rPr>
        <w:t>"</w:t>
      </w:r>
      <w:r>
        <w:rPr>
          <w:rFonts w:ascii="Arial" w:cs="Arial" w:eastAsia="Arial" w:hAnsi="Arial"/>
          <w:sz w:val="16"/>
          <w:szCs w:val="16"/>
          <w:color w:val="auto"/>
        </w:rPr>
        <w:t>LDR</w:t>
      </w:r>
      <w:r>
        <w:rPr>
          <w:rFonts w:ascii="Arial" w:cs="Arial" w:eastAsia="Arial" w:hAnsi="Arial"/>
          <w:sz w:val="13"/>
          <w:szCs w:val="13"/>
          <w:color w:val="auto"/>
        </w:rPr>
        <w:t>TM</w:t>
      </w:r>
      <w:r>
        <w:rPr>
          <w:rFonts w:ascii="Arial" w:cs="Arial" w:eastAsia="Arial" w:hAnsi="Arial"/>
          <w:sz w:val="16"/>
          <w:szCs w:val="16"/>
          <w:color w:val="auto"/>
        </w:rPr>
        <w:t>") products are designed to allow for fast and easy installation without disrupting the ceiling space or the office workspace.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61"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i w:val="1"/>
          <w:iCs w:val="1"/>
          <w:color w:val="auto"/>
        </w:rPr>
        <w:t xml:space="preserve">Expanded Product Offerings. </w:t>
      </w:r>
      <w:r>
        <w:rPr>
          <w:rFonts w:ascii="Arial" w:cs="Arial" w:eastAsia="Arial" w:hAnsi="Arial"/>
          <w:sz w:val="17"/>
          <w:szCs w:val="17"/>
          <w:color w:val="auto"/>
        </w:rPr>
        <w:t>We are committed to continuing to develop LED product offerings in all of the markets we serve. Our third generation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ISON® class of LED interior fixture delivers a market leading up to 214 lumens per watt. This advancement means our customers can get more light with less energy, and sometimes fewer fixtures, than with any other product on the market. We have also recently launched a variety of new products, features and functionality targeting healthcare, food service, high and low temperature environments and other market segments. Our lighting products also may be configured to include IoT enabled control systems. See "Products and Services" below.</w:t>
      </w:r>
    </w:p>
    <w:p>
      <w:pPr>
        <w:spacing w:after="0" w:line="176"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Environmental Benefits. </w:t>
      </w:r>
      <w:r>
        <w:rPr>
          <w:rFonts w:ascii="Arial" w:cs="Arial" w:eastAsia="Arial" w:hAnsi="Arial"/>
          <w:sz w:val="18"/>
          <w:szCs w:val="18"/>
          <w:color w:val="auto"/>
        </w:rPr>
        <w:t>By allowing for the permanent reduction of electricity consumption, we believe our energy management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reduce indirect CO2 emissions that are a negative by-product of energy generation.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i w:val="1"/>
          <w:iCs w:val="1"/>
          <w:color w:val="auto"/>
        </w:rPr>
        <w:t xml:space="preserve">Compelling Value Proposition. </w:t>
      </w:r>
      <w:r>
        <w:rPr>
          <w:rFonts w:ascii="Arial" w:cs="Arial" w:eastAsia="Arial" w:hAnsi="Arial"/>
          <w:sz w:val="18"/>
          <w:szCs w:val="18"/>
          <w:color w:val="auto"/>
        </w:rPr>
        <w:t>By permanently reducing lighting-related electricity usage, our systems enable our customers to achieve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cost savings, without compromising quantity and quality of light in their facilities. As a result, our products offer our customers a rapid return on their investment, without relying on government subsidies or utility incentives.</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Comprehensive Project Management. </w:t>
      </w:r>
      <w:r>
        <w:rPr>
          <w:rFonts w:ascii="Arial" w:cs="Arial" w:eastAsia="Arial" w:hAnsi="Arial"/>
          <w:sz w:val="18"/>
          <w:szCs w:val="18"/>
          <w:color w:val="auto"/>
        </w:rPr>
        <w:t>We offer our customers a single source solution whereby we manage and are responsible for an entire retrofit</w:t>
      </w:r>
      <w:r>
        <w:rPr>
          <w:rFonts w:ascii="Arial" w:cs="Arial" w:eastAsia="Arial" w:hAnsi="Arial"/>
          <w:sz w:val="18"/>
          <w:szCs w:val="18"/>
          <w:i w:val="1"/>
          <w:iCs w:val="1"/>
          <w:color w:val="auto"/>
        </w:rPr>
        <w:t xml:space="preserve"> </w:t>
      </w:r>
      <w:r>
        <w:rPr>
          <w:rFonts w:ascii="Arial" w:cs="Arial" w:eastAsia="Arial" w:hAnsi="Arial"/>
          <w:sz w:val="18"/>
          <w:szCs w:val="18"/>
          <w:color w:val="auto"/>
        </w:rPr>
        <w:t>lighting project, from initial site surveys and energy audits through to installation and controls integration. Our ability to offer such comprehensive turnkey project management services, coupled with best-in-class customer service, allows us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deliver energy reductions and cost savings to our customers in timely, orderly and planned multi-facility rollouts nationwide. We believe one of our competitive advantages is our ability to deliver full turnkey LED lighting project capabilities. These turnkey services were the principal reason we achieved significant revenue growth in fiscal 2020 as we executed on our commitment to retrofit multiple locations for a major national account customer. This roll-out resumed in the second half of fiscal 2021 after a suspension in the first half of fiscal 2021 related to the COVID-19 pandemic response.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 LED lighting across locations nationwide. Few LED lighting providers are organized to serve every step of a custom retrofit project in a comprehensive, non-disruptive and timely fashion, from custom fixture design and initial site surveys to final installations. Incrementally, we are also able to help customers deploy state-of-the-art control systems that provide even greater long-term value from their lighting system investments.</w:t>
      </w:r>
    </w:p>
    <w:p>
      <w:pPr>
        <w:spacing w:after="0" w:line="181"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i w:val="1"/>
          <w:iCs w:val="1"/>
          <w:color w:val="auto"/>
        </w:rPr>
        <w:t xml:space="preserve">Large and Growing Customer Base. </w:t>
      </w:r>
      <w:r>
        <w:rPr>
          <w:rFonts w:ascii="Arial" w:cs="Arial" w:eastAsia="Arial" w:hAnsi="Arial"/>
          <w:sz w:val="17"/>
          <w:szCs w:val="17"/>
          <w:color w:val="auto"/>
        </w:rPr>
        <w:t>We have developed a large and growing national customer base and have installed our products in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industrial facilities across North America.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hospitals, fast food chains, retail storefronts, grocery and pharmacies.</w:t>
      </w:r>
    </w:p>
    <w:p>
      <w:pPr>
        <w:spacing w:after="0" w:line="176" w:lineRule="exact"/>
        <w:rPr>
          <w:sz w:val="20"/>
          <w:szCs w:val="20"/>
          <w:color w:val="auto"/>
        </w:rPr>
      </w:pPr>
    </w:p>
    <w:p>
      <w:pPr>
        <w:jc w:val="both"/>
        <w:ind w:firstLine="499"/>
        <w:spacing w:after="0" w:line="287" w:lineRule="auto"/>
        <w:rPr>
          <w:sz w:val="20"/>
          <w:szCs w:val="20"/>
          <w:color w:val="auto"/>
        </w:rPr>
      </w:pPr>
      <w:r>
        <w:rPr>
          <w:rFonts w:ascii="Arial" w:cs="Arial" w:eastAsia="Arial" w:hAnsi="Arial"/>
          <w:sz w:val="16"/>
          <w:szCs w:val="16"/>
          <w:i w:val="1"/>
          <w:iCs w:val="1"/>
          <w:color w:val="auto"/>
        </w:rPr>
        <w:t xml:space="preserve">Innovative Technology. </w:t>
      </w:r>
      <w:r>
        <w:rPr>
          <w:rFonts w:ascii="Arial" w:cs="Arial" w:eastAsia="Arial" w:hAnsi="Arial"/>
          <w:sz w:val="16"/>
          <w:szCs w:val="16"/>
          <w:color w:val="auto"/>
        </w:rPr>
        <w:t>We have developed a portfolio of United States patents primarily covering various elements of our products.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innovations allow our products to produce more light output per unit of input energy compared to our competition. We also have patents pending that primarily cover various elements of our newly developed LED products and certain business methods. To complement our innovative energy management products, our integrated energy management services provide our customers with a turnkey solution either at a single facility or across their North American facility footprints. Our demonstrated ability to innovate provides us with significant competitive advantages. Our lighting products offer significantly more light output as measured in foot-candles of light delivered per watt of electricity consumed when compared to HID or traditional fluorescent fixtures. Beyond the benefits of our lighting fixtures, we believe that there is also an opportunity to utilize our system platform as a “connected ceiling” or “smart ceiling”, or a framework or network that can support the installation and integration of other solutions on a digital platform. This “smart ceiling” can be integrated with other technologies to collect data and manage assets and resources more efficiently. Orion’s percentage of systems utilizing IoT enabled devices has grown significantly over the past few years and we expect this trend to continue. Our “Industrial Internet of Things” or IoT enabled devices not only contain energy management control functions, but also have the ability to collect facility usage and traffic data as well as collect data from other facility mechanical systems, providing our customers with a path to digitization for their business operations.</w:t>
      </w:r>
    </w:p>
    <w:p>
      <w:pPr>
        <w:spacing w:after="0" w:line="168"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i w:val="1"/>
          <w:iCs w:val="1"/>
          <w:color w:val="auto"/>
        </w:rPr>
        <w:t xml:space="preserve">Expanded Sales and Distribution Network. </w:t>
      </w:r>
      <w:r>
        <w:rPr>
          <w:rFonts w:ascii="Arial" w:cs="Arial" w:eastAsia="Arial" w:hAnsi="Arial"/>
          <w:sz w:val="17"/>
          <w:szCs w:val="17"/>
          <w:color w:val="auto"/>
        </w:rPr>
        <w:t>In addition to selling directly to national accounts, electrical contractors and ESCOs, we sell our lighting</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to electrical distributors through a North American network of independent lighting agencies. As of the end of fiscal 2021, we had 29 independent lighting agencies representing us in substantially all of North America. We intend to continue to selectively evaluate our sales network in the future, with a focus on geographic regions where we do not currently have a strong sales presence.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in Fiscal 2021</w:t>
      </w:r>
    </w:p>
    <w:p>
      <w:pPr>
        <w:spacing w:after="0" w:line="229"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The COVID-19 pandemic has disrupted business, trade, commerce, financial and credit markets, in the U.S. and globally. Our business was adversely impacted by measures taken by customers, suppliers, government entities and others to control the spread of the virus beginning in March 2020, the last few weeks of our prior fiscal year, and continuing most significantly into the second quarter of fiscal 2021. During the third quarter of fiscal 2021, we experienced a rebound in business. Project installations resumed for our largest customer and we started installations for a new large specialty retail customer. However, some customers continue to refrain from awarding new projects and potential future risks remain due to the COVID-19 pandemic.</w:t>
      </w:r>
    </w:p>
    <w:p>
      <w:pPr>
        <w:spacing w:after="0" w:line="16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As part of our response to the impacts of the COVID-19 pandemic, during the fourth quarter of fiscal 2020 we implemented a number of cost reduction and cash conservation measures, including reducing headcount. While certain restrictions began to initially lessen in certain jurisdictions during the second half of fiscal 2021, stay-at-home, face mask or lockdown orders remain in effect in others, with employees asked to work remotely if possible. Some customers and projects are in areas where travel restrictions have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7"/>
          <w:szCs w:val="17"/>
          <w:color w:val="auto"/>
        </w:rPr>
        <w:t>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have needed to make substantial working capital expenditures and advance inventory purchases that we may not be able to recoup if our customer agreements or a substantial volume of purchase orders under our customer agreements are delayed or terminated as a result of COVID-19.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 COVID-19 pandemic becomes more pronounced in our markets or experiences a resurgence in markets recovering from the spread of COVID-19, our results of operation would likely be materially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firstLine="494"/>
        <w:spacing w:after="0" w:line="289" w:lineRule="auto"/>
        <w:rPr>
          <w:sz w:val="20"/>
          <w:szCs w:val="20"/>
          <w:color w:val="auto"/>
        </w:rPr>
      </w:pPr>
      <w:r>
        <w:rPr>
          <w:rFonts w:ascii="Arial" w:cs="Arial" w:eastAsia="Arial" w:hAnsi="Arial"/>
          <w:sz w:val="16"/>
          <w:szCs w:val="16"/>
          <w:color w:val="auto"/>
        </w:rPr>
        <w:t>In fiscal 2021, we continued to successfully capitalize on our capability of being a full service, turn-key provider of LED lighting and controls systems with design, build, installation and project management services, including being awarded large additional projects for a major national account. To build on this success, we are evolving our business strategy to further leverage this unique capability, while making targeted additions to the scope and nature of our products and services to enhance the value we can provide to our customers. In particular, we are working to develop recurring revenue streams, including lighting and electrical maintenance services, with an emphasis on utilizing control sensor technology to collect data and assist customers in the digitization of this data, along with other potential services. We also plan to expand our “smart-building” and “connected ceiling” IoT capabilities, along with related software and control technology products and services offerings. While we intend to pursue these expansion strategies organically, we also are actively exploring potential acquisitions that could accelerate our progress. Our ability to achieve our desired revenue and profitability goals depends on our ability to manage the adverse impact of COVID-19 and effectively execute on the following key strategic initiatives.</w:t>
      </w:r>
    </w:p>
    <w:p>
      <w:pPr>
        <w:spacing w:after="0" w:line="166"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i w:val="1"/>
          <w:iCs w:val="1"/>
          <w:color w:val="auto"/>
        </w:rPr>
        <w:t xml:space="preserve">Focus on executing and marketing our turnkey LED retrofit capabilities to large national account customers. </w:t>
      </w:r>
      <w:r>
        <w:rPr>
          <w:rFonts w:ascii="Arial" w:cs="Arial" w:eastAsia="Arial" w:hAnsi="Arial"/>
          <w:sz w:val="18"/>
          <w:szCs w:val="18"/>
          <w:color w:val="auto"/>
        </w:rPr>
        <w:t>We believe one of our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is our ability to deliver full turnkey LED lighting project capabilities starting with energy audits and site assessments that lead to custom engineering and manufacturing through to fully managed installations. These attributes coupled with our superior customer service, high quality designs and expedited delivery responsiveness resulted in our contract to retrofit multiple locations for a single national account in fiscal 2020 that continued into fiscal 2021.</w:t>
      </w:r>
    </w:p>
    <w:p>
      <w:pPr>
        <w:spacing w:after="0" w:line="188"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i w:val="1"/>
          <w:iCs w:val="1"/>
          <w:color w:val="auto"/>
        </w:rPr>
        <w:t xml:space="preserve">Continue Product Innovation. </w:t>
      </w:r>
      <w:r>
        <w:rPr>
          <w:rFonts w:ascii="Arial" w:cs="Arial" w:eastAsia="Arial" w:hAnsi="Arial"/>
          <w:sz w:val="18"/>
          <w:szCs w:val="18"/>
          <w:color w:val="auto"/>
        </w:rPr>
        <w:t>We continue to innovate, developing lighting fixtures and features that address specific customer requirements,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also working to maintain a leadership position in energy efficiency, smart product design and installation benefits. For interior building applications, we recently expanded our product line to include a family of ceiling air movement solutions, some of which incorporate LED lighting and others which utilize ultraviolet C light waves to kill viruses, bacteria and germs.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92"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i w:val="1"/>
          <w:iCs w:val="1"/>
          <w:color w:val="auto"/>
        </w:rPr>
        <w:t xml:space="preserve">Leverage Orion’s Smart Lighting Systems to Support Internet of Things Applications. </w:t>
      </w:r>
      <w:r>
        <w:rPr>
          <w:rFonts w:ascii="Arial" w:cs="Arial" w:eastAsia="Arial" w:hAnsi="Arial"/>
          <w:sz w:val="18"/>
          <w:szCs w:val="18"/>
          <w:color w:val="auto"/>
        </w:rPr>
        <w:t>We believe we are ideally positioned to help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providing our customers with a path to digitization for their business operations.</w:t>
      </w:r>
    </w:p>
    <w:p>
      <w:pPr>
        <w:spacing w:after="0" w:line="188"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Develop Maintenance Service Offerings. </w:t>
      </w:r>
      <w:r>
        <w:rPr>
          <w:rFonts w:ascii="Arial" w:cs="Arial" w:eastAsia="Arial" w:hAnsi="Arial"/>
          <w:sz w:val="18"/>
          <w:szCs w:val="18"/>
          <w:color w:val="auto"/>
        </w:rPr>
        <w:t>We believe we can leverage our construction management process expertise to develop a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quick-response, multi-location maintenance service offering. Our experience with large national customers and our large installed base of fixtures position us well to extend a maintenance offering to historical customers, as well as to new customers. Development of this recurring revenue stream is making progress and we believe there is significant market opportunity.</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Support success of our ESCO and agent driven distribution sales channels. </w:t>
      </w:r>
      <w:r>
        <w:rPr>
          <w:rFonts w:ascii="Arial" w:cs="Arial" w:eastAsia="Arial" w:hAnsi="Arial"/>
          <w:sz w:val="18"/>
          <w:szCs w:val="18"/>
          <w:color w:val="auto"/>
        </w:rPr>
        <w:t>We continue to focus on building our relationships and product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Our primary focus has been the sale of our LED lighting fixtures with integrated controls technology and related installation services. We will continue to focus on these products and services, as well as the development of a maintenance service offering.</w:t>
      </w:r>
    </w:p>
    <w:p>
      <w:pPr>
        <w:spacing w:after="0" w:line="62"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Currently, most of our products are manufactured at our leased production facility location in Manitowoc, Wisconsin, although as the LED market continues to evolve, we also source products and components from third parties in order to have versatility in our product development. We are focused on researching, developing and/or acquiring new innovative LED products and technologies for the retrofit markets. We plan to focus our efforts on developing creative new LED retrofit products in order to offer our customers a variety of integrated energy management services, such as system design, project management and installation.</w:t>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Products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description of our primary products:</w:t>
      </w:r>
    </w:p>
    <w:p>
      <w:pPr>
        <w:spacing w:after="0" w:line="225"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i w:val="1"/>
          <w:iCs w:val="1"/>
          <w:color w:val="auto"/>
        </w:rPr>
        <w:t xml:space="preserve">Interior LED High Bay Fixtures: </w:t>
      </w:r>
      <w:r>
        <w:rPr>
          <w:rFonts w:ascii="Arial" w:cs="Arial" w:eastAsia="Arial" w:hAnsi="Arial"/>
          <w:sz w:val="16"/>
          <w:szCs w:val="16"/>
          <w:color w:val="auto"/>
        </w:rPr>
        <w:t>Our LED interior high bay lighting products consist of our Harris high bay, Apollo</w:t>
      </w:r>
      <w:r>
        <w:rPr>
          <w:rFonts w:ascii="Arial" w:cs="Arial" w:eastAsia="Arial" w:hAnsi="Arial"/>
          <w:sz w:val="13"/>
          <w:szCs w:val="13"/>
          <w:color w:val="auto"/>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high bay and ISON® high</w:t>
      </w:r>
      <w:r>
        <w:rPr>
          <w:rFonts w:ascii="Arial" w:cs="Arial" w:eastAsia="Arial" w:hAnsi="Arial"/>
          <w:sz w:val="16"/>
          <w:szCs w:val="16"/>
          <w:i w:val="1"/>
          <w:iCs w:val="1"/>
          <w:color w:val="auto"/>
        </w:rPr>
        <w:t xml:space="preserve"> </w:t>
      </w:r>
      <w:r>
        <w:rPr>
          <w:rFonts w:ascii="Arial" w:cs="Arial" w:eastAsia="Arial" w:hAnsi="Arial"/>
          <w:sz w:val="16"/>
          <w:szCs w:val="16"/>
          <w:color w:val="auto"/>
        </w:rPr>
        <w:t>bay products. Our ISON® class of LED interior fixture offers a full package of premium features, including low total cost of ownership, optics that currently exceed competitors in terms of lumen package, delivered light, modularity and advanced thermal management. Our third generation of ISON® class of LED interior fixture delivers up to an exceptional 214 lumens per watt. This advancement means our customers can get more light with less energy, and sometimes fewer fixtures, compared to other products on the market. Our Apollo</w:t>
      </w:r>
      <w:r>
        <w:rPr>
          <w:rFonts w:ascii="Arial" w:cs="Arial" w:eastAsia="Arial" w:hAnsi="Arial"/>
          <w:sz w:val="13"/>
          <w:szCs w:val="13"/>
          <w:color w:val="auto"/>
        </w:rPr>
        <w:t>TM</w:t>
      </w:r>
      <w:r>
        <w:rPr>
          <w:rFonts w:ascii="Arial" w:cs="Arial" w:eastAsia="Arial" w:hAnsi="Arial"/>
          <w:sz w:val="16"/>
          <w:szCs w:val="16"/>
          <w:color w:val="auto"/>
        </w:rPr>
        <w:t xml:space="preserve"> class of LED interior fixtures is designed for new construction and retrofit projects where initial cost is the largest factor in the purchase decision. Our Harris high bay is ideal for customers seeking a cost-effective solution to deliver energy savings and maintenance reductions. In addition, our LED interior lighting products are lightweight and easy to handle, which further reduces installation and maintenance costs and helps to build brand loyalty with electrical contractors and installers.</w:t>
      </w:r>
    </w:p>
    <w:p>
      <w:pPr>
        <w:spacing w:after="0" w:line="165"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Smart Lighting Controls. </w:t>
      </w:r>
      <w:r>
        <w:rPr>
          <w:rFonts w:ascii="Arial" w:cs="Arial" w:eastAsia="Arial" w:hAnsi="Arial"/>
          <w:sz w:val="18"/>
          <w:szCs w:val="18"/>
          <w:color w:val="auto"/>
        </w:rPr>
        <w:t>We offer a broad array of smart building control systems. These control systems provide both lighting control options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occupancy, daylight, or schedule control) and data intelligence capabilities for building managers to log, monitor, and analyze use of space, energy savings, and provide physical security of the space.</w:t>
      </w:r>
    </w:p>
    <w:p>
      <w:pPr>
        <w:spacing w:after="0" w:line="184"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i w:val="1"/>
          <w:iCs w:val="1"/>
          <w:color w:val="auto"/>
        </w:rPr>
        <w:t>The LED Troffer Door Retrofit (LDR</w:t>
      </w:r>
      <w:r>
        <w:rPr>
          <w:rFonts w:ascii="Arial" w:cs="Arial" w:eastAsia="Arial" w:hAnsi="Arial"/>
          <w:sz w:val="15"/>
          <w:szCs w:val="15"/>
          <w:i w:val="1"/>
          <w:iCs w:val="1"/>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The LDR</w:t>
      </w:r>
      <w:r>
        <w:rPr>
          <w:rFonts w:ascii="Arial" w:cs="Arial" w:eastAsia="Arial" w:hAnsi="Arial"/>
          <w:sz w:val="15"/>
          <w:szCs w:val="15"/>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to replace existing 4 foot by 2 foot and 2 foot by 2 foot fluorescent troffers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frequently found in office or retail grid ceilings. Our LDR</w:t>
      </w:r>
      <w:r>
        <w:rPr>
          <w:rFonts w:ascii="Arial" w:cs="Arial" w:eastAsia="Arial" w:hAnsi="Arial"/>
          <w:sz w:val="15"/>
          <w:szCs w:val="15"/>
          <w:color w:val="auto"/>
        </w:rPr>
        <w:t>TM</w:t>
      </w:r>
      <w:r>
        <w:rPr>
          <w:rFonts w:ascii="Arial" w:cs="Arial" w:eastAsia="Arial" w:hAnsi="Arial"/>
          <w:sz w:val="18"/>
          <w:szCs w:val="18"/>
          <w:color w:val="auto"/>
        </w:rPr>
        <w:t xml:space="preserve"> product is unique in that the LED optics and electronics are housed within the doorframe that allows for installation of the product in approximately one to two minutes. Our LDR</w:t>
      </w:r>
      <w:r>
        <w:rPr>
          <w:rFonts w:ascii="Arial" w:cs="Arial" w:eastAsia="Arial" w:hAnsi="Arial"/>
          <w:sz w:val="15"/>
          <w:szCs w:val="15"/>
          <w:color w:val="auto"/>
        </w:rPr>
        <w:t>TM</w:t>
      </w:r>
      <w:r>
        <w:rPr>
          <w:rFonts w:ascii="Arial" w:cs="Arial" w:eastAsia="Arial" w:hAnsi="Arial"/>
          <w:sz w:val="18"/>
          <w:szCs w:val="18"/>
          <w:color w:val="auto"/>
        </w:rPr>
        <w:t xml:space="preserve"> product also provides reduced maintenance expenses based upon improved LED chips.</w:t>
      </w:r>
    </w:p>
    <w:p>
      <w:pPr>
        <w:spacing w:after="0" w:line="187"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i w:val="1"/>
          <w:iCs w:val="1"/>
          <w:color w:val="auto"/>
        </w:rPr>
        <w:t xml:space="preserve">Other Products. </w:t>
      </w:r>
      <w:r>
        <w:rPr>
          <w:rFonts w:ascii="Arial" w:cs="Arial" w:eastAsia="Arial" w:hAnsi="Arial"/>
          <w:sz w:val="17"/>
          <w:szCs w:val="17"/>
          <w:color w:val="auto"/>
        </w:rPr>
        <w:t>We also offer our customers a variety of other LED and HIF fixtures to address their lighting and energy management needs,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fixtures designed for agribusinesses, parking lots, roadways, retail, mezzanine, outdoor applications and private label resale.</w:t>
      </w:r>
    </w:p>
    <w:p>
      <w:pPr>
        <w:spacing w:after="0" w:line="146"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i w:val="1"/>
          <w:iCs w:val="1"/>
          <w:color w:val="auto"/>
        </w:rPr>
        <w:t>Warranty Policy</w:t>
      </w:r>
      <w:r>
        <w:rPr>
          <w:rFonts w:ascii="Arial" w:cs="Arial" w:eastAsia="Arial" w:hAnsi="Arial"/>
          <w:sz w:val="18"/>
          <w:szCs w:val="18"/>
          <w:color w:val="auto"/>
        </w:rPr>
        <w:t>. Our warranty policy generally provides for a limited one-year warranty on our HIF products and a limited five-year warranty on</w:t>
      </w:r>
      <w:r>
        <w:rPr>
          <w:rFonts w:ascii="Arial" w:cs="Arial" w:eastAsia="Arial" w:hAnsi="Arial"/>
          <w:sz w:val="18"/>
          <w:szCs w:val="18"/>
          <w:i w:val="1"/>
          <w:iCs w:val="1"/>
          <w:color w:val="auto"/>
        </w:rPr>
        <w:t xml:space="preserve"> </w:t>
      </w:r>
      <w:r>
        <w:rPr>
          <w:rFonts w:ascii="Arial" w:cs="Arial" w:eastAsia="Arial" w:hAnsi="Arial"/>
          <w:sz w:val="18"/>
          <w:szCs w:val="18"/>
          <w:color w:val="auto"/>
        </w:rPr>
        <w:t>our LED products, although we do offer warranties ranging up to 10 years for certain LED products. Ballasts, lamps, drivers, LED chips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provide a range of fee-based lighting-related energy management services to our customers, including:</w:t>
      </w:r>
    </w:p>
    <w:p>
      <w:pPr>
        <w:spacing w:after="0" w:line="117" w:lineRule="exact"/>
        <w:rPr>
          <w:sz w:val="20"/>
          <w:szCs w:val="20"/>
          <w:color w:val="auto"/>
        </w:rPr>
      </w:pPr>
    </w:p>
    <w:p>
      <w:pPr>
        <w:ind w:left="860" w:hanging="36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comprehensive site assessment, which includes a review of the current lighting and controls including IoT enabled devices requirements and energy usage at the customer’s facility;</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site field verification, or SFV, during which we perform a test implementation of our energy management system at a customer’s facility;</w:t>
      </w:r>
    </w:p>
    <w:p>
      <w:pPr>
        <w:spacing w:after="0" w:line="128" w:lineRule="exact"/>
        <w:rPr>
          <w:rFonts w:ascii="Arial" w:cs="Arial" w:eastAsia="Arial" w:hAnsi="Arial"/>
          <w:sz w:val="17"/>
          <w:szCs w:val="17"/>
          <w:color w:val="auto"/>
        </w:rPr>
      </w:pPr>
    </w:p>
    <w:p>
      <w:pPr>
        <w:ind w:left="860" w:hanging="36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utility incentive and government subsidy management, where we assist our customers in identifying, applying for and obtaining available utility incentives or government subsidies;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ind w:left="860" w:hanging="366"/>
        <w:spacing w:after="0" w:line="263"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75" w:lineRule="exact"/>
        <w:rPr>
          <w:rFonts w:ascii="Arial" w:cs="Arial" w:eastAsia="Arial" w:hAnsi="Arial"/>
          <w:sz w:val="18"/>
          <w:szCs w:val="18"/>
          <w:color w:val="auto"/>
        </w:rPr>
      </w:pPr>
    </w:p>
    <w:p>
      <w:pPr>
        <w:ind w:left="860" w:hanging="366"/>
        <w:spacing w:after="0" w:line="308"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38" w:lineRule="exact"/>
        <w:rPr>
          <w:rFonts w:ascii="Arial" w:cs="Arial" w:eastAsia="Arial" w:hAnsi="Arial"/>
          <w:sz w:val="17"/>
          <w:szCs w:val="17"/>
          <w:color w:val="auto"/>
        </w:rPr>
      </w:pPr>
    </w:p>
    <w:p>
      <w:pPr>
        <w:ind w:left="860" w:hanging="36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installation services, for our products, which we provide through our national network of qualified third-party installers;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facility design commissioning of IoT enabled control devices; and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recycling in connection with our retrofit installations, where we remove, dispose of and recycle our customer’s legacy lighting fixtures.</w:t>
      </w:r>
    </w:p>
    <w:p>
      <w:pPr>
        <w:spacing w:after="0" w:line="23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also provide other services that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7"/>
          <w:szCs w:val="17"/>
          <w:color w:val="auto"/>
        </w:rPr>
        <w:t>We primarily target commercial, institutional and industrial customers who have warehousing, retail, manufacturing, and office facilities. In fiscal 2021, one customer accounted for 56.0% of our total revenue. In fiscal 2020, that same customer accounted for 74.1% of our total revenue, and in fiscal 2019, this same customer accounted for 20.7% of our total revenue. We expect that we will continue to experience significant customer concentration in fiscal 2022, particularly as we focus on large multi-location retrofit programs. While we continue to seek to diversify our customer base by expanding our reach to national accounts, ESCOs and the agent driven distribution channel, we expect to continue to derive a significant percentage of our revenue from contracts with one or a few customers. These contracts are entered into in the ordinary course of business and provide that we will deliver products and services on a work order or purchase order basis and any purchase order may be terminated prior to shipment. These contracts generally do not guarantee that the customer will buy our products or services.</w:t>
      </w:r>
    </w:p>
    <w:p>
      <w:pPr>
        <w:spacing w:after="0" w:line="17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amount and concentration of our revenues with one or more customer may fluctuate on a year to year or quarter to quarter basis depending on the number of purchase orders issued by our customers. The loss of a significant customer or the termination of a material volume of purchase orders (or the underlying agreements) could have a material adverse effect on our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We sell our products in one of three ways: (i) directly through our relationships with our national account partners; (ii) indirectly through independent sales agencies and broadline North American distributors; and (iii) through ESCOs. Our ODS segment focuses on developing and expanding customer relationships with independent manufacturer’s sales agents and broadline distributors. As of the end of fiscal 2021 we had 29 independent lighting agencies representing us in substantially all of North America expanding our reach with broadline distributors. We attempt to leverage the customer relationships of these distributors to further extend the geographic scope of our selling efforts. We work cooperatively with our indirect channels through participation in national trade organizations and by providing training on our sales methodologies.</w:t>
      </w:r>
    </w:p>
    <w:p>
      <w:pPr>
        <w:spacing w:after="0" w:line="178"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direct mail campaigns, advertising in select publications, public relations campaigns, social media and other lead generation and brand-building initiatives.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market for energy-efficient lighting products and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firstLine="499"/>
        <w:spacing w:after="0" w:line="259" w:lineRule="auto"/>
        <w:rPr>
          <w:sz w:val="20"/>
          <w:szCs w:val="20"/>
          <w:color w:val="auto"/>
        </w:rPr>
      </w:pPr>
      <w:r>
        <w:rPr>
          <w:rFonts w:ascii="Arial" w:cs="Arial" w:eastAsia="Arial" w:hAnsi="Arial"/>
          <w:sz w:val="18"/>
          <w:szCs w:val="18"/>
          <w:color w:val="auto"/>
        </w:rPr>
        <w:t>There are a number of lighting fixture manufacturers that sell LED and HIF products that compete with our lighting product lines. Lighting companies such as Acuity Brands, Inc., Energy Focus, Inc., Signify Co., Cree, Inc., LSI Industries, Inc., Cooper Lighting Solutions, GE Current, a Daintree Company, and Hubbell Incorporated are some of our main competitors within the commercial office, retail and industrial markets. We are also facing increased competition from manufacturers in low-cost countries.</w:t>
      </w:r>
    </w:p>
    <w:p>
      <w:pPr>
        <w:spacing w:after="0" w:line="18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We also face competition from companies who provide energy management services. Some of these competitors, such as Ameresco, Inc., Johnson Controls International and Honeywell International, provide basic systems and controls designed to further energy efficiency.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As of March 31, 2021, we had been issued over 100 United States patents and have applied for a number of additional United States patents. The patented and patent pending technologies cover various innovative elements of our products, including our HIF and LED fixtures. Our patented LDR</w:t>
      </w:r>
      <w:r>
        <w:rPr>
          <w:rFonts w:ascii="Arial" w:cs="Arial" w:eastAsia="Arial" w:hAnsi="Arial"/>
          <w:sz w:val="14"/>
          <w:szCs w:val="14"/>
          <w:color w:val="auto"/>
        </w:rPr>
        <w:t>TM</w:t>
      </w:r>
      <w:r>
        <w:rPr>
          <w:rFonts w:ascii="Arial" w:cs="Arial" w:eastAsia="Arial" w:hAnsi="Arial"/>
          <w:sz w:val="17"/>
          <w:szCs w:val="17"/>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7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believe that our patent portfolio as a whole is material to our business. We also believe that our patents covering our ability to manage the thermal and optical performance of our lighting products are material to our business, and that the loss of these patents could significantly and adversely affect our business, operating results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orders. Our backlog as of March 31, 2021 and March 31, 2020 totaled $15.5 million and $18.6 million, respectively. We generally expect our backlog to be recognized as revenue within one year, although the COVID-19 pandemic extended this time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lease an approximately 266,000 square foot primary manufacturing and distribution facility located in Manitowoc, Wisconsin, where most of our products are manufactured. We utilize both solar and wind power to support the energy requirements for our manufacturing facility, allowing us to reduce our carbon footprint.</w:t>
      </w:r>
    </w:p>
    <w:p>
      <w:pPr>
        <w:spacing w:after="0" w:line="184"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our development on additional LED products, resulting in our development and commercialization of several new suites of LED interior high bay products.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research and development lab and test facilities in our Jacksonville, Florida and Manitowoc, Wisconsin locations.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ind w:firstLine="499"/>
        <w:spacing w:after="0" w:line="311" w:lineRule="auto"/>
        <w:rPr>
          <w:sz w:val="20"/>
          <w:szCs w:val="20"/>
          <w:color w:val="auto"/>
        </w:rPr>
      </w:pPr>
      <w:r>
        <w:rPr>
          <w:rFonts w:ascii="Arial" w:cs="Arial" w:eastAsia="Arial" w:hAnsi="Arial"/>
          <w:sz w:val="16"/>
          <w:szCs w:val="16"/>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and Other Available Information</w:t>
      </w:r>
    </w:p>
    <w:p>
      <w:pPr>
        <w:spacing w:after="0" w:line="121"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 We are not including the information contained on our website as part of, or incorporating it by reference into,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As of March 31, 2021, we had approximately 213 full-time employees. We also employ temporary employees in our manufacturing facility as demand requires, at times up to 130 temporary employees. Our employees are not represented by any labor union, and we have never experienced a work stoppage or strike due to employee relations.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an employee centric organization, maintaining a safe and respectful environment that provides opportunity for our employees.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We believe our employees are among our most important resources and are critical to our continued success. We focus significant attention on attracting and retaining talented and experienced individuals to manage and support our operations. We pay our employees competitively and offer a broad range of company-paid benefits, which we believe are competitive with others in our industry.</w:t>
      </w:r>
    </w:p>
    <w:p>
      <w:pPr>
        <w:spacing w:after="0" w:line="76"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We are committed to hiring, developing and supporting a diverse and inclusive workplace. Our management teams and all of our employees are expected to exhibit and promote honest, ethical and respectful conduct in the workplace. We will not tolerate discrimination or harassment in any form. All of our employees must adhere to a code of conduct that sets standards for appropriate behavior and includes required annual training on preventing, identifying, reporting and stopping any type of unlawful discrimination.</w:t>
      </w:r>
    </w:p>
    <w:p>
      <w:pPr>
        <w:spacing w:after="0" w:line="79" w:lineRule="exact"/>
        <w:rPr>
          <w:sz w:val="20"/>
          <w:szCs w:val="20"/>
          <w:color w:val="auto"/>
        </w:rPr>
      </w:pPr>
    </w:p>
    <w:p>
      <w:pPr>
        <w:jc w:val="both"/>
        <w:ind w:firstLine="494"/>
        <w:spacing w:after="0" w:line="270" w:lineRule="auto"/>
        <w:rPr>
          <w:sz w:val="20"/>
          <w:szCs w:val="20"/>
          <w:color w:val="auto"/>
        </w:rPr>
      </w:pPr>
      <w:r>
        <w:rPr>
          <w:rFonts w:ascii="Arial" w:cs="Arial" w:eastAsia="Arial" w:hAnsi="Arial"/>
          <w:sz w:val="17"/>
          <w:szCs w:val="17"/>
          <w:color w:val="auto"/>
        </w:rPr>
        <w:t>During fiscal 2021, in response to the COVID-19 pandemic, we implemented safety protocols and new procedures to protect our employees and our customers. These protocols include limiting travel, restricting access to our facilities along with monitoring processes, physical distancing, physical barriers, enhanced cleaning procedures, and requiring face coverings. In addition, we modified the way we conduct many aspects of our business to reduce the number of in-person interactions. For example, we significantly expanded the use of virtual interactions in all aspects of our business, including customer facing activities. Many of our administrative and operational functions during this time have required modification as well, including most of our professional workforce working remotely. We expanded paid time-off for employees impacted by COVID-19 and provided increased pay for certain employees involved in critical infrastructure who could not work remotely. We expect to continue such safety and wellness measures for the foreseeable future and may take further actions, or adapt these existing policies, as government authorities may require or recommend or as we may determine to be in the best interest of our employees, clients, vendors and shareholders.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1A.RISK FACTORS</w:t>
      </w:r>
    </w:p>
    <w:p>
      <w:pPr>
        <w:spacing w:after="0" w:line="121" w:lineRule="exact"/>
        <w:rPr>
          <w:sz w:val="20"/>
          <w:szCs w:val="20"/>
          <w:color w:val="auto"/>
        </w:rPr>
      </w:pPr>
    </w:p>
    <w:p>
      <w:pPr>
        <w:jc w:val="both"/>
        <w:ind w:firstLine="494"/>
        <w:spacing w:after="0" w:line="279" w:lineRule="auto"/>
        <w:rPr>
          <w:sz w:val="20"/>
          <w:szCs w:val="20"/>
          <w:color w:val="auto"/>
        </w:rPr>
      </w:pPr>
      <w:r>
        <w:rPr>
          <w:rFonts w:ascii="Arial" w:cs="Arial" w:eastAsia="Arial" w:hAnsi="Arial"/>
          <w:sz w:val="17"/>
          <w:szCs w:val="17"/>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immediately following this summary. Some of these risks are summarized below:</w:t>
      </w:r>
    </w:p>
    <w:p>
      <w:pPr>
        <w:spacing w:after="0" w:line="278" w:lineRule="exact"/>
        <w:rPr>
          <w:sz w:val="20"/>
          <w:szCs w:val="20"/>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has been, and could again in the future be, negatively impacted by the Coronavirus (“COVID-19”) pandemic.</w:t>
      </w:r>
    </w:p>
    <w:p>
      <w:pPr>
        <w:spacing w:after="0" w:line="117" w:lineRule="exact"/>
        <w:rPr>
          <w:rFonts w:ascii="Arial" w:cs="Arial" w:eastAsia="Arial" w:hAnsi="Arial"/>
          <w:sz w:val="18"/>
          <w:szCs w:val="18"/>
          <w:color w:val="auto"/>
        </w:rPr>
      </w:pPr>
    </w:p>
    <w:p>
      <w:pPr>
        <w:ind w:left="860" w:right="20" w:hanging="36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our desired revenue and profitability goals depends on our ability to effectively and timely execute on our key strategic initiatives.</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use components and raw materials that may be subject to price fluctuations, shortages or interruptions of supply.</w:t>
      </w:r>
    </w:p>
    <w:p>
      <w:pPr>
        <w:spacing w:after="0" w:line="117"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conditions in the global economy have negatively impacted, and could in the future negatively impact, our customers, suppliers and business.</w:t>
      </w:r>
    </w:p>
    <w:p>
      <w:pPr>
        <w:spacing w:after="0" w:line="62"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we evolve our business strategy to increase our focus on new product and service offerings, the nature of our business may be significantly changed, or transformed.</w:t>
      </w:r>
    </w:p>
    <w:p>
      <w:pPr>
        <w:spacing w:after="0" w:line="62"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have major sources of recurring revenue and the loss of any significant customers or a major customer would likely materially adversely affect us.</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evolving business strategy includes actively exploring potential acquisitions, which involves substantial risks.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tariffs and other actions may adversely affect our business.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LED lighting retrofit solutions depends, in part, on our ability to claim market share away from our competitors.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increasingly rely on third-party manufacturers for the manufacture and development of our products and product components.</w:t>
      </w:r>
    </w:p>
    <w:p>
      <w:pPr>
        <w:spacing w:after="0" w:line="117"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continued emphasis on indirect distribution channels to sell our products and services to supplement our direct distribution channels has had limited success to date.</w:t>
      </w:r>
    </w:p>
    <w:p>
      <w:pPr>
        <w:spacing w:after="0" w:line="62" w:lineRule="exact"/>
        <w:rPr>
          <w:rFonts w:ascii="Arial" w:cs="Arial" w:eastAsia="Arial" w:hAnsi="Arial"/>
          <w:sz w:val="18"/>
          <w:szCs w:val="18"/>
          <w:color w:val="auto"/>
        </w:rPr>
      </w:pPr>
    </w:p>
    <w:p>
      <w:pPr>
        <w:jc w:val="both"/>
        <w:ind w:left="860" w:hanging="366"/>
        <w:spacing w:after="0" w:line="263"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w:t>
      </w:r>
    </w:p>
    <w:p>
      <w:pPr>
        <w:spacing w:after="0" w:line="75"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balance customer demand and production capacity and increased difficulty in obtaining permanent employee staffing could negatively impact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has been, and could again in the future be, negatively impacted by the COVID-19 pandemic.</w:t>
      </w:r>
    </w:p>
    <w:p>
      <w:pPr>
        <w:spacing w:after="0" w:line="229" w:lineRule="exact"/>
        <w:rPr>
          <w:sz w:val="20"/>
          <w:szCs w:val="20"/>
          <w:color w:val="auto"/>
        </w:rPr>
      </w:pPr>
    </w:p>
    <w:p>
      <w:pPr>
        <w:jc w:val="both"/>
        <w:ind w:right="120" w:firstLine="494"/>
        <w:spacing w:after="0" w:line="259" w:lineRule="auto"/>
        <w:rPr>
          <w:sz w:val="20"/>
          <w:szCs w:val="20"/>
          <w:color w:val="auto"/>
        </w:rPr>
      </w:pPr>
      <w:r>
        <w:rPr>
          <w:rFonts w:ascii="Arial" w:cs="Arial" w:eastAsia="Arial" w:hAnsi="Arial"/>
          <w:sz w:val="18"/>
          <w:szCs w:val="18"/>
          <w:color w:val="auto"/>
        </w:rPr>
        <w:t>The COVID-19 pandemic has disrupted business, trade, commerce, financial and credit markets in the United States and globally. Our business has been adversely impacted by measures taken by customers, suppliers, government entities and others to control the spread of the virus beginning in March 2020, the last few weeks of our prior fiscal year, and continuing most significantly into the second quarter of fiscal 2021. During the third quarter of fiscal 2021, we experienced a rebound in business, with a full quarter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of project installations for our largest customer, as well as installations for a new large specialty retail customer, and no significant COVlD-19 impacts.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some customers continue to refrain from awarding new projects and potential future risks remain due to the COVID-19 pandemic.</w:t>
      </w:r>
    </w:p>
    <w:p>
      <w:pPr>
        <w:spacing w:after="0" w:line="211" w:lineRule="exact"/>
        <w:rPr>
          <w:sz w:val="20"/>
          <w:szCs w:val="20"/>
          <w:color w:val="auto"/>
        </w:rPr>
      </w:pPr>
    </w:p>
    <w:p>
      <w:pPr>
        <w:ind w:right="40" w:firstLine="494"/>
        <w:spacing w:after="0" w:line="286" w:lineRule="auto"/>
        <w:rPr>
          <w:sz w:val="20"/>
          <w:szCs w:val="20"/>
          <w:color w:val="auto"/>
        </w:rPr>
      </w:pPr>
      <w:r>
        <w:rPr>
          <w:rFonts w:ascii="Arial" w:cs="Arial" w:eastAsia="Arial" w:hAnsi="Arial"/>
          <w:sz w:val="16"/>
          <w:szCs w:val="16"/>
          <w:color w:val="auto"/>
        </w:rPr>
        <w:t>As part of our response to the impacts of the COVID-19 pandemic, during the fourth quarter of fiscal 2020, we implemented a number of cost reduction and cash conservation measures, including reducing headcount. While certain COVID-19 related restrictions began to initially lessen in certain jurisdictions during the second half of fiscal 2021, stay-at-home, face mask or lockdown orders remain in effect in others, with employees asked to work remotely if possible. Certain areas of the country have seen spikes of COVID-19 cases (including in and around our headquarters in Manitowoc, Wisconsin and our office in Jacksonville, Florida), which could result in renewed restrictions and lockdown orders. Some of our customers and projects are in areas where travel restrictions have been imposed, certain customers have either closed or reduced on-site activities, and timelines for the completion of several projects have been delayed, extended or terminated. These COVID-19 related modifications to our business practices, including any future actions we take, may cause us to experience reductions in productivity and disruptions to our business routines. In addition, we have needed to make substantial working capital expenditures and advance inventory purchases that we may not be able to recoup if our customer agreements or a substantial volume of purchase orders under our customer agreements are delayed or terminated as a result of COVID-19.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 COVID-19 pandemic becomes more pronounced in our markets or experiences a resurgence in markets recovering from the spread of COVID-19, or if another significant natural disaster or pandemic were to occur in the future, our results of operation would likely be materially adversely affected. The impact of COVID-19 may also exacerbate other risks discussed in Item 1A of this Annual Report on Form 10-K, any of which could have a material effect on our financial condition, results of operations and cash flows.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ability to achieve our desired revenue and profitability goals depends on our ability to effectively and timely execute on our key strategic initiatives.</w:t>
      </w:r>
    </w:p>
    <w:p>
      <w:pPr>
        <w:spacing w:after="0" w:line="166" w:lineRule="exact"/>
        <w:rPr>
          <w:sz w:val="20"/>
          <w:szCs w:val="20"/>
          <w:color w:val="auto"/>
        </w:rPr>
      </w:pPr>
    </w:p>
    <w:p>
      <w:pPr>
        <w:ind w:firstLine="494"/>
        <w:spacing w:after="0" w:line="277" w:lineRule="auto"/>
        <w:rPr>
          <w:sz w:val="20"/>
          <w:szCs w:val="20"/>
          <w:color w:val="auto"/>
        </w:rPr>
      </w:pPr>
      <w:r>
        <w:rPr>
          <w:rFonts w:ascii="Arial" w:cs="Arial" w:eastAsia="Arial" w:hAnsi="Arial"/>
          <w:sz w:val="18"/>
          <w:szCs w:val="18"/>
          <w:color w:val="auto"/>
        </w:rPr>
        <w:t>Our ability to achieve our desired revenue and profitability goals depends on how effectively and timely we execute on our following key strategic initiatives:</w:t>
      </w:r>
    </w:p>
    <w:p>
      <w:pPr>
        <w:spacing w:after="0" w:line="62" w:lineRule="exact"/>
        <w:rPr>
          <w:sz w:val="20"/>
          <w:szCs w:val="20"/>
          <w:color w:val="auto"/>
        </w:rPr>
      </w:pPr>
    </w:p>
    <w:p>
      <w:pPr>
        <w:ind w:left="860" w:hanging="36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executing and marketing our turnkey LED retrofit capabilities to large national account customers;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our product innovation;</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leveraging our smart lighting systems to support IoT applications;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our maintenance service offerings; and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the success of our ESCO and distribution sales channels.</w:t>
      </w:r>
    </w:p>
    <w:p>
      <w:pPr>
        <w:spacing w:after="0" w:line="225" w:lineRule="exact"/>
        <w:rPr>
          <w:sz w:val="20"/>
          <w:szCs w:val="20"/>
          <w:color w:val="auto"/>
        </w:rPr>
      </w:pPr>
    </w:p>
    <w:p>
      <w:pPr>
        <w:jc w:val="both"/>
        <w:ind w:firstLine="494"/>
        <w:spacing w:after="0" w:line="308" w:lineRule="auto"/>
        <w:rPr>
          <w:sz w:val="20"/>
          <w:szCs w:val="20"/>
          <w:color w:val="auto"/>
        </w:rPr>
      </w:pPr>
      <w:r>
        <w:rPr>
          <w:rFonts w:ascii="Arial" w:cs="Arial" w:eastAsia="Arial" w:hAnsi="Arial"/>
          <w:sz w:val="17"/>
          <w:szCs w:val="17"/>
          <w:color w:val="auto"/>
        </w:rPr>
        <w:t>We also may identify and pursue strategic acquisition candidates that would help support these initiatives. There can be no assurance that we will be able to successfully implement these initiatives or, even if implemented, that they will result in the anticipated benefits to our business.</w:t>
      </w:r>
    </w:p>
    <w:p>
      <w:pPr>
        <w:spacing w:after="0" w:line="14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Our products use components and raw materials that may be subject to price fluctuations, shortages or interruptions of supply, including semiconductor chips that have been subject to an ongoing significant shortage. If we are unable to maintain supply sources of our components and raw materials or if our sources fail to satisfy our supply requirements, we may lose sales and experience increased component costs.</w:t>
      </w:r>
    </w:p>
    <w:p>
      <w:pPr>
        <w:spacing w:after="0" w:line="146"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We are vulnerable to price increases, as well as transportation and delivery delays, for components and raw materials that we require for our products, including aluminum, copper, certain rare earth minerals, semiconductor chips, power supplies and LED chips and modules. In particular, we utilize semiconductor chips in our LED lighting products and control sensors. Since semiconductor chips have been recently subject to an ongoing significant shortage, our ability to source these important components that use semiconductor chips has been adversely affected. This has resulted in increased component delivery lead times, delays in our product production and increased costs to obtain components with available semiconductor chips. To the extent this semiconductor chip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shortage continues, our production ability and results of operations will be adversely affected. We also source certain finished goods externally.</w:t>
      </w:r>
    </w:p>
    <w:p>
      <w:pPr>
        <w:spacing w:after="0" w:line="237" w:lineRule="exact"/>
        <w:rPr>
          <w:sz w:val="20"/>
          <w:szCs w:val="20"/>
          <w:color w:val="auto"/>
        </w:rPr>
      </w:pPr>
    </w:p>
    <w:p>
      <w:pPr>
        <w:jc w:val="both"/>
        <w:ind w:firstLine="494"/>
        <w:spacing w:after="0" w:line="268" w:lineRule="auto"/>
        <w:rPr>
          <w:sz w:val="20"/>
          <w:szCs w:val="20"/>
          <w:color w:val="auto"/>
        </w:rPr>
      </w:pPr>
      <w:r>
        <w:rPr>
          <w:rFonts w:ascii="Arial" w:cs="Arial" w:eastAsia="Arial" w:hAnsi="Arial"/>
          <w:sz w:val="17"/>
          <w:szCs w:val="17"/>
          <w:color w:val="auto"/>
        </w:rPr>
        <w:t>Limitations inherent within our supply chain of certain of our components, raw materials and finished goods, including competitive, governmental, and legal limitations, natural disasters, and other events, could impact costs and future increases in the costs of these items. For example, the adoption of new tariffs by the new United States administration or by other countries and the ongoing impact of COVID-19 in China could continue to adversely affect our profitability and availability of raw materials and components, as there can be no assurance that future price increases will be successfully passed through to customers or that we will be able to find alternative suppliers. Further, suppliers’ inventories of certain components that our products require may be limited and are subject to acquisition by others. As a result of disruption to our supply chain due to COVID-19, which has caused supplier delivery constraints and concerns over component availability, we have attempted to purchase excess quantities of certain components that are critical to our product manufacturing. We will likely need to continue to follow this practice in the future. As a result, we have had, and may need to continue, to devote additional working capital to support component and raw material inventory purchases that may not be used over a reasonable period to produce saleable products, and we may be required to increase our excess and obsolete inventory reserves to account for these excess quantities, particularly if demand for our products does not meet our expectations. Also, any further delays, shortages or interruptions in the supply of our components or raw materials could further disrupt our operations. If any of these events occur, our results of operations, financial condition and cash flows could be materially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 of our business depends upon market acceptance of our energy management products and services.</w:t>
      </w:r>
    </w:p>
    <w:p>
      <w:pPr>
        <w:spacing w:after="0" w:line="229" w:lineRule="exact"/>
        <w:rPr>
          <w:sz w:val="20"/>
          <w:szCs w:val="20"/>
          <w:color w:val="auto"/>
        </w:rPr>
      </w:pPr>
    </w:p>
    <w:p>
      <w:pPr>
        <w:jc w:val="both"/>
        <w:ind w:firstLine="494"/>
        <w:spacing w:after="0" w:line="269" w:lineRule="auto"/>
        <w:rPr>
          <w:sz w:val="20"/>
          <w:szCs w:val="20"/>
          <w:color w:val="auto"/>
        </w:rPr>
      </w:pPr>
      <w:r>
        <w:rPr>
          <w:rFonts w:ascii="Arial" w:cs="Arial" w:eastAsia="Arial" w:hAnsi="Arial"/>
          <w:sz w:val="17"/>
          <w:szCs w:val="17"/>
          <w:color w:val="auto"/>
        </w:rPr>
        <w:t>Our future success depends upon the continued market acceptance of our energy management products and services and obtaining additional project management retrofit contracts, as well as customer orders for new and expanded products and services to supplement our contract with our current single largest customer. If we are unable to convince current and potential new customers of the advantages of our lighting systems and energy management products and services, or our expanded product and services offerings, then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increasingly rely on third-party manufacturers for the manufacture and development of our products and product components.</w:t>
      </w:r>
    </w:p>
    <w:p>
      <w:pPr>
        <w:spacing w:after="0" w:line="229"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We have increased our utilization of third-party manufacturers for the manufacture and development of our products and product components. Our results of operations, financial condition and cash flows could be materially adversely affected if our third-party manufacturers were to experience problems with product quality, credit or liquidity issues, or disruptions or delays in their manufacturing process or delivery of the finished products and components or the raw materials used to make such products and components.</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 highly competitive industry and, if we are unable to compete successfully, our results of operations, financial condition and cash flows will likely be materially adversely affected.</w:t>
      </w:r>
    </w:p>
    <w:p>
      <w:pPr>
        <w:spacing w:after="0" w:line="166"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We face strong competition, primarily from manufacturers and distributors of energy management products and services, as well as from ESCOs and electrical contractors. We are also facing increased competition from manufacturers in low-cost countries. We compete primarily on the basis of customer relationships, price, quality, energy efficiency, customer service and marketing support. Our products are in direct competition with the expanding availability of LED products, as well as other technologies in the lighting systems retrofit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ind w:firstLine="494"/>
        <w:spacing w:after="0" w:line="271" w:lineRule="auto"/>
        <w:rPr>
          <w:sz w:val="20"/>
          <w:szCs w:val="20"/>
          <w:color w:val="auto"/>
        </w:rPr>
      </w:pPr>
      <w:r>
        <w:rPr>
          <w:rFonts w:ascii="Arial" w:cs="Arial" w:eastAsia="Arial" w:hAnsi="Arial"/>
          <w:sz w:val="17"/>
          <w:szCs w:val="17"/>
          <w:color w:val="auto"/>
        </w:rPr>
        <w:t>Many of our competitors are better capitalized than we are and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or require us to lower our average selling prices in order to remain competitive, any of which could have a material adverse effect on our results of operations, financial condition and cash flows.</w:t>
      </w:r>
    </w:p>
    <w:p>
      <w:pPr>
        <w:spacing w:after="0" w:line="28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balance customer demand and production capacity and increased difficulty in obtaining permanent employee staffing could negatively impact our business.</w:t>
      </w:r>
    </w:p>
    <w:p>
      <w:pPr>
        <w:spacing w:after="0" w:line="166"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As customer demand for our products changes, we must be able to adjust our production capacity, including increasing or decreasing our employee workforce, to meet demand. We are continually taking steps to address our manufacturing capacity needs for our products. If we are not able to increase or decrease our production capacity at our targeted rate or if there are unforeseen costs associated with adjusting our capacity levels, our ability to execute our operating plan could be adversely affected</w:t>
      </w:r>
    </w:p>
    <w:p>
      <w:pPr>
        <w:spacing w:after="0" w:line="187"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We have recently experienced increased difficulty in hiring sufficient permanent employees to support our production demands. This circumstance has resulted in our increased reliance on temporary employee staffing to support our production operations. Temporary employees can be less reliable and require more ongoing training than permanent employees. These factors can adversely affect our operational efficiencies. This situation has also placed a significant burden on our continuing employees, has resulted in higher recruiting expenses as we have sought to recruit and train additional new permanent employees, and introduced increased instability in our operations to the extent responsibilities are reallocated to new or different employees. To the extent that we are unable to effectively hire a sufficient number of permanent employees, and our reliance on temporary staffing continues to increase, our operations and our ability to execute our operating plan could be adversely affected.</w:t>
      </w:r>
    </w:p>
    <w:p>
      <w:pPr>
        <w:spacing w:after="0" w:line="2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58"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We rely upon the knowledge, experience and skills of key employees throughout our organization, particularly our senior management team, our sales group that requires technical knowledge or contacts in, and knowledge of, the LED industry, and our innovation and engineering team. In addition, our ability to attract talented new employees, particularly in our sales group and our innovation and engineering team, is also critical to our success. We also depend on our distribution channels and network of manufacturer sales representative agencies. If we are unable to attract and retain key employees, resellers, and manufacturer sales representative agencies because of competition or, in the case of employees, inadequate compensation or other factors, our results of operations and our ability to execute our operating plan could be adversely affected.</w:t>
      </w:r>
    </w:p>
    <w:p>
      <w:pPr>
        <w:spacing w:after="0" w:line="28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spacing w:after="0" w:line="72"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color w:val="auto"/>
        </w:rPr>
        <w:t>Our information technology systems involve the storage of our confidential information and trade secrets, as well as our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risk of a security breach or disruption, particularly through cyber attacks, or cyber intrusion, including by computer hackers, foreign governments, and cyber terrorists, has generally increased as cyber 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2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Some of our existing information technology systems are in need of enhancement, updating and replacement. If our information technology systems fail, or if we experience an interruption in their operation, then our business, results of operations and financial condition could be materially adversely affected.</w:t>
      </w:r>
    </w:p>
    <w:p>
      <w:pPr>
        <w:spacing w:after="0" w:line="72"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The efficient operation of our business is dependent on our information technology systems, some of which are in need of enhancement, updating and replacement. We rely on these systems generally to manage day-to-day operations,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have a material adverse affect on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87" w:lineRule="exact"/>
        <w:rPr>
          <w:sz w:val="20"/>
          <w:szCs w:val="20"/>
          <w:color w:val="auto"/>
        </w:rPr>
      </w:pPr>
    </w:p>
    <w:p>
      <w:pPr>
        <w:ind w:left="860" w:hanging="36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earthquake, fire, flood and other natural disasters;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or other theft;</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attacks by computer viruses or hackers;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outages; and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computer systems, internet, telecommunications or data network failure.</w:t>
      </w:r>
    </w:p>
    <w:p>
      <w:pPr>
        <w:spacing w:after="0" w:line="225" w:lineRule="exact"/>
        <w:rPr>
          <w:sz w:val="20"/>
          <w:szCs w:val="20"/>
          <w:color w:val="auto"/>
        </w:rPr>
      </w:pPr>
    </w:p>
    <w:p>
      <w:pPr>
        <w:jc w:val="both"/>
        <w:ind w:right="20" w:firstLine="499"/>
        <w:spacing w:after="0" w:line="263" w:lineRule="auto"/>
        <w:rPr>
          <w:sz w:val="20"/>
          <w:szCs w:val="20"/>
          <w:color w:val="auto"/>
        </w:rPr>
      </w:pPr>
      <w:r>
        <w:rPr>
          <w:rFonts w:ascii="Arial" w:cs="Arial" w:eastAsia="Arial" w:hAnsi="Arial"/>
          <w:sz w:val="18"/>
          <w:szCs w:val="18"/>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establish and maintain effective internal controls over financial reporting, our business and financial results could be harmed.</w:t>
      </w:r>
    </w:p>
    <w:p>
      <w:pPr>
        <w:spacing w:after="0" w:line="133" w:lineRule="exact"/>
        <w:rPr>
          <w:sz w:val="20"/>
          <w:szCs w:val="20"/>
          <w:color w:val="auto"/>
        </w:rPr>
      </w:pPr>
    </w:p>
    <w:p>
      <w:pPr>
        <w:jc w:val="both"/>
        <w:ind w:firstLine="494"/>
        <w:spacing w:after="0" w:line="269"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consolidated financial statements or fraud. As of March 31, 2021, our Chief Executive Officer and Chief Financial Officer concluded that our internal controls for fiscal 2021 were designed and operating effectively. There can be no assurance that we will not experience a material weakness in our internal control over financial reporting in the future. A material weakness is defined as a deficiency, or a combination of deficiencies, in internal control over financial reporting, such that there is a reasonable possibility that a material misstatement of our annual or interim consolidated financial statements will not be prevented or detected on a timely basis. A failure to maintain an effective system of internal control over financial reporting could limit our ability to report our financial results accurately and in a timely manner or to detect and prevent fraud, could result in a restatement of our consolidated financial statements, and could also cause a loss of investor confidence and decline in the market price of our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conditions in the global economy have negatively impacted, and could in the future negatively impact, our customers, suppliers and business.</w:t>
      </w:r>
    </w:p>
    <w:p>
      <w:pPr>
        <w:spacing w:after="0" w:line="166"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Our operations and financial performance are impacted by worldwide economic conditions. Uncertainty about global economic conditions has contributed to customers postponing purchases of our products and services in response to tighter credit, unemployment, negative financial news and/or declines in income or asset values and other macroeconomic factors. The occurrence of these circumstances will likely have a material negative effect on demand for our products and services and, accordingly, on our results of operations, financial condition and cash flows. For example, any economic and political uncertainty caused by the United States tariffs imposed on other countries, and any corresponding tariffs from such other countries in response, may negatively impact demand and/or increase the cost for our products and components used in our products.</w:t>
      </w:r>
    </w:p>
    <w:p>
      <w:pPr>
        <w:spacing w:after="0" w:line="178"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The new United States administration may pursue a wide range of monetary, regulatory and trade policies, including the continued imposition of the previous United States administration’s tariffs on certain imports. Certain sourced finished products and certain of the components used in our products are impacted by tariffs imposed on China imports. Our efforts to mitigate the impact of added costs resulting from these tariffs include a variety of activities, such as sourcing from non-tariff impacted countries and raising prices. If we are unable to successfully mitigate the impacts of these tariffs and other trade policies, our results of operations, financial condition and cash flows may be materially adversely affected.</w:t>
      </w:r>
    </w:p>
    <w:p>
      <w:pPr>
        <w:spacing w:after="0" w:line="176" w:lineRule="exact"/>
        <w:rPr>
          <w:sz w:val="20"/>
          <w:szCs w:val="20"/>
          <w:color w:val="auto"/>
        </w:rPr>
      </w:pPr>
    </w:p>
    <w:p>
      <w:pPr>
        <w:jc w:val="both"/>
        <w:ind w:firstLine="494"/>
        <w:spacing w:after="0" w:line="290" w:lineRule="auto"/>
        <w:rPr>
          <w:sz w:val="20"/>
          <w:szCs w:val="20"/>
          <w:color w:val="auto"/>
        </w:rPr>
      </w:pPr>
      <w:r>
        <w:rPr>
          <w:rFonts w:ascii="Arial" w:cs="Arial" w:eastAsia="Arial" w:hAnsi="Arial"/>
          <w:sz w:val="16"/>
          <w:szCs w:val="16"/>
          <w:color w:val="auto"/>
        </w:rPr>
        <w:t>In addition, global economic and political uncertainty has led many customers to adopt strategies for conserving cash, including limits on capital spending. Our lighting systems are often purchased as capital assets and therefore are subject to our customers’ capital availability. Uncertainty around such availability has led customers to delay their purchase decisions, which has elongated the duration of our sales cycles. Weak economic conditions in the past have adversely affected our customers’ capital budgets, purchasing decisions and facilities managers and, as a result, have adversely affected our results of operations, financial condition and cash flows.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do not have major sources of recurring revenue and we depend upon a limited number of customers in any given period to generate a substantial portion of our revenue. The loss of any significant customers or a major customer would likely have a materially adverse effect on our results of operations, financial condition and cash flows.</w:t>
      </w:r>
    </w:p>
    <w:p>
      <w:pPr>
        <w:spacing w:after="0" w:line="180" w:lineRule="exact"/>
        <w:rPr>
          <w:sz w:val="20"/>
          <w:szCs w:val="20"/>
          <w:color w:val="auto"/>
        </w:rPr>
      </w:pPr>
    </w:p>
    <w:p>
      <w:pPr>
        <w:jc w:val="both"/>
        <w:ind w:firstLine="494"/>
        <w:spacing w:after="0" w:line="270" w:lineRule="auto"/>
        <w:rPr>
          <w:sz w:val="20"/>
          <w:szCs w:val="20"/>
          <w:color w:val="auto"/>
        </w:rPr>
      </w:pPr>
      <w:r>
        <w:rPr>
          <w:rFonts w:ascii="Arial" w:cs="Arial" w:eastAsia="Arial" w:hAnsi="Arial"/>
          <w:sz w:val="17"/>
          <w:szCs w:val="17"/>
          <w:color w:val="auto"/>
        </w:rPr>
        <w:t>We do not have any significant long-term contracts with our customers that provide us with recurring revenue from period to period. We currently generate a substantial portion of our revenue by securing large retrofit and multi-facility roll-out projects from new and existing customers. As a result, our dependence on individual key customers can vary from period to period due to the significant size of some of our retrofit and multi-facility roll-out projects. Our top 10 customers accounted for approximately 80%, 83% and 48% respectively, of our total revenue for fiscal 2021, 2020 and 2019. In fiscal 2020, one customer accounted for 74.1% of our total revenue compared to 20.7% in fiscal 2019. In fiscal 2021, this customer accounted for 56.0% of our total revenue. We expect that we will continue to experience significant customer concentration in fiscal 2022, although we expect this relative concentration level to diminish during fiscal 2022. The loss of this customer or our failure to satisfy its installation requirements could have a material adverse effect on our results of operations, financial condition and cash flows, as well as on our reputation and our ability to execute our business strategy. We expect large retrofit and rollout projects to continue to remain a significant component of our total revenue.</w:t>
      </w:r>
    </w:p>
    <w:p>
      <w:pPr>
        <w:spacing w:after="0" w:line="181"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The multi-location master retrofit agreements we have entered into with several of our key customers (including our current largest customer) generally require that the customer issue individual facility location work orders or purchase orders before we may install our products at that location. These master agreements do not guarantee that our key customers will make individual facility location purchases from us and they also generally allow any individual location purchase order or work order to be terminated prior to shipment. As a result, the relative amount and concentration of our revenues may fluctuate year over year and period over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depending on the number of purchase orders or work orders issued by our key customers, which may fluctuate due to factors such as our customers’ capital expenditure budgets and general economic conditions. The loss of, or substantial reduction in sales to, any of our significant customers, or a major customer, or the termination or delay of a significant volume of purchase orders by one or more key customers, would likely have a material adverse effect on our results of operations, financial condition and cash flows in any given future period.</w:t>
      </w:r>
    </w:p>
    <w:p>
      <w:pPr>
        <w:spacing w:after="0" w:line="27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net operating loss carry-forwards provide a future benefit only if we continue to be profitable and may be subject to limitation based upon ownership changes.</w:t>
      </w:r>
    </w:p>
    <w:p>
      <w:pPr>
        <w:spacing w:after="0" w:line="166" w:lineRule="exact"/>
        <w:rPr>
          <w:sz w:val="20"/>
          <w:szCs w:val="20"/>
          <w:color w:val="auto"/>
        </w:rPr>
      </w:pPr>
    </w:p>
    <w:p>
      <w:pPr>
        <w:ind w:right="100" w:firstLine="494"/>
        <w:spacing w:after="0" w:line="255" w:lineRule="auto"/>
        <w:rPr>
          <w:sz w:val="20"/>
          <w:szCs w:val="20"/>
          <w:color w:val="auto"/>
        </w:rPr>
      </w:pPr>
      <w:r>
        <w:rPr>
          <w:rFonts w:ascii="Arial" w:cs="Arial" w:eastAsia="Arial" w:hAnsi="Arial"/>
          <w:sz w:val="18"/>
          <w:szCs w:val="18"/>
          <w:color w:val="auto"/>
        </w:rPr>
        <w:t>We have significant federal net operating loss carry-forwards and state net operating loss carry-forwards. If we are unable to maintain our recent profitability, we may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could be subject to limitations in a particular year, which could potentially result in our increased future tax liability.</w:t>
      </w:r>
    </w:p>
    <w:p>
      <w:pPr>
        <w:spacing w:after="0" w:line="192" w:lineRule="exact"/>
        <w:rPr>
          <w:sz w:val="20"/>
          <w:szCs w:val="20"/>
          <w:color w:val="auto"/>
        </w:rPr>
      </w:pPr>
    </w:p>
    <w:p>
      <w:pPr>
        <w:ind w:right="60" w:firstLine="494"/>
        <w:spacing w:after="0" w:line="311" w:lineRule="auto"/>
        <w:rPr>
          <w:sz w:val="20"/>
          <w:szCs w:val="20"/>
          <w:color w:val="auto"/>
        </w:rPr>
      </w:pPr>
      <w:r>
        <w:rPr>
          <w:rFonts w:ascii="Arial" w:cs="Arial" w:eastAsia="Arial" w:hAnsi="Arial"/>
          <w:sz w:val="16"/>
          <w:szCs w:val="16"/>
          <w:color w:val="auto"/>
        </w:rPr>
        <w:t>Given our current earnings and potential future earnings, as of March 31, 2021, we recorded a valuation allowance release of $20.9 million against our deferred tax assets. This resulted in substantially and disproportionately increasing our reported net income and our earnings per share compared to our operating results. Historical and future comparisons to these amounts are not, and will not be, indicative of actual profitability trends for our business.</w:t>
      </w:r>
    </w:p>
    <w:p>
      <w:pPr>
        <w:spacing w:after="0" w:line="14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may not be able to obtain equity capital or debt financing necessary to effectively pursue our evolving strategy and sustain our growth initiatives.</w:t>
      </w:r>
    </w:p>
    <w:p>
      <w:pPr>
        <w:spacing w:after="0" w:line="166" w:lineRule="exact"/>
        <w:rPr>
          <w:sz w:val="20"/>
          <w:szCs w:val="20"/>
          <w:color w:val="auto"/>
        </w:rPr>
      </w:pPr>
    </w:p>
    <w:p>
      <w:pPr>
        <w:ind w:firstLine="494"/>
        <w:spacing w:after="0" w:line="259" w:lineRule="auto"/>
        <w:rPr>
          <w:sz w:val="20"/>
          <w:szCs w:val="20"/>
          <w:color w:val="auto"/>
        </w:rPr>
      </w:pPr>
      <w:r>
        <w:rPr>
          <w:rFonts w:ascii="Arial" w:cs="Arial" w:eastAsia="Arial" w:hAnsi="Arial"/>
          <w:sz w:val="18"/>
          <w:szCs w:val="18"/>
          <w:color w:val="auto"/>
        </w:rPr>
        <w:t>Our existing liquidity and capital resources may not be sufficient to allow us to effectively pursue our evolving growth strategy, complete potential acquisitions or otherwise fund or sustain our growth initiatives. If we require additional capital resources, we may not be able to obtain sufficient equity capital and/or debt financing on acceptable terms or conditions, or at all. Factors affecting the availability to us of additional equity capital or debt financing on acceptable terms and conditions, or in sufficient amounts, include:</w:t>
      </w:r>
    </w:p>
    <w:p>
      <w:pPr>
        <w:spacing w:after="0" w:line="295" w:lineRule="exact"/>
        <w:rPr>
          <w:sz w:val="20"/>
          <w:szCs w:val="20"/>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history of operating losses prior to our fiscal 2020;</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and future financial results and condition;</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collateral availability;</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customer concentration;</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market’s, investors’ and lenders' view of our company, industry and products;</w:t>
      </w:r>
    </w:p>
    <w:p>
      <w:pPr>
        <w:spacing w:after="0" w:line="117"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perception in the equity and debt markets of our ability to execute and sustain our business plan or achieve our operating results expectations; and</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volatility and trading volume and history of our common stock.</w:t>
      </w:r>
    </w:p>
    <w:p>
      <w:pPr>
        <w:spacing w:after="0" w:line="225" w:lineRule="exact"/>
        <w:rPr>
          <w:sz w:val="20"/>
          <w:szCs w:val="20"/>
          <w:color w:val="auto"/>
        </w:rPr>
      </w:pPr>
    </w:p>
    <w:p>
      <w:pPr>
        <w:ind w:right="120" w:firstLine="494"/>
        <w:spacing w:after="0" w:line="263" w:lineRule="auto"/>
        <w:rPr>
          <w:sz w:val="20"/>
          <w:szCs w:val="20"/>
          <w:color w:val="auto"/>
        </w:rPr>
      </w:pPr>
      <w:r>
        <w:rPr>
          <w:rFonts w:ascii="Arial" w:cs="Arial" w:eastAsia="Arial" w:hAnsi="Arial"/>
          <w:sz w:val="18"/>
          <w:szCs w:val="18"/>
          <w:color w:val="auto"/>
        </w:rPr>
        <w:t>Our inability to obtain the equity capital or debt financing necessary to pursue our evolving growth strategy could force us to scale back our growth initiatives or abandon potential acquisitions. If we are unable to pursue our evolving growth strategy and growth initiatives, our results of operations, financial condition and cash flows could be materially adversely affected.</w:t>
      </w:r>
    </w:p>
    <w:p>
      <w:pPr>
        <w:spacing w:after="0" w:line="28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Until fiscal 2020, we had a history of losses and negative cash flow and we may be unable to sustain our recent profitability and positive cash flows in the future.</w:t>
      </w:r>
    </w:p>
    <w:p>
      <w:pPr>
        <w:spacing w:after="0" w:line="166" w:lineRule="exact"/>
        <w:rPr>
          <w:sz w:val="20"/>
          <w:szCs w:val="20"/>
          <w:color w:val="auto"/>
        </w:rPr>
      </w:pPr>
    </w:p>
    <w:p>
      <w:pPr>
        <w:ind w:right="280" w:firstLine="464"/>
        <w:spacing w:after="0" w:line="277" w:lineRule="auto"/>
        <w:rPr>
          <w:sz w:val="20"/>
          <w:szCs w:val="20"/>
          <w:color w:val="auto"/>
        </w:rPr>
      </w:pPr>
      <w:r>
        <w:rPr>
          <w:rFonts w:ascii="Arial" w:cs="Arial" w:eastAsia="Arial" w:hAnsi="Arial"/>
          <w:sz w:val="18"/>
          <w:szCs w:val="18"/>
          <w:color w:val="auto"/>
        </w:rPr>
        <w:t>Prior to fiscal 2020, we experienced net losses and negative cash flows for the prior five fiscal years. There is no guarantee that we will be able to sustain our recent profitability and positive cash flows in the future. Our inability to successfully sustain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profitability and positive cash flows could materially and adversely affect our ability to pursue our evolving strategy and growth initiatives.</w:t>
      </w:r>
    </w:p>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materially adversely impact our liquidity.</w:t>
      </w:r>
    </w:p>
    <w:p>
      <w:pPr>
        <w:spacing w:after="0" w:line="72"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Our credit agreement contains provisions that limit our future borrowing availability and sets forth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184"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Risks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As we evolve our business strategy to increase our focus on new product and service offerings, including our comprehensive energy management and maintenance services and our IoT, “smart-building,” “connected ceilings” and other related technology, software and controls products and services, the nature of our business may be significantly changed, or transformed, and our results of operations, financial condition and cash flows may be materially adversely affected.</w:t>
      </w:r>
    </w:p>
    <w:p>
      <w:pPr>
        <w:spacing w:after="0" w:line="184" w:lineRule="exact"/>
        <w:rPr>
          <w:sz w:val="20"/>
          <w:szCs w:val="20"/>
          <w:color w:val="auto"/>
        </w:rPr>
      </w:pPr>
    </w:p>
    <w:p>
      <w:pPr>
        <w:jc w:val="both"/>
        <w:ind w:firstLine="494"/>
        <w:spacing w:after="0" w:line="268" w:lineRule="auto"/>
        <w:rPr>
          <w:sz w:val="20"/>
          <w:szCs w:val="20"/>
          <w:color w:val="auto"/>
        </w:rPr>
      </w:pPr>
      <w:r>
        <w:rPr>
          <w:rFonts w:ascii="Arial" w:cs="Arial" w:eastAsia="Arial" w:hAnsi="Arial"/>
          <w:sz w:val="17"/>
          <w:szCs w:val="17"/>
          <w:color w:val="auto"/>
        </w:rPr>
        <w:t>Our future growth and profitability are tied in part to our ability to successfully bring to market new and innovative product and service offerings. We have begun to evolve our business strategy to focus on further expanding the nature and scope of our products and services offered to our customers. This further expansion of our products and services includes pursuing projects to develop recurring revenue streams, including beginning to offer lighting, electrical, heating and ventilation, and other energy maintenance services to large customers with numerous locations. Our expansion efforts also involve utilizing control sensor technology to collect data and assisting customers in the digitization of this data, along with other potential services. We have experienced recent success offering our comprehensive energy project management services to national account customers to retrofit their multiple locations. We also plan to pursue the expansion of our IoT “smart-building” and “connected ceiling” and other related technology, software and controls products and services we offer to our customers. We have invested, and plan to continue to invest, significant time, resources and capital into expanding our offerings in these areas with no expectation that they will provide material revenue in the near term and without any assurance they will succeed or be profitable. In fact, these efforts have reduced our profitability, and will likely continue to do so, at least in the near term. Moreover, as we continue to explore, develop and refine new offerings, we expect that market preferences will continue to evolve, our offerings may not generate sufficient interest by end-user customers and we may be unable to compete effectively with existing or new competitors, generate significant revenues or achieve or maintain acceptable levels of profitability.</w:t>
      </w:r>
    </w:p>
    <w:p>
      <w:pPr>
        <w:spacing w:after="0" w:line="186"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If we are successful in introducing new product and services offerings, including expanded energy management and maintenance services and products with new technology, software and controls, the nature of our business may significantly change or be transformed away from being principally lighting products focused. Additionally, our experience providing energy maintenance services and technology, software and controls products and services is limited. If we do not successfully execute our strategy or anticipate the needs of our customers, our credibility as a provider of energy maintenance services and technology, software and controls products could be questioned and our prospects for future revenue growth and profitability may never materialize.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firstLine="494"/>
        <w:spacing w:after="0" w:line="273" w:lineRule="auto"/>
        <w:rPr>
          <w:sz w:val="20"/>
          <w:szCs w:val="20"/>
          <w:color w:val="auto"/>
        </w:rPr>
      </w:pPr>
      <w:r>
        <w:rPr>
          <w:rFonts w:ascii="Arial" w:cs="Arial" w:eastAsia="Arial" w:hAnsi="Arial"/>
          <w:sz w:val="17"/>
          <w:szCs w:val="17"/>
          <w:color w:val="auto"/>
        </w:rPr>
        <w:t>As we expand our product and services offerings to new markets, the overall complexity of our business will likely increase at an accelerated rate and we may become subject to different market dynamics. The new markets into which we are expanding, or may expand, may have different characteristics from the markets in which we have historically competed. These different characteristics may include, among other things, rapidly changing technologies, different supply chains, different competitors and methods of competition, new product development rates, client concentrations and performance and compatibility requirements. Our failure to make the necessary adaptations to our business model to address these different characteristics, complexities and new market dynamics could adversely affect our operating results.</w:t>
      </w:r>
    </w:p>
    <w:p>
      <w:pPr>
        <w:spacing w:after="0" w:line="178" w:lineRule="exact"/>
        <w:rPr>
          <w:sz w:val="20"/>
          <w:szCs w:val="20"/>
          <w:color w:val="auto"/>
        </w:rPr>
      </w:pPr>
    </w:p>
    <w:p>
      <w:pPr>
        <w:jc w:val="both"/>
        <w:ind w:firstLine="494"/>
        <w:spacing w:after="0" w:line="308" w:lineRule="auto"/>
        <w:rPr>
          <w:sz w:val="20"/>
          <w:szCs w:val="20"/>
          <w:color w:val="auto"/>
        </w:rPr>
      </w:pPr>
      <w:r>
        <w:rPr>
          <w:rFonts w:ascii="Arial" w:cs="Arial" w:eastAsia="Arial" w:hAnsi="Arial"/>
          <w:sz w:val="17"/>
          <w:szCs w:val="17"/>
          <w:color w:val="auto"/>
        </w:rPr>
        <w:t>Accordingly, if we fail to successfully launch, manage and maintain our evolving business strategy, our future revenue growth and profitability would likely be limited and our results of operations, financial condition and cash flows would likely be materially adversely affected.</w:t>
      </w:r>
    </w:p>
    <w:p>
      <w:pPr>
        <w:spacing w:after="0" w:line="250"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Our evolving business strategy includes actively exploring potential acquisitions, including potential acquisitions that could significantly change, or even transform, the nature of our business. These acquisitions could be unsuccessful or consume significant resources, which could materially adversely affect our results of operations, financial condition and cash flows.</w:t>
      </w:r>
    </w:p>
    <w:p>
      <w:pPr>
        <w:spacing w:after="0" w:line="180" w:lineRule="exact"/>
        <w:rPr>
          <w:sz w:val="20"/>
          <w:szCs w:val="20"/>
          <w:color w:val="auto"/>
        </w:rPr>
      </w:pPr>
    </w:p>
    <w:p>
      <w:pPr>
        <w:ind w:right="60" w:firstLine="494"/>
        <w:spacing w:after="0" w:line="289" w:lineRule="auto"/>
        <w:rPr>
          <w:sz w:val="20"/>
          <w:szCs w:val="20"/>
          <w:color w:val="auto"/>
        </w:rPr>
      </w:pPr>
      <w:r>
        <w:rPr>
          <w:rFonts w:ascii="Arial" w:cs="Arial" w:eastAsia="Arial" w:hAnsi="Arial"/>
          <w:sz w:val="16"/>
          <w:szCs w:val="16"/>
          <w:color w:val="auto"/>
        </w:rPr>
        <w:t>We are actively exploring potential business acquisitions which would more quickly add expanded and different capabilities to our product and services offerings, including potential acquisitions that could significantly change, or even transform, the nature of our business. There can be no assurance that we will identify or successfully complete transactions with suitable acquisition candidates in the future. Similarly, there can be no assurance that any completed acquisitions will be successful. Acquisitions may involve significant cash expenditures, debt incurrence, stock issuances, operating losses and expenses that would otherwise be directed to investments in our existing business and could have a material adverse effect on our financial condition, results of operations and cash flows. To pursue acquisitions and other strategic transactions, we may need to raise additional debt and/or equity capital in the future, which may not be available on acceptable terms, in sufficient amounts or at all. In addition, we may issue new shares of our common stock as consideration in such transactions, which may have a dilutive impact on our existing shareholders and may also result in a reduction in the market price of our shares once those newly issued shares are resold in the market. In addition, acquisitions involve numerous other risks, including:</w:t>
      </w:r>
    </w:p>
    <w:p>
      <w:pPr>
        <w:spacing w:after="0" w:line="274" w:lineRule="exact"/>
        <w:rPr>
          <w:sz w:val="20"/>
          <w:szCs w:val="20"/>
          <w:color w:val="auto"/>
        </w:rPr>
      </w:pPr>
    </w:p>
    <w:p>
      <w:pPr>
        <w:ind w:left="860" w:hanging="36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of the acquired business to achieve its revenue or profit forecasts;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culture of the acquired business may not match well with our culture;</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strategies and focus may change in ways that adversely affect our results of operations;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and product synergies, economies of scale and cost reductions from the acquisition may not occur as expected;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expenses, delays or conditions may result from the acquisition, including required regulatory approvals or consents;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changes may result to our management team and/or board of directors;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acquire or assume unexpected liabilities or be subject to unexpected penalties or other enforcement actions or legal consequences;</w:t>
      </w:r>
    </w:p>
    <w:p>
      <w:pPr>
        <w:spacing w:after="0" w:line="140" w:lineRule="exact"/>
        <w:rPr>
          <w:rFonts w:ascii="Arial" w:cs="Arial" w:eastAsia="Arial" w:hAnsi="Arial"/>
          <w:sz w:val="16"/>
          <w:szCs w:val="16"/>
          <w:color w:val="auto"/>
        </w:rPr>
      </w:pPr>
    </w:p>
    <w:p>
      <w:pPr>
        <w:ind w:left="860" w:hanging="366"/>
        <w:spacing w:after="0"/>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faulty assumptions may be made regarding the macroeconomic environment or the integration process that form a basis for the acquisition;</w:t>
      </w:r>
    </w:p>
    <w:p>
      <w:pPr>
        <w:spacing w:after="0" w:line="140" w:lineRule="exact"/>
        <w:rPr>
          <w:rFonts w:ascii="Arial" w:cs="Arial" w:eastAsia="Arial" w:hAnsi="Arial"/>
          <w:sz w:val="16"/>
          <w:szCs w:val="16"/>
          <w:color w:val="auto"/>
        </w:rPr>
      </w:pPr>
    </w:p>
    <w:p>
      <w:pPr>
        <w:ind w:left="860" w:hanging="36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difficulties, delays and costs may arise in integrating the acquired business’s operations, processes and systems;</w:t>
      </w:r>
    </w:p>
    <w:p>
      <w:pPr>
        <w:spacing w:after="0" w:line="117"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than expected investments may be required to implement necessary compliance processes and related systems, including information technology systems, accounting systems and internal controls over financial reporting;</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to retain, motivate and integrate key management and other employees of the acquired business;</w:t>
      </w:r>
    </w:p>
    <w:p>
      <w:pPr>
        <w:spacing w:after="0" w:line="117" w:lineRule="exact"/>
        <w:rPr>
          <w:rFonts w:ascii="Arial" w:cs="Arial" w:eastAsia="Arial" w:hAnsi="Arial"/>
          <w:sz w:val="18"/>
          <w:szCs w:val="18"/>
          <w:color w:val="auto"/>
        </w:rPr>
      </w:pPr>
    </w:p>
    <w:p>
      <w:pPr>
        <w:ind w:left="860" w:right="20" w:hanging="366"/>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than expected costs may arise due to unforeseen changes in tax, trade, environmental, labor, safety, payroll or pension policies in any jurisdiction in which the acquired business conducts its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left="860" w:hanging="36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adversely impact our sales channels and our sales channel partners; and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problems in retaining customers and integrating customer bases.</w:t>
      </w:r>
    </w:p>
    <w:p>
      <w:pPr>
        <w:spacing w:after="0" w:line="333" w:lineRule="exact"/>
        <w:rPr>
          <w:sz w:val="20"/>
          <w:szCs w:val="20"/>
          <w:color w:val="auto"/>
        </w:rPr>
      </w:pPr>
    </w:p>
    <w:p>
      <w:pPr>
        <w:ind w:right="120" w:firstLine="494"/>
        <w:spacing w:after="0" w:line="263" w:lineRule="auto"/>
        <w:rPr>
          <w:sz w:val="20"/>
          <w:szCs w:val="20"/>
          <w:color w:val="auto"/>
        </w:rPr>
      </w:pPr>
      <w:r>
        <w:rPr>
          <w:rFonts w:ascii="Arial" w:cs="Arial" w:eastAsia="Arial" w:hAnsi="Arial"/>
          <w:sz w:val="18"/>
          <w:szCs w:val="18"/>
          <w:color w:val="auto"/>
        </w:rPr>
        <w:t>Many of these factors will be outside of our control and any one of them could result in increased costs and reduced profitability, decreases in the amount of expected revenues and diversion of our management’s time and attention. They may also delay, decrease or eliminate the realization of some or all of the benefits we anticipate when we enter into the transaction.</w:t>
      </w:r>
    </w:p>
    <w:p>
      <w:pPr>
        <w:spacing w:after="0" w:line="184" w:lineRule="exact"/>
        <w:rPr>
          <w:sz w:val="20"/>
          <w:szCs w:val="20"/>
          <w:color w:val="auto"/>
        </w:rPr>
      </w:pPr>
    </w:p>
    <w:p>
      <w:pPr>
        <w:ind w:right="200" w:firstLine="494"/>
        <w:spacing w:after="0" w:line="279" w:lineRule="auto"/>
        <w:rPr>
          <w:sz w:val="20"/>
          <w:szCs w:val="20"/>
          <w:color w:val="auto"/>
        </w:rPr>
      </w:pPr>
      <w:r>
        <w:rPr>
          <w:rFonts w:ascii="Arial" w:cs="Arial" w:eastAsia="Arial" w:hAnsi="Arial"/>
          <w:sz w:val="17"/>
          <w:szCs w:val="17"/>
          <w:color w:val="auto"/>
        </w:rPr>
        <w:t>Because we have historically only made one acquisition to date, our ability to do so again successfully is unproven. Moreover, our management team has limited experience in, and limited time to dedicate to, pursuing, negotiating or integrating acquisitions. If we do identify suitable candidates, we may not be able to negotiate or consummate such acquisitions on favorable terms or at all. Any acquisitions we complete may not achieve their initially intended results and benefits, and may be viewed negatively by investors and other stakeholders.</w:t>
      </w:r>
    </w:p>
    <w:p>
      <w:pPr>
        <w:spacing w:after="0" w:line="171" w:lineRule="exact"/>
        <w:rPr>
          <w:sz w:val="20"/>
          <w:szCs w:val="20"/>
          <w:color w:val="auto"/>
        </w:rPr>
      </w:pPr>
    </w:p>
    <w:p>
      <w:pPr>
        <w:jc w:val="both"/>
        <w:ind w:right="280" w:firstLine="494"/>
        <w:spacing w:after="0" w:line="311" w:lineRule="auto"/>
        <w:rPr>
          <w:sz w:val="20"/>
          <w:szCs w:val="20"/>
          <w:color w:val="auto"/>
        </w:rPr>
      </w:pPr>
      <w:r>
        <w:rPr>
          <w:rFonts w:ascii="Arial" w:cs="Arial" w:eastAsia="Arial" w:hAnsi="Arial"/>
          <w:sz w:val="16"/>
          <w:szCs w:val="16"/>
          <w:color w:val="auto"/>
        </w:rPr>
        <w:t>We may undertake acquisitions financed in part through public offerings or private placements of debt or equity securities, including through the new issuance of our common stock or debt securities as consideration in an acquisition transaction. Such acquisition financing could result in dilution to our current shareholders, a decrease in our earnings and/or adversely affect our financial condition, liquidity or other leverage measures.</w:t>
      </w:r>
    </w:p>
    <w:p>
      <w:pPr>
        <w:spacing w:after="0" w:line="149" w:lineRule="exact"/>
        <w:rPr>
          <w:sz w:val="20"/>
          <w:szCs w:val="20"/>
          <w:color w:val="auto"/>
        </w:rPr>
      </w:pPr>
    </w:p>
    <w:p>
      <w:pPr>
        <w:ind w:right="400" w:firstLine="494"/>
        <w:spacing w:after="0" w:line="301" w:lineRule="auto"/>
        <w:rPr>
          <w:sz w:val="20"/>
          <w:szCs w:val="20"/>
          <w:color w:val="auto"/>
        </w:rPr>
      </w:pPr>
      <w:r>
        <w:rPr>
          <w:rFonts w:ascii="Arial" w:cs="Arial" w:eastAsia="Arial" w:hAnsi="Arial"/>
          <w:sz w:val="16"/>
          <w:szCs w:val="16"/>
          <w:color w:val="auto"/>
        </w:rPr>
        <w:t>In addition to committing additional capital resources to complete any acquisitions, substantial additional capital may be required to operate the acquired businesses following their acquisition. Moreover, these acquisitions may result in significant financial losses if the intended objectives of the transactions are not achieved. Some of the businesses we may acquire may have significant operating and financial challenges, requiring significant additional capital commitments to overcome such challenges and adversely affecting our financial condition and liquidity.</w:t>
      </w:r>
    </w:p>
    <w:p>
      <w:pPr>
        <w:spacing w:after="0" w:line="157" w:lineRule="exact"/>
        <w:rPr>
          <w:sz w:val="20"/>
          <w:szCs w:val="20"/>
          <w:color w:val="auto"/>
        </w:rPr>
      </w:pPr>
    </w:p>
    <w:p>
      <w:pPr>
        <w:ind w:right="340" w:firstLine="494"/>
        <w:spacing w:after="0" w:line="277" w:lineRule="auto"/>
        <w:rPr>
          <w:sz w:val="20"/>
          <w:szCs w:val="20"/>
          <w:color w:val="auto"/>
        </w:rPr>
      </w:pPr>
      <w:r>
        <w:rPr>
          <w:rFonts w:ascii="Arial" w:cs="Arial" w:eastAsia="Arial" w:hAnsi="Arial"/>
          <w:sz w:val="18"/>
          <w:szCs w:val="18"/>
          <w:color w:val="auto"/>
        </w:rPr>
        <w:t>Failure to implement our acquisition strategy, including successfully integrating acquired businesses, could have a material adverse effect on our results of operations, financial condition and cash flows.</w:t>
      </w:r>
    </w:p>
    <w:p>
      <w:pPr>
        <w:spacing w:after="0" w:line="2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success of our business depends upon our adaptation to the quickly changing market conditions in the lighting industry and on market acceptance of our lighting retrofit solutions using LED and control technologies.</w:t>
      </w:r>
    </w:p>
    <w:p>
      <w:pPr>
        <w:spacing w:after="0" w:line="166"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market for lighting products has experienced a significant technology shift to LED lighting systems. In addition, we continue to explore utilizing our system platform as a “connected ceiling” or “smart ceiling”, or a framework or network that can support the installation and integration of other business technology or data information solutions on our lighting platform.</w:t>
      </w:r>
    </w:p>
    <w:p>
      <w:pPr>
        <w:spacing w:after="0" w:line="184" w:lineRule="exact"/>
        <w:rPr>
          <w:sz w:val="20"/>
          <w:szCs w:val="20"/>
          <w:color w:val="auto"/>
        </w:rPr>
      </w:pPr>
    </w:p>
    <w:p>
      <w:pPr>
        <w:jc w:val="both"/>
        <w:ind w:firstLine="499"/>
        <w:spacing w:after="0" w:line="287" w:lineRule="auto"/>
        <w:rPr>
          <w:sz w:val="20"/>
          <w:szCs w:val="20"/>
          <w:color w:val="auto"/>
        </w:rPr>
      </w:pPr>
      <w:r>
        <w:rPr>
          <w:rFonts w:ascii="Arial" w:cs="Arial" w:eastAsia="Arial" w:hAnsi="Arial"/>
          <w:sz w:val="16"/>
          <w:szCs w:val="16"/>
          <w:color w:val="auto"/>
        </w:rPr>
        <w:t>As a result, our future success depends significantly upon the adoption rate of LED products within our primary markets, our ability to participate in this ongoing market trend and our ability to expand into complementary markets. To be an effective participant in the LED market, we must keep up with the evolution of LED and related technologies, which continue to move at a fast pace. We may be unable to successfully develop and market new products or services that keep pace with technological or industry changes, differentiate ourselves from our competition, satisfy changes in customer demands or comply with present or emerging government and industry regulations and technology standards. The development and introduction of new products and services may result in increased warranty expenses and other new product and services introduction expenses. In addition, we will likely continue to incur substantial costs to research and develop new products and services, which will increase our expenses, without guarantee that our new products and services will be commercially viable. We may also spend time and resources to develop and release new products and services only to discover that a competitor has also introduced similar new products and services with superior performance, at a lower price or on better delivery terms. Moreover, if new sources of lighting or lighting-based solutions are developed, our current products and technologies could become less competitive or obsolete, which could result in reduced revenue, reduced earnings or increased losses, and/or inventory and other impairment charges.</w:t>
      </w:r>
    </w:p>
    <w:p>
      <w:pPr>
        <w:spacing w:after="0" w:line="172"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Finally, in connection with our historical primary focus on selling our LED products, we expect our results of operations to continue to fluctuate from quarter to quarter to the extent that customers delay purchasing decisions as they evaluate their return on investment from purchasing LED products compared to alternative lighting solutions, the pricing of LED products continues to fall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and LED products continue to gain more widespread customer acceptance. Similarly, these circumstances have adversely impacted, and may continue to adversely impact, our product gross margins and our profitability from quarter to quarter.</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If we are unable to achieve market acceptance of our lighting retrofit solutions using LED technologies and our system platform as a “connected ceiling” or “smart ceiling” or realize the expected benefits from our focus on promoting new products and services, our results of operations, financial condition and cash flows will likely be materially adversely affected.</w:t>
      </w:r>
    </w:p>
    <w:p>
      <w:pPr>
        <w:spacing w:after="0" w:line="2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success of our LED lighting retrofit solutions depends,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spacing w:after="0" w:line="180"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spacing w:after="0" w:line="178"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spacing w:after="0" w:line="26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Our continued emphasis on indirect distribution channels to sell our products and services to supplement our direct distribution channels has had limited success to date. If we are unable to attract, incentivize and retain our third-party distributors and sales agents, or our distributors and sales agents do not sell our products and services at the levels expected, our revenues could decline and our costs could increase.</w:t>
      </w:r>
    </w:p>
    <w:p>
      <w:pPr>
        <w:spacing w:after="0" w:line="38" w:lineRule="exact"/>
        <w:rPr>
          <w:sz w:val="20"/>
          <w:szCs w:val="20"/>
          <w:color w:val="auto"/>
        </w:rPr>
      </w:pPr>
    </w:p>
    <w:p>
      <w:pPr>
        <w:jc w:val="both"/>
        <w:ind w:firstLine="499"/>
        <w:spacing w:after="0" w:line="270" w:lineRule="auto"/>
        <w:rPr>
          <w:sz w:val="20"/>
          <w:szCs w:val="20"/>
          <w:color w:val="auto"/>
        </w:rPr>
      </w:pPr>
      <w:r>
        <w:rPr>
          <w:rFonts w:ascii="Arial" w:cs="Arial" w:eastAsia="Arial" w:hAnsi="Arial"/>
          <w:sz w:val="17"/>
          <w:szCs w:val="17"/>
          <w:color w:val="auto"/>
        </w:rPr>
        <w:t>We utilize manufacturer representative sales agencies that sell our products through distributors. Many of these sales agents and distributors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 partnerships with sales agents and distributors, we are attempting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performance is dependent on our ability to achieve growth in our average selling price of our products.</w:t>
      </w:r>
    </w:p>
    <w:p>
      <w:pPr>
        <w:spacing w:after="0" w:line="121" w:lineRule="exact"/>
        <w:rPr>
          <w:sz w:val="20"/>
          <w:szCs w:val="20"/>
          <w:color w:val="auto"/>
        </w:rPr>
      </w:pPr>
    </w:p>
    <w:p>
      <w:pPr>
        <w:jc w:val="both"/>
        <w:ind w:firstLine="494"/>
        <w:spacing w:after="0" w:line="270" w:lineRule="auto"/>
        <w:rPr>
          <w:sz w:val="20"/>
          <w:szCs w:val="20"/>
          <w:color w:val="auto"/>
        </w:rPr>
      </w:pPr>
      <w:r>
        <w:rPr>
          <w:rFonts w:ascii="Arial" w:cs="Arial" w:eastAsia="Arial" w:hAnsi="Arial"/>
          <w:sz w:val="17"/>
          <w:szCs w:val="17"/>
          <w:color w:val="auto"/>
        </w:rPr>
        <w:t>The gross margins of our products can vary significantly, with margins ranging from 10% to 50%. While we continue to implement our strategy of transitioning to higher-margin products and reducing the material cost of our products, a change in the total mix of our sales toward lower margin products, a decrease in the margins on our products as a result of competitive pressures driving down the average selling price of our products, lower sales volumes, and promotional programs to increase sales volumes could reduce our profitability and result in a material adverse effect on our results of operations, financial condition and cash flows. Furthermore, the average selling price of our products has been, and may be further, negatively impacted by market over-supply conditions, product feature cannibalization by competitors or component providers, low-cost non-traditional sales methods by new market entrants, and comparison of our retrofit fixture products with replacement lamp equivalents. While we recently implemented a general price increase applicable to many new product orders, there is no assurance that such price increase will be accepted by our customers or succeed in increasing the average selling price of our products. In our highly competitive lighting industry, we must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able to innovate and release new products on a regular basis with features and benefits that generate increases in our average selling price and average gross margin. There can be no assurance we will be successful in achieving these goals.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Regulatory and Compliance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tariffs and other actions may adversely affect our business.</w:t>
      </w:r>
    </w:p>
    <w:p>
      <w:pPr>
        <w:spacing w:after="0" w:line="229" w:lineRule="exact"/>
        <w:rPr>
          <w:sz w:val="20"/>
          <w:szCs w:val="20"/>
          <w:color w:val="auto"/>
        </w:rPr>
      </w:pPr>
    </w:p>
    <w:p>
      <w:pPr>
        <w:ind w:right="220" w:firstLine="494"/>
        <w:spacing w:after="0" w:line="293" w:lineRule="auto"/>
        <w:rPr>
          <w:sz w:val="20"/>
          <w:szCs w:val="20"/>
          <w:color w:val="auto"/>
        </w:rPr>
      </w:pPr>
      <w:r>
        <w:rPr>
          <w:rFonts w:ascii="Arial" w:cs="Arial" w:eastAsia="Arial" w:hAnsi="Arial"/>
          <w:sz w:val="16"/>
          <w:szCs w:val="16"/>
          <w:color w:val="auto"/>
        </w:rPr>
        <w:t>The United States government has been implementing various monetary, regulatory, and trade importation restraints, penalties, and tariffs. Certain sourced finished products and certain of the components used in our products have been impacted by tariffs imposed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(including any new or different tariffs or policies implemented by the new United States administration), our results of operations may be adversely affected. Any future policy changes that may be implemented by the new United States administration could have a negative consequence on our financial performance.</w:t>
      </w:r>
    </w:p>
    <w:p>
      <w:pPr>
        <w:spacing w:after="0" w:line="2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affect on our results of operations, financial condition and cash flows.</w:t>
      </w:r>
    </w:p>
    <w:p>
      <w:pPr>
        <w:spacing w:after="0" w:line="38"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Reductions in (including as a result of any budgetary constraints), or the elimination of, government investment and favorable energy policies designed to accelerate the adoption of LED lighting could result in decreased demand for our products and adversely affect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2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elimination of, or changes in, policies, incentives or rebates in certain states that encourage the use of solar power over other traditional power sources could cause the revenue from our sale of solar-related tax credits to third parties to decrease, which could have a material adverse effect on our results of operations, financial condition and cash flows.</w:t>
      </w:r>
    </w:p>
    <w:p>
      <w:pPr>
        <w:spacing w:after="0" w:line="72"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We have long-lived assets associated with our legacy solar business and recognize revenue from the sale to third parties of tax credits received from operating these solar assets. There is currently legislation pending which may decrease the future cash flows associated with the sale of these tax credits. Such a decrease could have a material adverse effect on our results of operations, financial condition and cash flows. Depending on the result of this pending legislation change, we may be required to record a non-cash impairment charge in a future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8"/>
          <w:szCs w:val="18"/>
          <w:b w:val="1"/>
          <w:bCs w:val="1"/>
          <w:color w:val="auto"/>
        </w:rPr>
        <w:t>Changes in government budget priorities and political gridlock, and future potential government shutdown, could negatively impact our results of operations, financial condition and cash flows.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Actual and perceived changes in governmental budget priorities as a result of the new United States administration, and future potential government shutdowns, could adversely affect our results of operations, financial condition and cash flows. Certain government agencies purchase certain products and services directly from us. When the government changes budget priorities, such as in times of war, financial crisis, or a changed administration,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Funding reductions or delays, including delays caused by political gridlock, and future potential government shutdowns, could negatively impact demand and payment for our products and services. If any of these events occur, our results of operations, financial condition and cash flows could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claims could adversely affect our business, results of operations and financial condition.</w:t>
      </w:r>
    </w:p>
    <w:p>
      <w:pPr>
        <w:spacing w:after="0" w:line="121" w:lineRule="exact"/>
        <w:rPr>
          <w:sz w:val="20"/>
          <w:szCs w:val="20"/>
          <w:color w:val="auto"/>
        </w:rPr>
      </w:pPr>
    </w:p>
    <w:p>
      <w:pPr>
        <w:jc w:val="both"/>
        <w:ind w:firstLine="499"/>
        <w:spacing w:after="0" w:line="272" w:lineRule="auto"/>
        <w:rPr>
          <w:sz w:val="20"/>
          <w:szCs w:val="20"/>
          <w:color w:val="auto"/>
        </w:rPr>
      </w:pPr>
      <w:r>
        <w:rPr>
          <w:rFonts w:ascii="Arial" w:cs="Arial" w:eastAsia="Arial" w:hAnsi="Arial"/>
          <w:sz w:val="17"/>
          <w:szCs w:val="17"/>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spacing w:after="0" w:line="28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spacing w:after="0" w:line="144"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results of operations, financial condition and cash flows.</w:t>
      </w:r>
    </w:p>
    <w:p>
      <w:pPr>
        <w:spacing w:after="0" w:line="165"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66"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firstLine="499"/>
        <w:spacing w:after="0" w:line="259" w:lineRule="auto"/>
        <w:rPr>
          <w:sz w:val="20"/>
          <w:szCs w:val="20"/>
          <w:color w:val="auto"/>
        </w:rPr>
      </w:pPr>
      <w:r>
        <w:rPr>
          <w:rFonts w:ascii="Arial" w:cs="Arial" w:eastAsia="Arial" w:hAnsi="Arial"/>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87"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7"/>
          <w:szCs w:val="17"/>
          <w:color w:val="auto"/>
        </w:rPr>
        <w:t>In addition, third parties may bring infringement and other claims that could be time-consuming and expensive to defend. Also, parties making infringement and other claims against us may be able to obtain injunctive or other equitable relief that could effectively block our ability to provide our products, services or business methods and could cause us to pay substantial damages. In the event of a successful claim of infringement against us,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retrofitting process frequently involves responsibility for the removal and disposal of components containing hazardous materials.</w:t>
      </w:r>
    </w:p>
    <w:p>
      <w:pPr>
        <w:spacing w:after="0" w:line="133"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and cash flows.</w:t>
      </w:r>
    </w:p>
    <w:p>
      <w:pPr>
        <w:spacing w:after="0" w:line="2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cost of compliance with environmental laws and regulations and any related environmental liabilities could adversely affect our results of operations, financial condition and cash flows.</w:t>
      </w:r>
    </w:p>
    <w:p>
      <w:pPr>
        <w:spacing w:after="0" w:line="58"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3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58"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color w:val="auto"/>
        </w:rPr>
        <w:t>Our quarterly revenue and operating results have fluctuated in the past and will likely vary from quarter to quarter in the future. Our results for any particular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58"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The trading market for our common stock will continue to depend, in part, on the research reports that securities or industry analysts publish about us and our peer group companies. If these analysts do not continue to provide adequate research coverage or if one or more of the analysts who covers us downgrades our stock, lowers our stock’s price target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has been, and may continue to be, volatile.</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Historically, the market price of our common stock has fluctuated over a wide range, and it is likely that the price of our common stock will continue to be volatile in the future. The trading price of our common stock has ranged from $3.22 to $11.67 per share during the period from April 1, 2020 to March 31, 2021. The market price of our common stock could be impacted due to a variety of factors, including:</w:t>
      </w:r>
    </w:p>
    <w:p>
      <w:pPr>
        <w:spacing w:after="0" w:line="76" w:lineRule="exact"/>
        <w:rPr>
          <w:sz w:val="20"/>
          <w:szCs w:val="20"/>
          <w:color w:val="auto"/>
        </w:rPr>
      </w:pPr>
    </w:p>
    <w:p>
      <w:pPr>
        <w:ind w:left="860" w:hanging="36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our competitors’ operating results;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actual or anticipated changes in the growth rate of the general LED lighting industry, our growth rates or our competitors’ growth rates;</w:t>
      </w:r>
    </w:p>
    <w:p>
      <w:pPr>
        <w:spacing w:after="0" w:line="128" w:lineRule="exact"/>
        <w:rPr>
          <w:rFonts w:ascii="Arial" w:cs="Arial" w:eastAsia="Arial" w:hAnsi="Arial"/>
          <w:sz w:val="17"/>
          <w:szCs w:val="17"/>
          <w:color w:val="auto"/>
        </w:rPr>
      </w:pPr>
    </w:p>
    <w:p>
      <w:pPr>
        <w:ind w:left="860" w:right="20" w:hanging="366"/>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 including government efforts to mitigate the severe economic downturn resulting from the COVID-19 pandemic;</w:t>
      </w:r>
    </w:p>
    <w:p>
      <w:pPr>
        <w:spacing w:after="0" w:line="62"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novel and unforeseen market forces and trading strategies, such as the massive short squeeze rally caused by retail investors and social media activity affecting companies such as GameStop Corp.;</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governmental regulation, including taxation and tariff policies;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or currency exchange rate fluctuations;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forecast or report accurate financial results; and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stock market analyst recommendations regarding our common stock, other comparable companies or our industry generally.</w:t>
      </w:r>
    </w:p>
    <w:p>
      <w:pPr>
        <w:spacing w:after="0" w:line="129"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2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could be adversely affected by future sales of our common stock in the public market by us or our executive officers and directors.</w:t>
      </w:r>
    </w:p>
    <w:p>
      <w:pPr>
        <w:spacing w:after="0" w:line="58"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We and our executive officers and directors may from time to time sell shares of our common stock in the public market or otherwise. On February 18, 2021, we reported that Michael W. Altschaefl, our Chief Executive Officer and Board Chair, and Scott A. Green, our Chief Operating Officer and Executive Vice President, had each adopted separate prearranged trading plans for a specified number of their shares of our common stock, in accordance with guidelines specified by Rule 10b5-1 under the Exchange Act and our policies regarding transactions by insiders in our common stock. We cannot predict the size or the effect, if any, that future sales of shares of our common stock by us or our executive officers and directors, or the perception of such sales, will have on the market price of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We are not currently paying dividends on our common stock and will likely continue not paying dividends for the foreseeable future.</w:t>
      </w:r>
    </w:p>
    <w:p>
      <w:pPr>
        <w:spacing w:after="0" w:line="133"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color w:val="auto"/>
        </w:rPr>
        <w:t>We have never paid or declared any cash dividends on our common stock. We currently intend to retain all available funds and any future earnings to fund the continued development and expansion of our business, and we do not anticipate paying any cash dividends on our common stock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 The restrictions on, and decision not to, pay dividends on our common stock may impact our ability to attract certain investors and raise funds, if necessary, in the capital markets.</w:t>
      </w:r>
    </w:p>
    <w:p>
      <w:pPr>
        <w:spacing w:after="0" w:line="2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84"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our then-current board of directors, including to delay or impede a merger, tender offer or proxy contest involving our company or result in a lower price per share paid to our shareholders.</w:t>
      </w:r>
    </w:p>
    <w:p>
      <w:pPr>
        <w:spacing w:after="0" w:line="195"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Each currently outstanding share of our common stock includes, and each newly issued share of our common stock will include, a common share purchase right. These rights are attached to, and trade with, the shares of our common stock and generally are not currently exercisable. These rights will become exercisable if a person or group acquires, or announces an intention to acquire, 20% or more of our outstanding common stock. These rights have some anti-takeover effects and generally will cause substantial dilution to a person or group that attempts to acquire control of us without conditioning the offer on either redemption of the rights or amendment of the rights to prevent this dilution. These rights could have the effect of delaying, deferring or preventing a change of control or result in a lower price per share paid to our shareholders.</w:t>
      </w:r>
    </w:p>
    <w:p>
      <w:pPr>
        <w:spacing w:after="0" w:line="178"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(other than for our Chief Executive Officer).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We lease our approximately 266,000 square foot manufacturing and distribution facility located in Manitowoc, Wisconsin. On January 31, 2020, we entered a new lease for the facility with a ten-year term, and an option to terminate after six years.</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own our approximately 70,000 square foot technology center and corporate headquarters adjacent to our leased Manitowoc manufacturing and distribution facility, of which we sub-lease a portion to third parties. We also lease approximately 10,500 square feet of office space in Jacksonville, Florida.</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facilities noted above are utilized by all our business segments.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20" w:firstLine="499"/>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both"/>
        <w:ind w:left="760" w:hanging="741"/>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 of our common stock are traded on the NASDAQ Capital Market under the symbol “OESX”.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May 21, 2021, there were approximately 159 record holders of the 30,806,390 outstanding shares of our common stock. The number of record holders does not include shareholders for whom shares are held in a “nominee” or “street” name.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20" w:firstLine="499"/>
        <w:spacing w:after="0" w:line="277" w:lineRule="auto"/>
        <w:rPr>
          <w:sz w:val="20"/>
          <w:szCs w:val="20"/>
          <w:color w:val="auto"/>
        </w:rPr>
      </w:pPr>
      <w:r>
        <w:rPr>
          <w:rFonts w:ascii="Arial" w:cs="Arial" w:eastAsia="Arial" w:hAnsi="Arial"/>
          <w:sz w:val="18"/>
          <w:szCs w:val="18"/>
          <w:color w:val="auto"/>
        </w:rPr>
        <w:t>The following table represents shares outstanding under our 2004 Stock and Incentive Awards Incentive Plan, and our 2016 Omnibus Incentive Plan as of March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40" w:type="dxa"/>
            <w:vAlign w:val="bottom"/>
            <w:gridSpan w:val="2"/>
          </w:tcPr>
          <w:p>
            <w:pPr>
              <w:ind w:left="1340"/>
              <w:spacing w:after="0"/>
              <w:rPr>
                <w:sz w:val="20"/>
                <w:szCs w:val="20"/>
                <w:color w:val="auto"/>
              </w:rPr>
            </w:pPr>
            <w:r>
              <w:rPr>
                <w:rFonts w:ascii="Arial" w:cs="Arial" w:eastAsia="Arial" w:hAnsi="Arial"/>
                <w:sz w:val="14"/>
                <w:szCs w:val="14"/>
                <w:b w:val="1"/>
                <w:bCs w:val="1"/>
                <w:color w:val="auto"/>
                <w:w w:val="96"/>
              </w:rPr>
              <w:t>Equity Compensation Plan Information</w:t>
            </w:r>
          </w:p>
        </w:tc>
        <w:tc>
          <w:tcPr>
            <w:tcW w:w="13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20" w:type="dxa"/>
            <w:vAlign w:val="bottom"/>
          </w:tcPr>
          <w:p>
            <w:pPr>
              <w:spacing w:after="0"/>
              <w:rPr>
                <w:sz w:val="12"/>
                <w:szCs w:val="12"/>
                <w:color w:val="auto"/>
              </w:rPr>
            </w:pPr>
          </w:p>
        </w:tc>
        <w:tc>
          <w:tcPr>
            <w:tcW w:w="14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Future Issuances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Options and</w:t>
            </w:r>
          </w:p>
        </w:tc>
        <w:tc>
          <w:tcPr>
            <w:tcW w:w="1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3"/>
              </w:rPr>
              <w:t>Under the 2016</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Vesting of</w:t>
            </w:r>
          </w:p>
        </w:tc>
        <w:tc>
          <w:tcPr>
            <w:tcW w:w="1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Omnibus Incentive</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5940" w:type="dxa"/>
            <w:vAlign w:val="bottom"/>
            <w:gridSpan w:val="3"/>
            <w:vMerge w:val="restart"/>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5940" w:type="dxa"/>
            <w:vAlign w:val="bottom"/>
            <w:gridSpan w:val="3"/>
            <w:vMerge w:val="continue"/>
          </w:tcPr>
          <w:p>
            <w:pPr>
              <w:spacing w:after="0"/>
              <w:rPr>
                <w:sz w:val="15"/>
                <w:szCs w:val="15"/>
                <w:color w:val="auto"/>
              </w:rPr>
            </w:pPr>
          </w:p>
        </w:tc>
        <w:tc>
          <w:tcPr>
            <w:tcW w:w="13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5"/>
                <w:szCs w:val="15"/>
                <w:color w:val="auto"/>
              </w:rPr>
            </w:pPr>
          </w:p>
        </w:tc>
        <w:tc>
          <w:tcPr>
            <w:tcW w:w="14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Options</w:t>
            </w:r>
          </w:p>
        </w:tc>
        <w:tc>
          <w:tcPr>
            <w:tcW w:w="144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92"/>
              </w:rPr>
              <w:t>Plans (1)</w:t>
            </w:r>
          </w:p>
        </w:tc>
        <w:tc>
          <w:tcPr>
            <w:tcW w:w="0" w:type="dxa"/>
            <w:vAlign w:val="bottom"/>
          </w:tcPr>
          <w:p>
            <w:pPr>
              <w:spacing w:after="0"/>
              <w:rPr>
                <w:sz w:val="1"/>
                <w:szCs w:val="1"/>
                <w:color w:val="auto"/>
              </w:rPr>
            </w:pPr>
          </w:p>
        </w:tc>
      </w:tr>
      <w:tr>
        <w:trPr>
          <w:trHeight w:val="217"/>
        </w:trPr>
        <w:tc>
          <w:tcPr>
            <w:tcW w:w="66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665,957</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2.74</w:t>
            </w:r>
          </w:p>
        </w:tc>
        <w:tc>
          <w:tcPr>
            <w:tcW w:w="1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1,578,445</w:t>
            </w:r>
          </w:p>
        </w:tc>
        <w:tc>
          <w:tcPr>
            <w:tcW w:w="0" w:type="dxa"/>
            <w:vAlign w:val="bottom"/>
          </w:tcPr>
          <w:p>
            <w:pPr>
              <w:spacing w:after="0"/>
              <w:rPr>
                <w:sz w:val="1"/>
                <w:szCs w:val="1"/>
                <w:color w:val="auto"/>
              </w:rPr>
            </w:pPr>
          </w:p>
        </w:tc>
      </w:tr>
      <w:tr>
        <w:trPr>
          <w:trHeight w:val="229"/>
        </w:trPr>
        <w:tc>
          <w:tcPr>
            <w:tcW w:w="684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665,957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2.74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1,578,445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reflected in the column titled “Number of Shares to be Issued Upon Exercise of Outstanding Options and Vesting of Restricted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purchase shares of our common stock during the fiscal year ended March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We did not make any unregistered sales of our common stock during the year ended March 31, 2021 that were not previously disclosed in a Quarterly Report on Form 10-Q or a current report on Form 8-K during such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You should read the following selected consolidated financial data in conjunction with Item 7. "Management’s Discussion and Analysis of Financial Condition and Results of Operations" and our consolidated financial statements and the related notes included in Item 8. "Financial Statements and Supplementary Data" of this report. The selected historical consolidated financial data are not necessarily indicative of future results.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452"/>
              <w:spacing w:after="0"/>
              <w:rPr>
                <w:sz w:val="20"/>
                <w:szCs w:val="20"/>
                <w:color w:val="auto"/>
              </w:rPr>
            </w:pPr>
            <w:r>
              <w:rPr>
                <w:rFonts w:ascii="Arial" w:cs="Arial" w:eastAsia="Arial" w:hAnsi="Arial"/>
                <w:sz w:val="14"/>
                <w:szCs w:val="14"/>
                <w:b w:val="1"/>
                <w:bCs w:val="1"/>
                <w:color w:val="auto"/>
                <w:w w:val="94"/>
              </w:rPr>
              <w:t>Fiscal Year Ended March 31,</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51"/>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gridSpan w:val="7"/>
          </w:tcPr>
          <w:p>
            <w:pPr>
              <w:jc w:val="center"/>
              <w:ind w:right="231"/>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Product revenue</w:t>
            </w:r>
          </w:p>
        </w:tc>
        <w:tc>
          <w:tcPr>
            <w:tcW w:w="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87,664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113,352</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56,261</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55,595</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66,224</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29,176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37,489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9,493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revenue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116,840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150,841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65,754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60,300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70,211</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 (1)(2)</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63,233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83,588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44,111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41,415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49,630</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 (1) (3)</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23,483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30,130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7,091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4,213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86,716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113,718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51,202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45,628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52,874</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30,124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37,123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14,552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14,672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17,337</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 (1)(4)</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11,262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10,231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13,159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14,777</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Impairment of assets (5)</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 (1) (6)</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10,341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11,113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9,104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11,879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 expenses (1) (7)</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6,836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13,110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(12,527)</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Other income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Dividend and interest income</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6,518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12,621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(12,549)</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 expense (8)</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26,134</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12,462</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(12,288)</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per share attributable to common</w:t>
            </w: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140"/>
              <w:spacing w:after="0"/>
              <w:rPr>
                <w:sz w:val="20"/>
                <w:szCs w:val="20"/>
                <w:color w:val="auto"/>
              </w:rPr>
            </w:pPr>
            <w:r>
              <w:rPr>
                <w:rFonts w:ascii="Arial" w:cs="Arial" w:eastAsia="Arial" w:hAnsi="Arial"/>
                <w:sz w:val="18"/>
                <w:szCs w:val="18"/>
                <w:b w:val="1"/>
                <w:bCs w:val="1"/>
                <w:color w:val="auto"/>
              </w:rPr>
              <w:t>shareholders: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Basic (8)</w:t>
            </w:r>
          </w:p>
        </w:tc>
        <w:tc>
          <w:tcPr>
            <w:tcW w:w="8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0.41</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Diluted (8)</w:t>
            </w:r>
          </w:p>
        </w:tc>
        <w:tc>
          <w:tcPr>
            <w:tcW w:w="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30,635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29,430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28,784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28,156</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31,304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30,965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29,430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28,784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stock-based compensation expense recognized under Financial Accounting Standards Board Accounting Standards Codification Topic 718, or ASC Topic 718,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Fiscal Year Ended March 31,</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5"/>
        </w:trPr>
        <w:tc>
          <w:tcPr>
            <w:tcW w:w="4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53"/>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4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18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716</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99"/>
              </w:rPr>
              <w:t>576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1,337</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139</w:t>
            </w: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99</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753</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618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1,605</w:t>
            </w:r>
          </w:p>
        </w:tc>
      </w:tr>
      <w:tr>
        <w:trPr>
          <w:trHeight w:val="20"/>
        </w:trPr>
        <w:tc>
          <w:tcPr>
            <w:tcW w:w="4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Fiscal 2020 includes expenses of $0.1 million related to restructuring. Fiscal 2018 includes expenses of $34 thousand related to restructuring. Fiscal 2017 includes expenses of $2.2 million related to an increase in inventory reserves and other inventory adjustments.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2020 includes expenses of $0.1 million related to restructuring.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ind w:left="660" w:right="2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Fiscal 2020 includes expenses of $28 thousand related to restructuring. Fiscal 2018 includes $1.8 million of restructuring expense and $1.4 million benefit on the reversal of an accrual for a loss contingency. Fiscal 2016 includes a $1.4 million loss contingency accrual.</w:t>
      </w:r>
    </w:p>
    <w:p>
      <w:pPr>
        <w:spacing w:after="0" w:line="38" w:lineRule="exact"/>
        <w:rPr>
          <w:rFonts w:ascii="Arial" w:cs="Arial" w:eastAsia="Arial" w:hAnsi="Arial"/>
          <w:sz w:val="17"/>
          <w:szCs w:val="17"/>
          <w:color w:val="auto"/>
        </w:rPr>
      </w:pPr>
    </w:p>
    <w:p>
      <w:pPr>
        <w:jc w:val="both"/>
        <w:ind w:left="660" w:right="2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2018 includes an intangible asset impairment of $0.7 million. Fiscal 2017 includes an intangible asset impairment of $0.3 million. Fiscal 2016 includes expenses of $4.4 million related to the impairment of goodwill and $1.6 million related to the write-down to fair value of the manufacturing facility.</w:t>
      </w:r>
    </w:p>
    <w:p>
      <w:pPr>
        <w:spacing w:after="0" w:line="7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Fiscal 2020 includes expenses of $0.2 million related to restructuring. Fiscal 2018 includes expenses of $0.2 million related to restructuring.</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2018 includes expenses of $0.1 million related to restructuring.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2021 includes tax benefit of $20.9 million related to the release of the valuation allowance on deferred tax assets.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As of March 31,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53"/>
              <w:spacing w:after="0" w:line="155"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r>
      <w:tr>
        <w:trPr>
          <w:trHeight w:val="155"/>
        </w:trPr>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19,393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28,751</w:t>
            </w:r>
          </w:p>
        </w:tc>
        <w:tc>
          <w:tcPr>
            <w:tcW w:w="34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8,729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9,424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17,307</w:t>
            </w:r>
          </w:p>
        </w:tc>
        <w:tc>
          <w:tcPr>
            <w:tcW w:w="2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92,821</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72,563</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56,021</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45,325</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62,051</w:t>
            </w:r>
          </w:p>
        </w:tc>
        <w:tc>
          <w:tcPr>
            <w:tcW w:w="20" w:type="dxa"/>
            <w:vAlign w:val="bottom"/>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Long term borrowings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10,063</w:t>
            </w:r>
          </w:p>
        </w:tc>
        <w:tc>
          <w:tcPr>
            <w:tcW w:w="3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9,283</w:t>
            </w:r>
          </w:p>
        </w:tc>
        <w:tc>
          <w:tcPr>
            <w:tcW w:w="3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4,013</w:t>
            </w:r>
          </w:p>
        </w:tc>
        <w:tc>
          <w:tcPr>
            <w:tcW w:w="3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6,819</w:t>
            </w:r>
          </w:p>
        </w:tc>
        <w:tc>
          <w:tcPr>
            <w:tcW w:w="2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Shareholder notes receivable</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58,074</w:t>
            </w:r>
          </w:p>
        </w:tc>
        <w:tc>
          <w:tcPr>
            <w:tcW w:w="3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31,035</w:t>
            </w:r>
          </w:p>
        </w:tc>
        <w:tc>
          <w:tcPr>
            <w:tcW w:w="3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17,970</w:t>
            </w:r>
          </w:p>
        </w:tc>
        <w:tc>
          <w:tcPr>
            <w:tcW w:w="3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23,424</w:t>
            </w:r>
          </w:p>
        </w:tc>
        <w:tc>
          <w:tcPr>
            <w:tcW w:w="3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35,450</w:t>
            </w:r>
          </w:p>
        </w:tc>
        <w:tc>
          <w:tcPr>
            <w:tcW w:w="20" w:type="dxa"/>
            <w:vAlign w:val="bottom"/>
          </w:tcPr>
          <w:p>
            <w:pPr>
              <w:spacing w:after="0"/>
              <w:rPr>
                <w:sz w:val="20"/>
                <w:szCs w:val="20"/>
                <w:color w:val="auto"/>
              </w:rPr>
            </w:pPr>
          </w:p>
        </w:tc>
      </w:tr>
      <w:tr>
        <w:trPr>
          <w:trHeight w:val="674"/>
        </w:trPr>
        <w:tc>
          <w:tcPr>
            <w:tcW w:w="3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2021. See also “Forward-Looking Statements” and Item 1A “Risk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We provide state-of-the-art light emitting diode (“LED”) lighting systems, wireless Internet of Things (“IoT”) enabled control solutions, project engineering, design energy project management and maintenance services. We help our customers achieve energy savings with healthy, safe and sustainable solutions that enable them to reduce their carbon footprint and digitize their business.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95"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8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84"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65" w:lineRule="exact"/>
        <w:rPr>
          <w:sz w:val="20"/>
          <w:szCs w:val="20"/>
          <w:color w:val="auto"/>
        </w:rPr>
      </w:pPr>
    </w:p>
    <w:p>
      <w:pPr>
        <w:jc w:val="both"/>
        <w:ind w:firstLine="499"/>
        <w:spacing w:after="0" w:line="287" w:lineRule="auto"/>
        <w:rPr>
          <w:sz w:val="20"/>
          <w:szCs w:val="20"/>
          <w:color w:val="auto"/>
        </w:rPr>
      </w:pPr>
      <w:r>
        <w:rPr>
          <w:rFonts w:ascii="Arial" w:cs="Arial" w:eastAsia="Arial" w:hAnsi="Arial"/>
          <w:sz w:val="16"/>
          <w:szCs w:val="16"/>
          <w:color w:val="auto"/>
        </w:rPr>
        <w:t>In fiscal 2021, we successfully capitalized on our capability of being a full service, turn-key provider of LED lighting and controls systems with design, build, installation and project management services, as we continued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which would more quickly add these types of expanded and different capabilities to our product and services offerings. It is possible that one or more of such potential acquisitions, if successfully completed, could significantly change, and potentially transform, the nature and extent of our business.</w:t>
      </w:r>
    </w:p>
    <w:p>
      <w:pPr>
        <w:spacing w:after="0" w:line="168"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We generally do not have long-term contracts with our customers that provide us with recurring revenue from period to period and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84"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Our fiscal year ends on March 31. We refer to our just completed fiscal year, which ended on March 31, 2021, as "fiscal 2021", and our prior fiscal years which ended on March 31, 2020 and March 31, 2019 as "fiscal 2020" and “fiscal 2019”, respectively. Our fiscal first quarter of each fiscal year ends on June 30, our fiscal second quarter ends on September 30, our fiscal third quarter ends on December 31 and our fiscal fourth quarter ends on March 31.</w:t>
      </w:r>
    </w:p>
    <w:p>
      <w:pPr>
        <w:spacing w:after="0" w:line="149"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Engineered Systems Division ("OES"), and Orion Distribution Services Division ("ODS"), and Orion U.S. Markets Division (“USM”).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Fiscal 2022 Outlook</w:t>
      </w:r>
    </w:p>
    <w:p>
      <w:pPr>
        <w:spacing w:after="0" w:line="121"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The COVID-19 pandemic has disrupted business, trade, commerce, financial and credit markets, in the U.S. and globally. Our business was adversely impacted by measures taken by government entities and others to control the spread of the virus beginning in March 2020, the last few weeks of our prior fiscal year, and continuing most significantly into the second quarter of fiscal 2021. During the second half of fiscal 2021, we experienced a rebound in business. Project installations for our largest customer recommenced, as well installations for a new large specialty retail customer began, with no further significant COVID-19 impacts. However, some customers continue to refrain from awarding new projects and potential future risks remain due to the COVID-19 pandemic, including supply chain disruption for certain components.</w:t>
      </w:r>
    </w:p>
    <w:p>
      <w:pPr>
        <w:spacing w:after="0" w:line="70" w:lineRule="exact"/>
        <w:rPr>
          <w:sz w:val="20"/>
          <w:szCs w:val="20"/>
          <w:color w:val="auto"/>
        </w:rPr>
      </w:pPr>
    </w:p>
    <w:p>
      <w:pPr>
        <w:jc w:val="both"/>
        <w:ind w:firstLine="494"/>
        <w:spacing w:after="0" w:line="286" w:lineRule="auto"/>
        <w:rPr>
          <w:sz w:val="20"/>
          <w:szCs w:val="20"/>
          <w:color w:val="auto"/>
        </w:rPr>
      </w:pPr>
      <w:r>
        <w:rPr>
          <w:rFonts w:ascii="Arial" w:cs="Arial" w:eastAsia="Arial" w:hAnsi="Arial"/>
          <w:sz w:val="17"/>
          <w:szCs w:val="17"/>
          <w:color w:val="auto"/>
        </w:rPr>
        <w:t>As a deemed essential business, we provide products and services to ensure energy and lighting infrastructure and we therefore have continued to operate throughout the pandemic. We have implemented a number of safety protocols, including limiting travel and restricting access to our facilities along with monitoring processes, physical distancing, physical barriers, enhanced cleaning procedures and requiring face coverings.</w:t>
      </w:r>
    </w:p>
    <w:p>
      <w:pPr>
        <w:spacing w:after="0" w:line="57" w:lineRule="exact"/>
        <w:rPr>
          <w:sz w:val="20"/>
          <w:szCs w:val="20"/>
          <w:color w:val="auto"/>
        </w:rPr>
      </w:pPr>
    </w:p>
    <w:p>
      <w:pPr>
        <w:jc w:val="both"/>
        <w:ind w:firstLine="494"/>
        <w:spacing w:after="0" w:line="287" w:lineRule="auto"/>
        <w:rPr>
          <w:sz w:val="20"/>
          <w:szCs w:val="20"/>
          <w:color w:val="auto"/>
        </w:rPr>
      </w:pPr>
      <w:r>
        <w:rPr>
          <w:rFonts w:ascii="Arial" w:cs="Arial" w:eastAsia="Arial" w:hAnsi="Arial"/>
          <w:sz w:val="16"/>
          <w:szCs w:val="16"/>
          <w:color w:val="auto"/>
        </w:rPr>
        <w:t>As part of our response to the impacts of the COVID-19 pandemic, during the fourth quarter of fiscal 2020 we implemented a number of cost reduction and cash conservation measures, including reducing headcount. While certain restrictions began to initially lessen in certain jurisdictions during fiscal 2021, stay-at-home, face mask or lockdown orders remain in effect in others, with employees asked to work remotely if possible. Some customers and projects are in areas where travel restrictions have 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are required to make substantial working capital expenditures and advance inventory purchases that we may not be able to recoup if our customer agreements or a substantial volume of purchase orders under our customer agreements are delayed or terminated as a result of COVID-19. At this time,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 COVID-19 pandemic becomes more pronounced in our markets or experiences a resurgence in markets recovering from the spread of COVID-19, our operations in areas impacted by such events could experience further material adverse financial impacts due to market changes and other resulting events and circumstances.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ind w:firstLine="494"/>
        <w:spacing w:after="0" w:line="279" w:lineRule="auto"/>
        <w:rPr>
          <w:sz w:val="20"/>
          <w:szCs w:val="20"/>
          <w:color w:val="auto"/>
        </w:rPr>
      </w:pPr>
      <w:r>
        <w:rPr>
          <w:rFonts w:ascii="Arial" w:cs="Arial" w:eastAsia="Arial" w:hAnsi="Arial"/>
          <w:sz w:val="17"/>
          <w:szCs w:val="17"/>
          <w:color w:val="auto"/>
        </w:rPr>
        <w:t>The impact of COVID-19 has caused significant uncertainty and volatility in the credit markets. We rely on the credit markets to provide us with liquidity to operate and grow our businesses beyond the liquidity that operating cash flows provide. If our access to capital were to become significantly constrained or if costs of capital increased significantly due the impact of COVID-19, including volatility in the capital markets, a reduction in our credit ratings or other factors, then our financial condition, results of operations and cash flows could be adversely affected.</w:t>
      </w:r>
    </w:p>
    <w:p>
      <w:pPr>
        <w:spacing w:after="0" w:line="63"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In addition to the managing the adverse financial impact of the COVID-19 pandemic, our ability to achieve our desired revenue growth and profitability goals depends on our ability to effectively execute on the following key strategic initiatives. We may identify strategic acquisition candidates that would help support these initiatives.</w:t>
      </w:r>
    </w:p>
    <w:p>
      <w:pPr>
        <w:spacing w:after="0" w:line="18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7"/>
          <w:szCs w:val="17"/>
          <w:i w:val="1"/>
          <w:iCs w:val="1"/>
          <w:color w:val="auto"/>
        </w:rPr>
        <w:t>Focus on executing and marketing our turnkey LED retrofit capabilities to large national account customers</w:t>
      </w:r>
      <w:r>
        <w:rPr>
          <w:rFonts w:ascii="Arial" w:cs="Arial" w:eastAsia="Arial" w:hAnsi="Arial"/>
          <w:sz w:val="17"/>
          <w:szCs w:val="17"/>
          <w:color w:val="auto"/>
        </w:rPr>
        <w:t>. We believe one of our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advantages is our ability to deliver full turnkey LED lighting project capabilities. These turnkey services were the principal reason we achieved significant recent revenue growth as we executed on our commitment to retrofit multiple locations for a major national account customer.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 LED lighting across locations nationwide. We believe one of our competitive advantages is that we are organized to serve every step of a custom retrofit project in a comprehensive, non-disruptive and timely fashion, from custom fixture design and initial site surveys to final installations. We are also able to help customers deploy state-of-the-art control systems that provide even greater long-term value from their lighting system investments.</w:t>
      </w:r>
    </w:p>
    <w:p>
      <w:pPr>
        <w:spacing w:after="0" w:line="178"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Looking forward, we are focused on continuing to successfully execute on existing national account opportunities while also actively pursuing new national account opportunities that leverage our customized, comprehensive turnkey project solutions, and expanding our addressable market with high-quality, basic lighting systems to meet the needs of value-oriented customer segments served by our other market channels. Given our compelling value proposition, capabilities and focus on customer service, we are optimistic about our business prospects and working to build sales momentum with existing and new customers.</w:t>
      </w:r>
    </w:p>
    <w:p>
      <w:pPr>
        <w:spacing w:after="0" w:line="188"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i w:val="1"/>
          <w:iCs w:val="1"/>
          <w:color w:val="auto"/>
        </w:rPr>
        <w:t xml:space="preserve">Continued Product Innovation. </w:t>
      </w:r>
      <w:r>
        <w:rPr>
          <w:rFonts w:ascii="Arial" w:cs="Arial" w:eastAsia="Arial" w:hAnsi="Arial"/>
          <w:sz w:val="18"/>
          <w:szCs w:val="18"/>
          <w:color w:val="auto"/>
        </w:rPr>
        <w:t>We continue to innovate, developing lighting fixtures and features that address specific customer requirements,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also working to maintain a leadership position in energy efficiency, smart product design and installation benefits. For interior building applications, we recently expanded our product line to include a family of ceiling air movement solutions, some of which incorporate LED lighting and others which utilize ultraviolet C light waves to kill viruses, bacteria and germs.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92" w:lineRule="exact"/>
        <w:rPr>
          <w:sz w:val="20"/>
          <w:szCs w:val="20"/>
          <w:color w:val="auto"/>
        </w:rPr>
      </w:pPr>
    </w:p>
    <w:p>
      <w:pPr>
        <w:jc w:val="both"/>
        <w:ind w:firstLine="494"/>
        <w:spacing w:after="0" w:line="291" w:lineRule="auto"/>
        <w:rPr>
          <w:sz w:val="20"/>
          <w:szCs w:val="20"/>
          <w:color w:val="auto"/>
        </w:rPr>
      </w:pPr>
      <w:r>
        <w:rPr>
          <w:rFonts w:ascii="Arial" w:cs="Arial" w:eastAsia="Arial" w:hAnsi="Arial"/>
          <w:sz w:val="16"/>
          <w:szCs w:val="16"/>
          <w:i w:val="1"/>
          <w:iCs w:val="1"/>
          <w:color w:val="auto"/>
        </w:rPr>
        <w:t xml:space="preserve">Leverage of Orion’s Smart Lighting Systems to Support Internet of Things Applications. </w:t>
      </w:r>
      <w:r>
        <w:rPr>
          <w:rFonts w:ascii="Arial" w:cs="Arial" w:eastAsia="Arial" w:hAnsi="Arial"/>
          <w:sz w:val="16"/>
          <w:szCs w:val="16"/>
          <w:color w:val="auto"/>
        </w:rPr>
        <w:t>We believe we are ideally positioned to help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We plan to pursue the expansion of our IoT, “smart-building” and “connected ceiling” and other related technology, software and controls products and services that we offer to our customers. While we intend to pursue these expansion strategies organically, we also are actively exploring potential business acquisitions which would more quickly add these types of expanded and different capabilities to our product and services offerings.</w:t>
      </w:r>
    </w:p>
    <w:p>
      <w:pPr>
        <w:spacing w:after="0" w:line="166"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i w:val="1"/>
          <w:iCs w:val="1"/>
          <w:color w:val="auto"/>
        </w:rPr>
        <w:t xml:space="preserve">Develop Maintenance Service Offerings. </w:t>
      </w:r>
      <w:r>
        <w:rPr>
          <w:rFonts w:ascii="Arial" w:cs="Arial" w:eastAsia="Arial" w:hAnsi="Arial"/>
          <w:sz w:val="18"/>
          <w:szCs w:val="18"/>
          <w:color w:val="auto"/>
        </w:rPr>
        <w:t>We believe we can leverage our construction management process expertise to develop a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quick-response, multi-location maintenance service offering. Our experience with large national customers and our large installed base of fixtures position us well to extend a maintenance offering to historical customers, as well as to new customers. Development of this recurring revenue stream is making progress and we believe there is significant market opportunity.</w:t>
      </w:r>
    </w:p>
    <w:p>
      <w:pPr>
        <w:spacing w:after="0" w:line="18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i w:val="1"/>
          <w:iCs w:val="1"/>
          <w:color w:val="auto"/>
        </w:rPr>
        <w:t xml:space="preserve">Support success of our ESCO and agent-driven distribution sales channels. </w:t>
      </w:r>
      <w:r>
        <w:rPr>
          <w:rFonts w:ascii="Arial" w:cs="Arial" w:eastAsia="Arial" w:hAnsi="Arial"/>
          <w:sz w:val="18"/>
          <w:szCs w:val="18"/>
          <w:color w:val="auto"/>
        </w:rPr>
        <w:t>We continue to focus on building our relationships and product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Major Developments in Fiscal 2021</w:t>
      </w:r>
    </w:p>
    <w:p>
      <w:pPr>
        <w:spacing w:after="0" w:line="121" w:lineRule="exact"/>
        <w:rPr>
          <w:sz w:val="20"/>
          <w:szCs w:val="20"/>
          <w:color w:val="auto"/>
        </w:rPr>
      </w:pPr>
    </w:p>
    <w:p>
      <w:pPr>
        <w:jc w:val="both"/>
        <w:ind w:right="20" w:firstLine="494"/>
        <w:spacing w:after="0" w:line="296" w:lineRule="auto"/>
        <w:rPr>
          <w:sz w:val="20"/>
          <w:szCs w:val="20"/>
          <w:color w:val="auto"/>
        </w:rPr>
      </w:pPr>
      <w:r>
        <w:rPr>
          <w:rFonts w:ascii="Arial" w:cs="Arial" w:eastAsia="Arial" w:hAnsi="Arial"/>
          <w:sz w:val="16"/>
          <w:szCs w:val="16"/>
          <w:color w:val="auto"/>
        </w:rPr>
        <w:t>During fiscal years 2021 and 2020, we executed on a series of master contracts for a major national account customer with our state-of-the-art LED lighting systems and wireless IoT enabled control solutions at locations nationwide. This single national account customer represented 56.0% of our total revenue in fiscal 2021 and 74.1% of our total revenue in fiscal 2020. During March 2020, due to the COVID-19 pandemic, this customer temporarily suspended our installations at a significant number of locations that were scheduled for installation during our fiscal 2020 fourth quarter and our fiscal 2021 first quarter. These originally scheduled installations resumed during the second quarter of fiscal 2021 and continued through the second half of fiscal 2021.</w:t>
      </w:r>
    </w:p>
    <w:p>
      <w:pPr>
        <w:spacing w:after="0" w:line="53"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color w:val="auto"/>
        </w:rPr>
        <w:t>Additionally, we added a large specialty retail customer and are providing turnkey LED lighting retrofit solutions for a number of its stores. This project generated product and service revenue of $8.1 million during the second half fiscal 2021. We expect to retrofit additional stores for this customer in fiscal 2022.</w:t>
      </w:r>
    </w:p>
    <w:p>
      <w:pPr>
        <w:spacing w:after="0" w:line="76" w:lineRule="exact"/>
        <w:rPr>
          <w:sz w:val="20"/>
          <w:szCs w:val="20"/>
          <w:color w:val="auto"/>
        </w:rPr>
      </w:pPr>
    </w:p>
    <w:p>
      <w:pPr>
        <w:jc w:val="both"/>
        <w:ind w:right="20" w:firstLine="494"/>
        <w:spacing w:after="0" w:line="257" w:lineRule="auto"/>
        <w:rPr>
          <w:sz w:val="20"/>
          <w:szCs w:val="20"/>
          <w:color w:val="auto"/>
        </w:rPr>
      </w:pPr>
      <w:r>
        <w:rPr>
          <w:rFonts w:ascii="Arial" w:cs="Arial" w:eastAsia="Arial" w:hAnsi="Arial"/>
          <w:sz w:val="18"/>
          <w:szCs w:val="18"/>
          <w:color w:val="auto"/>
        </w:rPr>
        <w:t>We also completed several initial retrofit projects at facilities for a major global logistics company. This customer is expected to be a significant source of revenue as we move forward, although these installations are likely to occur more slowly than we had originally anticipated. We expect to work with the customer on a project-by-project basis, versus larger-scale multi-site commitments, which limits visibility on the timing of future revenue contributions. We also have been selected to work with another major logistics company that is also expected to be a significant source of revenue in the future.</w:t>
      </w:r>
    </w:p>
    <w:p>
      <w:pPr>
        <w:spacing w:after="0" w:line="80" w:lineRule="exact"/>
        <w:rPr>
          <w:sz w:val="20"/>
          <w:szCs w:val="20"/>
          <w:color w:val="auto"/>
        </w:rPr>
      </w:pPr>
    </w:p>
    <w:p>
      <w:pPr>
        <w:jc w:val="both"/>
        <w:ind w:right="20" w:firstLine="494"/>
        <w:spacing w:after="0" w:line="259" w:lineRule="auto"/>
        <w:rPr>
          <w:sz w:val="20"/>
          <w:szCs w:val="20"/>
          <w:color w:val="auto"/>
        </w:rPr>
      </w:pPr>
      <w:r>
        <w:rPr>
          <w:rFonts w:ascii="Arial" w:cs="Arial" w:eastAsia="Arial" w:hAnsi="Arial"/>
          <w:sz w:val="18"/>
          <w:szCs w:val="18"/>
          <w:color w:val="auto"/>
        </w:rPr>
        <w:t>Given our current earnings and potential future earnings, as of March 31, 2021, we recorded a net valuation allowance release of $20.9 million against our deferred tax assets. This resulted in substantially and disproportionately increasing our reported net income and our earnings per share compared to our operating results. Historical and future comparisons to these amounts are not, and will not be, indicative of actual profitability trends for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Fiscal 2021 versus Fiscal 2020</w:t>
      </w:r>
    </w:p>
    <w:p>
      <w:pPr>
        <w:spacing w:after="0" w:line="121" w:lineRule="exact"/>
        <w:rPr>
          <w:sz w:val="20"/>
          <w:szCs w:val="20"/>
          <w:color w:val="auto"/>
        </w:rPr>
      </w:pPr>
    </w:p>
    <w:p>
      <w:pPr>
        <w:jc w:val="both"/>
        <w:ind w:right="20" w:firstLine="494"/>
        <w:spacing w:after="0" w:line="342"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5"/>
              </w:rPr>
              <w:t>Fiscal Year Ended March 31,</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32"/>
              <w:spacing w:after="0" w:line="155"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352"/>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220" w:type="dxa"/>
            <w:vAlign w:val="bottom"/>
          </w:tcPr>
          <w:p>
            <w:pPr>
              <w:jc w:val="center"/>
              <w:ind w:right="152"/>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52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Revenue</w:t>
            </w:r>
          </w:p>
        </w:tc>
        <w:tc>
          <w:tcPr>
            <w:tcW w:w="122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87,664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113,352</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29,176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37,489</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116,840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150,841</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63,233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83,588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23,483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30,130</w:t>
            </w: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86,716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113,718</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30,124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37,123</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11,262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10,341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11,113</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6,836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13,110</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NM</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before income tax</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6,518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12,621</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520" w:type="dxa"/>
            <w:vAlign w:val="bottom"/>
            <w:gridSpan w:val="3"/>
          </w:tcPr>
          <w:p>
            <w:pPr>
              <w:ind w:left="680"/>
              <w:spacing w:after="0"/>
              <w:rPr>
                <w:sz w:val="20"/>
                <w:szCs w:val="20"/>
                <w:color w:val="auto"/>
              </w:rPr>
            </w:pPr>
            <w:r>
              <w:rPr>
                <w:rFonts w:ascii="Arial" w:cs="Arial" w:eastAsia="Arial" w:hAnsi="Arial"/>
                <w:sz w:val="18"/>
                <w:szCs w:val="18"/>
                <w:color w:val="auto"/>
              </w:rPr>
              <w:t>NM</w:t>
            </w: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26,134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12,462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color w:val="auto"/>
              </w:rPr>
              <w:t>*</w:t>
            </w:r>
          </w:p>
        </w:tc>
        <w:tc>
          <w:tcPr>
            <w:tcW w:w="4540" w:type="dxa"/>
            <w:vAlign w:val="bottom"/>
            <w:vMerge w:val="restart"/>
          </w:tcPr>
          <w:p>
            <w:pPr>
              <w:ind w:left="280"/>
              <w:spacing w:after="0"/>
              <w:rPr>
                <w:sz w:val="20"/>
                <w:szCs w:val="20"/>
                <w:color w:val="auto"/>
              </w:rPr>
            </w:pPr>
            <w:r>
              <w:rPr>
                <w:rFonts w:ascii="Arial" w:cs="Arial" w:eastAsia="Arial" w:hAnsi="Arial"/>
                <w:sz w:val="18"/>
                <w:szCs w:val="18"/>
                <w:color w:val="auto"/>
              </w:rPr>
              <w:t>NM = Not Meaningful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vMerge w:val="continue"/>
          </w:tcPr>
          <w:p>
            <w:pPr>
              <w:spacing w:after="0"/>
              <w:rPr>
                <w:sz w:val="17"/>
                <w:szCs w:val="17"/>
                <w:color w:val="auto"/>
              </w:rPr>
            </w:pPr>
          </w:p>
        </w:tc>
        <w:tc>
          <w:tcPr>
            <w:tcW w:w="4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2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37" w:name="page38"/>
    <w:bookmarkEnd w:id="37"/>
    <w:p>
      <w:pPr>
        <w:jc w:val="both"/>
        <w:ind w:firstLine="499"/>
        <w:spacing w:after="0" w:line="275"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by 22.7%, or $25.7 million, for fiscal 2021 versus fiscal 2020. Service revenue decreased by 22.2%, or $8.3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fiscal 2021 versus fiscal 2020. The decrease in product and service revenue was primarily due to multiple projects put on hold during the first half of fiscal 2021 as a result of COVID-19, including the projects for one large national account customer which represented 56.0% of revenue in fiscal 2021, and 74.1% of revenue in fiscal 2020. The project installations for this large national account customer resumed during the second quarter of fiscal 2021. Total revenue decreased by 22.5%, or $34.0 million, due to the items discussed above.</w:t>
      </w:r>
    </w:p>
    <w:p>
      <w:pPr>
        <w:spacing w:after="0" w:line="176"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decreased by 24.4%, or $20.4 million, in fiscal 2021 versus the comparable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 Cost of service revenue decreased by 22.1%, or $6.6 million, in fiscal 2021 versus fiscal 2020. The decrease in product and service costs was primarily due to the decrease in revenue. Gross margin increased from 24.6% of revenue in fiscal 2020 to 25.8% in fiscal 2021, due primarily to cost management and a change in customer sales mix.</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0.7%, or $0.1 million, in fiscal 2021 compared to fiscal 2020,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decrease in travel as a result of COVID-19 restrictions, offset by an increase in services and insurance costs.</w:t>
      </w:r>
    </w:p>
    <w:p>
      <w:pPr>
        <w:spacing w:after="0" w:line="170"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decreased 6.9%, or $0.8 million, in fiscal 2021 compared to fiscal 2020. The decrease year</w:t>
      </w:r>
      <w:r>
        <w:rPr>
          <w:rFonts w:ascii="Arial" w:cs="Arial" w:eastAsia="Arial" w:hAnsi="Arial"/>
          <w:sz w:val="16"/>
          <w:szCs w:val="16"/>
          <w:i w:val="1"/>
          <w:iCs w:val="1"/>
          <w:color w:val="auto"/>
        </w:rPr>
        <w:t xml:space="preserve"> </w:t>
      </w:r>
      <w:r>
        <w:rPr>
          <w:rFonts w:ascii="Arial" w:cs="Arial" w:eastAsia="Arial" w:hAnsi="Arial"/>
          <w:sz w:val="16"/>
          <w:szCs w:val="16"/>
          <w:color w:val="auto"/>
        </w:rPr>
        <w:t>over year was primarily due to a decrease in commission expense on lower sales and a decrease in travel, both a result of COVID-19 restrictions.</w:t>
      </w:r>
    </w:p>
    <w:p>
      <w:pPr>
        <w:spacing w:after="0" w:line="12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1.8%, or $31 thousand in fiscal 2021 compared to fiscal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travel costs due to COVID-19 restrictions, partially offset by an increase in site testing.</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fiscal 2021 decreased by 54.5%, or $0.2 million, from fiscal 2020. The decrease in interest expense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fewer sales of receivables.</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Loss on Debt Extinguishment</w:t>
      </w:r>
      <w:r>
        <w:rPr>
          <w:rFonts w:ascii="Arial" w:cs="Arial" w:eastAsia="Arial" w:hAnsi="Arial"/>
          <w:sz w:val="18"/>
          <w:szCs w:val="18"/>
          <w:color w:val="auto"/>
        </w:rPr>
        <w:t>. Loss on debt extinguishment in fiscal 2021 related to the write-off of fees incurred with respect to our prior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which was recognized upon execution of our new credit facility during the third quarter of fiscal 2021.</w:t>
      </w:r>
    </w:p>
    <w:p>
      <w:pPr>
        <w:spacing w:after="0" w:line="170"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fiscal 2021, we recognized a tax benefit of $19.6 million. The benefit was driven by the release of the valuation allowance on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portion of our deferred tax assets. This resulted in substantially and disproportionately increasing our reported net income and our earnings per share compared to our operating results. Historical and future comparisons to these amounts are not, and will not be, indicative of actual profitability trends for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 Fiscal 2020 versus Fiscal 2019</w:t>
      </w:r>
    </w:p>
    <w:p>
      <w:pPr>
        <w:spacing w:after="0" w:line="121" w:lineRule="exact"/>
        <w:rPr>
          <w:sz w:val="20"/>
          <w:szCs w:val="20"/>
          <w:color w:val="auto"/>
        </w:rPr>
      </w:pPr>
    </w:p>
    <w:p>
      <w:pPr>
        <w:jc w:val="both"/>
        <w:ind w:right="20" w:firstLine="499"/>
        <w:spacing w:after="0" w:line="342"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5"/>
              </w:rPr>
              <w:t>Fiscal Year Ended March 31,</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33"/>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353"/>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220" w:type="dxa"/>
            <w:vAlign w:val="bottom"/>
          </w:tcPr>
          <w:p>
            <w:pPr>
              <w:jc w:val="center"/>
              <w:ind w:right="153"/>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52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Revenue</w:t>
            </w:r>
          </w:p>
        </w:tc>
        <w:tc>
          <w:tcPr>
            <w:tcW w:w="122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113,352</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56,261</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37,489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9,493</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150,841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65,754</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83,588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44,111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30,130</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7,091</w:t>
            </w: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113,718</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51,202</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37,123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14,552</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10,231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9,104</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13,110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12,621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(6,660)</w:t>
            </w:r>
          </w:p>
        </w:tc>
        <w:tc>
          <w:tcPr>
            <w:tcW w:w="12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1035.7%</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color w:val="auto"/>
              </w:rPr>
              <w:t>*</w:t>
            </w:r>
          </w:p>
        </w:tc>
        <w:tc>
          <w:tcPr>
            <w:tcW w:w="4540" w:type="dxa"/>
            <w:vAlign w:val="bottom"/>
            <w:vMerge w:val="restart"/>
          </w:tcPr>
          <w:p>
            <w:pPr>
              <w:ind w:left="280"/>
              <w:spacing w:after="0"/>
              <w:rPr>
                <w:sz w:val="20"/>
                <w:szCs w:val="20"/>
                <w:color w:val="auto"/>
              </w:rPr>
            </w:pPr>
            <w:r>
              <w:rPr>
                <w:rFonts w:ascii="Arial" w:cs="Arial" w:eastAsia="Arial" w:hAnsi="Arial"/>
                <w:sz w:val="18"/>
                <w:szCs w:val="18"/>
                <w:color w:val="auto"/>
              </w:rPr>
              <w:t>NM = Not Meaningful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vMerge w:val="continue"/>
          </w:tcPr>
          <w:p>
            <w:pPr>
              <w:spacing w:after="0"/>
              <w:rPr>
                <w:sz w:val="17"/>
                <w:szCs w:val="17"/>
                <w:color w:val="auto"/>
              </w:rPr>
            </w:pPr>
          </w:p>
        </w:tc>
        <w:tc>
          <w:tcPr>
            <w:tcW w:w="4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increased by 101.5%, or $57.1 million, for fiscal 2020 versus fiscal 2019. This increase in product revenue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higher sales volume through our national account channel, and almost exclusively as a result of a major retrofit project for multiple locations for one of our national account customers. Service revenue increased by 294.9%, or $28.0 million, due to higher sales volume through our national account channel for the major retrofit project for one customer and the timing of those project installations. In fiscal 2020, sales to this one national account customer represented 74.1% of our total revenue. Total revenue increased by 129.4%, or $85.1 million, due to the items discussed above.</w:t>
      </w:r>
    </w:p>
    <w:p>
      <w:pPr>
        <w:spacing w:after="0" w:line="16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increased by 89.5%, or $39.5 million, in fiscal 2020 versus the comparable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2019 primarily due to the corresponding increase in sales. Cost of service revenue increased by 324.9%, or $23.0 million, in fiscal 2020 versus fiscal 2019 primarily due to the corresponding increase in service revenue. Gross margin increased from 22.1% of revenue in fiscal 2019 to 24.6% in fiscal 2020, due to our higher sales levels covering fixed costs.</w:t>
      </w: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9.3%, or $1.0 million, in fiscal 2020 compared to fiscal 2019,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bonus and employment costs.</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22.1%, or $2.0 million, in fiscal 2020 compared to fiscal 2019. The increase year</w:t>
      </w:r>
      <w:r>
        <w:rPr>
          <w:rFonts w:ascii="Arial" w:cs="Arial" w:eastAsia="Arial" w:hAnsi="Arial"/>
          <w:sz w:val="18"/>
          <w:szCs w:val="18"/>
          <w:i w:val="1"/>
          <w:iCs w:val="1"/>
          <w:color w:val="auto"/>
        </w:rPr>
        <w:t xml:space="preserve"> </w:t>
      </w:r>
      <w:r>
        <w:rPr>
          <w:rFonts w:ascii="Arial" w:cs="Arial" w:eastAsia="Arial" w:hAnsi="Arial"/>
          <w:sz w:val="18"/>
          <w:szCs w:val="18"/>
          <w:color w:val="auto"/>
        </w:rPr>
        <w:t>over year was primarily due to an increase in commission expense on higher sales and higher employment costs.</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24.9%, or $0.3 million in fiscal 2020 compared to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employment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fiscal 2020 decreased by 43.4%, or $0.2 million, from fiscal 2019. The decrease in interest expense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fewer sales of receivables.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Fiscal Year Ended March 31,</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56"/>
        </w:trPr>
        <w:tc>
          <w:tcPr>
            <w:tcW w:w="64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84,243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122,744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30,925</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7,472</w:t>
            </w:r>
          </w:p>
        </w:tc>
        <w:tc>
          <w:tcPr>
            <w:tcW w:w="5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16,164</w:t>
            </w:r>
          </w:p>
        </w:tc>
        <w:tc>
          <w:tcPr>
            <w:tcW w:w="100" w:type="dxa"/>
            <w:vAlign w:val="bottom"/>
          </w:tcPr>
          <w:p>
            <w:pPr>
              <w:spacing w:after="0"/>
              <w:rPr>
                <w:sz w:val="19"/>
                <w:szCs w:val="19"/>
                <w:color w:val="auto"/>
              </w:rPr>
            </w:pP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(1,237)</w:t>
            </w: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bl>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1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OES segment revenue decreased in fiscal 2021 by 31.4%, or $38.5 million, compared to fiscal 2020, due to multiple projects put on hold as a result of COVID-19, including the projects to one large national account customer that represented 56.0% in fiscal 2021 and 74.1% of total revenue in fiscal 2020. The project installations for this customer resumed during the second quarter of fiscal 2021. This sales decrease led to a corresponding decrease in operating income in this segment.</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225"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OES revenue increased in fiscal 2020 by 296.9%, or $91.8 million, compared to fiscal 2019 almost exclusively as the result of a major retrofit project for multiple locations for one of our national account customers. This sales increase led to a corresponding increase in operating income in this segment from a net loss position in fiscal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21,122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15,087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24,173</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1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2,430</w:t>
            </w:r>
          </w:p>
        </w:tc>
        <w:tc>
          <w:tcPr>
            <w:tcW w:w="5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(1,742)</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r>
    </w:tbl>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ODS segment revenue in fiscal 2021 increased 40.0%, or $6.0 million, compared to fiscal 2020, primarily due to sales to one customer who represented 5.9% of fiscal 2021 total consolidated revenue. This sales increase led to a corresponding increase in operating income in this segment based on operating leverage.</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225"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ODS revenue decreased in fiscal 2020 by 37.6%, or $9.1 million, compared to fiscal 2019, primarily due to a decrease in sales volume through our distribution channel. ODS operating loss in fiscal 2020 improved to $(0.9) million. The decrease in segment operating loss was primarily due to lower operating costs on lower employment expenses and commissions.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Orion U.S. Markets Division</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Fiscal Year Ended March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55"/>
        </w:trPr>
        <w:tc>
          <w:tcPr>
            <w:tcW w:w="64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jc w:val="right"/>
              <w:ind w:right="695"/>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1180" w:type="dxa"/>
            <w:vAlign w:val="bottom"/>
          </w:tcPr>
          <w:p>
            <w:pPr>
              <w:jc w:val="right"/>
              <w:ind w:right="615"/>
              <w:spacing w:after="0" w:line="155" w:lineRule="exact"/>
              <w:rPr>
                <w:sz w:val="20"/>
                <w:szCs w:val="20"/>
                <w:color w:val="auto"/>
              </w:rPr>
            </w:pPr>
            <w:r>
              <w:rPr>
                <w:rFonts w:ascii="Arial" w:cs="Arial" w:eastAsia="Arial" w:hAnsi="Arial"/>
                <w:sz w:val="14"/>
                <w:szCs w:val="14"/>
                <w:b w:val="1"/>
                <w:bCs w:val="1"/>
                <w:color w:val="auto"/>
              </w:rPr>
              <w:t>2019</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11,476</w:t>
            </w:r>
          </w:p>
        </w:tc>
        <w:tc>
          <w:tcPr>
            <w:tcW w:w="5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13,010</w:t>
            </w: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10,656</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1,683</w:t>
            </w:r>
          </w:p>
        </w:tc>
        <w:tc>
          <w:tcPr>
            <w:tcW w:w="5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5"/>
              <w:spacing w:after="0"/>
              <w:rPr>
                <w:sz w:val="20"/>
                <w:szCs w:val="20"/>
                <w:color w:val="auto"/>
              </w:rPr>
            </w:pPr>
            <w:r>
              <w:rPr>
                <w:rFonts w:ascii="Arial" w:cs="Arial" w:eastAsia="Arial" w:hAnsi="Arial"/>
                <w:sz w:val="18"/>
                <w:szCs w:val="18"/>
                <w:color w:val="auto"/>
              </w:rPr>
              <w:t>2,447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1,132</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96"/>
              <w:spacing w:after="0"/>
              <w:rPr>
                <w:sz w:val="20"/>
                <w:szCs w:val="20"/>
                <w:color w:val="auto"/>
              </w:rPr>
            </w:pPr>
            <w:r>
              <w:rPr>
                <w:rFonts w:ascii="Arial" w:cs="Arial" w:eastAsia="Arial" w:hAnsi="Arial"/>
                <w:sz w:val="18"/>
                <w:szCs w:val="18"/>
                <w:color w:val="auto"/>
              </w:rPr>
              <w:t>14.7%</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r>
    </w:tbl>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22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USM segment revenue in fiscal 2021 decreased 11.8%, or $1.5 million, from fiscal 2020, primarily due to the impact of COVID-19, and resulted in a corresponding decrease in operating income in this segment based on operating leverage.</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USM revenue increased in fiscal 2020 by 22.1%, or $2.4 million, compared to fiscal 2019, primarily due to an increase in sales volume as a result of our reengagement in the sales channel. This sales increase led to a corresponding increase in operating income in this segment based on operating leverage.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We had $19.4 million in cash and cash equivalents as of March 31, 2021, compared to $28.8 million at March 31, 2020. Our cash position decreased primarily as a result of the paydown of our line of credit.</w:t>
      </w:r>
    </w:p>
    <w:p>
      <w:pPr>
        <w:spacing w:after="0" w:line="170"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color w:val="auto"/>
        </w:rPr>
        <w:t>On December 29, 2020, we entered into a new Loan and Security Agreement (the “Credit Agreement”) with Bank of America, N.A., as lender (the “Lender”). The Credit Agreement replaced our existing $20.15 million secured revolving credit and security agreement dated as of October 26, 2018, as amended, with Western Alliance Bank, National Association, as lender (the “Prior Credit Agreement”). The replacement of the existing credit agreement with the Credit Agreement provides us with increased financing capacity and liquidity to fund our operations and implement our strategic plans.</w:t>
      </w:r>
    </w:p>
    <w:p>
      <w:pPr>
        <w:spacing w:after="0" w:line="15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March 31, 2021, the borrowing base supported the full availability of the Credit Facility. As of March 31, 2021, no amounts were borrowed under the Credit Facility.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information on our Credit Agreement can be found in the “Indebtedness” section located below.</w:t>
      </w:r>
    </w:p>
    <w:p>
      <w:pPr>
        <w:spacing w:after="0" w:line="225"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In March 2020, we filed a universal shelf registration statement with the Securities and Exchange Commission. Under our shelf registration statement, we currently have the flexibility to publicly offer and sell from time to time up to $100.0 million of debt and/or equity securities. The filing of the shelf registration statement may help facilitate our ability to raise public equity or debt capital to expand existing businesses, fund potential acquisitions, invest in other growth opportunities, repay existing debt, or for other general corporate purposes. The COVID-19 pandemic has had a negative near-term impact on the capital markets and may impact our ability to access this capital.</w:t>
      </w:r>
    </w:p>
    <w:p>
      <w:pPr>
        <w:spacing w:after="0" w:line="188"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In March 2021, we entered into an At Market Issuance Sales Agreement to undertake an “at the market” (ATM) public equity capital raising program pursuant to which we may offer and sell shares of our common stock, having an aggregate offering price of up to $50 million from time to time through or to the Agent, acting as sales agent or principal. No share sales were effected pursuant to the ATM program through March 31,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right="20" w:firstLine="499"/>
        <w:spacing w:after="0" w:line="277" w:lineRule="auto"/>
        <w:rPr>
          <w:sz w:val="20"/>
          <w:szCs w:val="20"/>
          <w:color w:val="auto"/>
        </w:rPr>
      </w:pPr>
      <w:r>
        <w:rPr>
          <w:rFonts w:ascii="Arial" w:cs="Arial" w:eastAsia="Arial" w:hAnsi="Arial"/>
          <w:sz w:val="18"/>
          <w:szCs w:val="18"/>
          <w:color w:val="auto"/>
        </w:rPr>
        <w:t>We also are exploring various alternative sources of liquidity to help ensure that we will have the best allocation of investing capital to satisfy our working capital needs.</w:t>
      </w:r>
    </w:p>
    <w:p>
      <w:pPr>
        <w:spacing w:after="0" w:line="170" w:lineRule="exact"/>
        <w:rPr>
          <w:sz w:val="20"/>
          <w:szCs w:val="20"/>
          <w:color w:val="auto"/>
        </w:rPr>
      </w:pPr>
    </w:p>
    <w:p>
      <w:pPr>
        <w:jc w:val="both"/>
        <w:ind w:firstLine="499"/>
        <w:spacing w:after="0" w:line="272" w:lineRule="auto"/>
        <w:rPr>
          <w:sz w:val="20"/>
          <w:szCs w:val="20"/>
          <w:color w:val="auto"/>
        </w:rPr>
      </w:pPr>
      <w:r>
        <w:rPr>
          <w:rFonts w:ascii="Arial" w:cs="Arial" w:eastAsia="Arial" w:hAnsi="Arial"/>
          <w:sz w:val="17"/>
          <w:szCs w:val="17"/>
          <w:color w:val="auto"/>
        </w:rPr>
        <w:t>Our future liquidity needs and forecasted cash flows are dependent upon many factors, including our relative revenue, gross margins, cash management practices, cost containment, working capital management, capital expenditures. Further, as discussed in the “Risk Factors,” we expect our forecasted cash flows to be materially adversely impacted by the COVID-19 pandemic, the magnitude and period of impact of which is uncertain. While we believe that we will likely have adequate available cash and equivalents and credit availability under our Credit Agreement to satisfy our currently anticipated working capital and liquidity requirements during the next 12 months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our fiscal 2021, fiscal 2020 and fiscal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center"/>
              <w:ind w:left="916"/>
              <w:spacing w:after="0"/>
              <w:rPr>
                <w:sz w:val="20"/>
                <w:szCs w:val="20"/>
                <w:color w:val="auto"/>
              </w:rPr>
            </w:pPr>
            <w:r>
              <w:rPr>
                <w:rFonts w:ascii="Arial" w:cs="Arial" w:eastAsia="Arial" w:hAnsi="Arial"/>
                <w:sz w:val="14"/>
                <w:szCs w:val="14"/>
                <w:b w:val="1"/>
                <w:bCs w:val="1"/>
                <w:color w:val="auto"/>
                <w:w w:val="94"/>
              </w:rPr>
              <w:t>Fiscal Year Ended March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96"/>
              <w:spacing w:after="0" w:line="155"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5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8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1,729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20,343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(5,058)</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Investing activities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5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4,812</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5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20,022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0"/>
        </w:trPr>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(used in) operating activities primarily consists of net income adjusted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items, including depreciation, amortization of intangible assets, stock-based compensation, amortization of debt issue costs, provisions for reserves, and the effect of changes in working capital and other activities.</w:t>
      </w:r>
    </w:p>
    <w:p>
      <w:pPr>
        <w:spacing w:after="0" w:line="184"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Cash provided by operating activities for fiscal 2021 was $1.7 million and consisted of a net income adjusted for non-cash expense items of $9.1 million and net cash used by changes in operating assets and liabilities of $7.4 million. Cash used by changes in operating assets and liabilities consisted primarily of an increase in inventory of $5.3 million due to the release of new product lines and pre-ordering due to supply chain delays as a result of COVID-19, a decrease in accounts payable of $2.6 million due to the timing of payments, an increase in accounts receivable of $2.4 million due to the timing of billing and customer collections, and an increase in Revenue earned but not billed of $2.4 million due to timing on revenue recognition compared to invoicing. Cash provided by changes in operating assets and liabilities included an increase in accrued expenses of $5.8 million due to the timing of project completions and the receipt of invoices.</w:t>
      </w:r>
    </w:p>
    <w:p>
      <w:pPr>
        <w:spacing w:after="0" w:line="195"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Cash provided by operating activities for fiscal 2020 was $20.3 million and consisted of a net income adjusted for non-cash expense items of $15.2 million and net cash provided by changes in operating assets and liabilities of $5.2 million. Cash used by changes in operating assets and liabilities consisted primarily of an increase in Inventory of $1.3 million due to delayed shipments at the end of the fiscal year as a result of COVID-19. Cash provided by changes in operating assets and liabilities included a decrease in Accounts receivable of $3.6 million due to the timing of billing and customer collections, a decrease in Revenue earned but not billed of $3.2 million due to timing on revenue recognition compared to invoicing.</w:t>
      </w:r>
    </w:p>
    <w:p>
      <w:pPr>
        <w:spacing w:after="0" w:line="176"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Cash used in operating activities for fiscal 2019 was $5.1 million and consisted of a net loss adjusted for non-cash expense items of $4.1 million and net cash used in changes in operating assets and liabilities of $1.0 million. Cash used by changes in operating assets and liabilities consisted of an increase of $5.8 million in Accounts receivable due to the timing of billing and customer collections on comparatively higher fourth quarter sales, an increase in Inventory of $4.7 million due to higher backlog for anticipated first quarter fiscal 2020 sales, and an increase of $1.4 million in Revenue earned but not billed due to timing on revenue recognition compared to invoicing. Cash provided by changes in operating assets and liabilities included an increase of $8.9 million in Accounts payable based on timing of payments and an increase of $2.0 million in Accrued expenses and other primarily due to increased accrued project costs on higher installation volume.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ind w:right="20" w:firstLine="499"/>
        <w:spacing w:after="0" w:line="277"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in investing activities in fiscal 2021 was $0.9 million and consisted primarily of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used in investing activities in fiscal 2020 was $0.9 million and consisted primarily of purchases of property and equipment of $0.8 million.</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used in investing activities in fiscal 2019 was $0.4 million and consisted primarily of purchases of property and equipment of $0.4 million.</w:t>
      </w:r>
    </w:p>
    <w:p>
      <w:pPr>
        <w:spacing w:after="0" w:line="23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in fiscal 2021 was $10.1 million. This cash used consisted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a net payment of $10.0 million under our Credit Facility.</w:t>
      </w:r>
    </w:p>
    <w:p>
      <w:pPr>
        <w:spacing w:after="0" w:line="170"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Cash provided by financing activities in fiscal 2020 was $0.6 million. This cash provided consisted primarily of net proceeds of $0.8 million from our Credit Facility, offset by $0.1 million in debt issue costs due to the Credit Facility and $0.1 million of payment of long-term debt.</w:t>
      </w:r>
    </w:p>
    <w:p>
      <w:pPr>
        <w:spacing w:after="0" w:line="146"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Cash provided by financing activities in fiscal 2019 was $4.8 million. This cash provided consisted primarily of net proceeds of $5.3 million from our Credit Facility, offset by $0.4 million in debt issue costs due to the Credit Facility and $0.1 million of payment of long-term debt.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Our net working capital as of March 31, 2021 was $26.2 million, consisting of $56.5 million in current assets and $30.4 million in current liabilities. Our net working capital as of March 31, 2020 was $27.8 million, consisting of $55.0 million in current assets and $27.2 million in current liabilities. Our Cash and cash equivalents, net balance decreased by $9.4 million from the fiscal 2020 year-end due primarily to the paydown of our line of credit. Our current Accounts receivable, net balance increased by $3.1 million from the fiscal 2020 year-end due to the timing of billing and customer collections. Our Revenue earned but not billed balance increased by $2.4 million from the fiscal 2020 year-end due to the timing of billing. Our Inventories, net increased $5.0 million from the fiscal 2020 year-end due to the release of new product lines and pre-purchases of components for our products to help mitigate the impact of the COVID-19 pandemic on our supply chain.</w:t>
      </w:r>
    </w:p>
    <w:p>
      <w:pPr>
        <w:spacing w:after="0" w:line="195"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 In addition, in order to provide quality and timely service under our multi-location master retrofit agreements we are required to make substantial working capital expenditures and advance inventory purchases, including purchases to support the provision of products and services to our largest customer.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March 31, 2021, the borrowing base supports the full availability of the Credit Facility. As of March 31, 2021, no amounts were borrowed under the Credit Facility.</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22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Borrowings under the Credit Agreement are permitted in the form of LIBOR or prime rate-based loans and generally bear interest at floating rates plus an applicable margin determined by reference to our availability under the Credit Agreement. Among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other fees, we are required to pay an annual facility fee of $15,000 and a fee of 25 basis points on the unused portion of the Credit Facility.</w:t>
      </w:r>
    </w:p>
    <w:p>
      <w:pPr>
        <w:spacing w:after="0" w:line="225"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24"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7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did not incur any early termination fees in connection with the termination of the Prior Credit Agreement, but did recognize a loss on debt extinguishment of $0.1 million on the write-off of unamortized debt issue costs related to the Prior Credit Agreement. The Prior Credit Agreement was scheduled to mature on October 26,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Our capital expenditures are primarily for general corporate purposes for our corporate headquarters and technology center, production equipment and tooling and for information technology systems. Our capital expenditures totaled $0.9 million in fiscal 2021, $0.8 million in fiscal 2020, and $0.5 million in fiscal 2019. Our capital spending plans predominantly consist of investments related to new product development tooling and equipment and information technology systems, exclusive of any capital spending for potential acquisitions. We expect to finance these capital expenditures primarily through our existing cash, equipment secured loans and leases, to the extent needed, long-term debt financing, or by using our Credit Facility.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Information regarding our known contractual obligations of the types described below as of March 31, 2021 is set forth in the following table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2"/>
              </w:rPr>
              <w:t>Payments Due By Period</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60" w:type="dxa"/>
            <w:vAlign w:val="bottom"/>
          </w:tcPr>
          <w:p>
            <w:pPr>
              <w:jc w:val="right"/>
              <w:ind w:right="236"/>
              <w:spacing w:after="0" w:line="133" w:lineRule="exact"/>
              <w:rPr>
                <w:sz w:val="20"/>
                <w:szCs w:val="20"/>
                <w:color w:val="auto"/>
              </w:rPr>
            </w:pPr>
            <w:r>
              <w:rPr>
                <w:rFonts w:ascii="Arial" w:cs="Arial" w:eastAsia="Arial" w:hAnsi="Arial"/>
                <w:sz w:val="14"/>
                <w:szCs w:val="14"/>
                <w:b w:val="1"/>
                <w:bCs w:val="1"/>
                <w:color w:val="auto"/>
                <w:w w:val="94"/>
              </w:rPr>
              <w:t>Less than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3"/>
              </w:rPr>
              <w:t>1-3 Years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Bank debt obligations</w:t>
            </w:r>
          </w:p>
        </w:tc>
        <w:tc>
          <w:tcPr>
            <w:tcW w:w="7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debt obligations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Cash interest payments on debt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Lease obligations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Purchase order and capital expenditure commitments (1)</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13,117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13,117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16,914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13,944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non-cancellable purchase commitments primarily for certain inventory items entered into in order to secure better pricing and ensure materials on hand.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Our results from operations have not been materially affected by inflation. We are monitoring input costs and cannot currently predict the future impact to our operations by inflation.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95"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generate revenue primarily by selling commercial lighting fixtures and components and by installing these fixtures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facilities. We recognize revenue in accordance with the guidance in “Revenue from Contracts with Customers” (Topic 606) (“ASC 606”) when control of the goods or services being provided (which we refer to as a performance obligation) is transferred to a customer at an amount that reflects the consideration we expect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95"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If there are multiple performance obligations in a single contract, the contract’s total transaction price per GAAP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an expected cost-plus margin per GAAP approach when one is not available. The expected cost-plus margin per GAAP approach is used to determine the stand-alone selling price for the installation performance obligation and is based on average historical installation margin.</w:t>
      </w:r>
    </w:p>
    <w:p>
      <w:pPr>
        <w:spacing w:after="0" w:line="161"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color w:val="auto"/>
        </w:rPr>
        <w:t>Revenue derived from customer contracts which include only performance obligation(s) for the sale of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57"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we refer to as a turnkey project) is allocated between each lighting fixture and the installation performance obligation based on relative standalone selling prices.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firstLine="499"/>
        <w:spacing w:after="0" w:line="271" w:lineRule="auto"/>
        <w:rPr>
          <w:sz w:val="20"/>
          <w:szCs w:val="20"/>
          <w:color w:val="auto"/>
        </w:rPr>
      </w:pPr>
      <w:r>
        <w:rPr>
          <w:rFonts w:ascii="Arial" w:cs="Arial" w:eastAsia="Arial" w:hAnsi="Arial"/>
          <w:sz w:val="17"/>
          <w:szCs w:val="17"/>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our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84" w:lineRule="exact"/>
        <w:rPr>
          <w:sz w:val="20"/>
          <w:szCs w:val="20"/>
          <w:color w:val="auto"/>
        </w:rPr>
      </w:pPr>
    </w:p>
    <w:p>
      <w:pPr>
        <w:ind w:left="860" w:hanging="36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and duration of physical control that we maintain on the products after they are shipped to, and received at, the customer’s facility;</w:t>
      </w:r>
    </w:p>
    <w:p>
      <w:pPr>
        <w:spacing w:after="0" w:line="140" w:lineRule="exact"/>
        <w:rPr>
          <w:rFonts w:ascii="Arial" w:cs="Arial" w:eastAsia="Arial" w:hAnsi="Arial"/>
          <w:sz w:val="16"/>
          <w:szCs w:val="16"/>
          <w:color w:val="auto"/>
        </w:rPr>
      </w:pPr>
    </w:p>
    <w:p>
      <w:pPr>
        <w:ind w:left="860" w:hanging="366"/>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are required to maintain insurance on the lighting fixtures when they are in transit and after they are delivered to the customer’s facility;</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we receive payment from the customer for the light fixtures.</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removed and installed as of the measurement date in comparison to the total number of light fixtures to be removed and installed under the contract.</w:t>
      </w:r>
    </w:p>
    <w:p>
      <w:pPr>
        <w:spacing w:after="0" w:line="187"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We offer a financing program, called an Orion Throughput Agreement, or OTA, for a customer’s lease of our energy management systems. The OTA is structured as a sales-type lease and upon successful installation of the system and customer acknowledgment that the system is operating as specified, revenue is recognized at our net investment in the lease, which typically is the net present value of the future cash flows.</w:t>
      </w:r>
    </w:p>
    <w:p>
      <w:pPr>
        <w:spacing w:after="0" w:line="165"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auto"/>
        </w:rPr>
        <w:t>We also record revenue in conjunction with several limited power purchase agreements (“PPAs”) still outstanding. Those PPAs are supply-side agreements for the generation of electricity. Our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We also recognize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66"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Inventories are stated at the lower of cost or net realizable value and include raw materials, work in process and finished goods. Items</w:t>
      </w:r>
      <w:r>
        <w:rPr>
          <w:rFonts w:ascii="Arial" w:cs="Arial" w:eastAsia="Arial" w:hAnsi="Arial"/>
          <w:sz w:val="16"/>
          <w:szCs w:val="16"/>
          <w:i w:val="1"/>
          <w:iCs w:val="1"/>
          <w:color w:val="auto"/>
        </w:rPr>
        <w:t xml:space="preserve"> </w:t>
      </w:r>
      <w:r>
        <w:rPr>
          <w:rFonts w:ascii="Arial" w:cs="Arial" w:eastAsia="Arial" w:hAnsi="Arial"/>
          <w:sz w:val="16"/>
          <w:szCs w:val="16"/>
          <w:color w:val="auto"/>
        </w:rPr>
        <w:t>are removed 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If the net realizable value, which is based upon the estimated selling price, less estimated costs of completion, disposal, and transportation, falls below cost, then the inventory value is reduced to its net realizable value. Our inventory obsolescence reserves at March 31, 2021 were $1.9 million, or 8.9% of gross inventory, and $2.4 million, or 14.3% of gross inventory, at March 31,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ind w:firstLine="499"/>
        <w:spacing w:after="0" w:line="272"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perform ongoing evaluations of our customers and continuously monitor collections and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an 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eleven thousand dollars, or 0.1% of gross receivables, at March 31, 2021 and twenty-eight thousand dollars, or 0.3% of gross receivables, at March 31, 2020.</w:t>
      </w:r>
    </w:p>
    <w:p>
      <w:pPr>
        <w:spacing w:after="0" w:line="177" w:lineRule="exact"/>
        <w:rPr>
          <w:sz w:val="20"/>
          <w:szCs w:val="20"/>
          <w:color w:val="auto"/>
        </w:rPr>
      </w:pPr>
    </w:p>
    <w:p>
      <w:pPr>
        <w:jc w:val="both"/>
        <w:ind w:firstLine="499"/>
        <w:spacing w:after="0" w:line="270" w:lineRule="auto"/>
        <w:rPr>
          <w:sz w:val="20"/>
          <w:szCs w:val="20"/>
          <w:color w:val="auto"/>
        </w:rPr>
      </w:pPr>
      <w:r>
        <w:rPr>
          <w:rFonts w:ascii="Arial" w:cs="Arial" w:eastAsia="Arial" w:hAnsi="Arial"/>
          <w:sz w:val="17"/>
          <w:szCs w:val="17"/>
          <w:i w:val="1"/>
          <w:iCs w:val="1"/>
          <w:color w:val="auto"/>
        </w:rPr>
        <w:t xml:space="preserve">Recoverability of Long-Lived Assets. </w:t>
      </w:r>
      <w:r>
        <w:rPr>
          <w:rFonts w:ascii="Arial" w:cs="Arial" w:eastAsia="Arial" w:hAnsi="Arial"/>
          <w:sz w:val="17"/>
          <w:szCs w:val="17"/>
          <w:color w:val="auto"/>
        </w:rPr>
        <w:t>We evaluate long-lived assets such as property, equipment and definite lived intangible assets, such as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or a significant change in the macroeconomic environment, such as the impact of the COVID-19 pandemic.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first determine if the total estimated future cash flows on an undiscounted basis are less than the carrying amounts of the asset or assets. If so, an impairment loss is measured and recognized.</w:t>
      </w:r>
    </w:p>
    <w:p>
      <w:pPr>
        <w:spacing w:after="0" w:line="181"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As of March 31, 2020, due to the forecasted change in the macroeconomic conditions due to the COVID-19 pandemic, a triggering event occurred requiring us to evaluate our long-lived assets for impairment. Due to the central nature of our operations, our tangible and intangible definite-lived assets support our full operations, are utilized by all three of our reportable segments, and do not generate separately identifiable cash flows. As such, these assets together represent a single asset group. We performed the recoverability test for the asset group by comparing the carrying value to the group’s expected future undiscounted cash flows. We concluded that the undiscounted cash flows of the definite lived asset group exceeded the carrying value. As such the asset group was deemed recoverable and no impairment was recorded.</w:t>
      </w:r>
    </w:p>
    <w:p>
      <w:pPr>
        <w:spacing w:after="0" w:line="178" w:lineRule="exact"/>
        <w:rPr>
          <w:sz w:val="20"/>
          <w:szCs w:val="20"/>
          <w:color w:val="auto"/>
        </w:rPr>
      </w:pPr>
    </w:p>
    <w:p>
      <w:pPr>
        <w:jc w:val="both"/>
        <w:ind w:right="20" w:firstLine="499"/>
        <w:spacing w:after="0" w:line="263" w:lineRule="auto"/>
        <w:rPr>
          <w:sz w:val="20"/>
          <w:szCs w:val="20"/>
          <w:color w:val="auto"/>
        </w:rPr>
      </w:pPr>
      <w:r>
        <w:rPr>
          <w:rFonts w:ascii="Arial" w:cs="Arial" w:eastAsia="Arial" w:hAnsi="Arial"/>
          <w:sz w:val="18"/>
          <w:szCs w:val="18"/>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8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70"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i w:val="1"/>
          <w:iCs w:val="1"/>
          <w:color w:val="auto"/>
        </w:rPr>
        <w:t xml:space="preserve">Indefinite Lived Intangible Assets. </w:t>
      </w:r>
      <w:r>
        <w:rPr>
          <w:rFonts w:ascii="Arial" w:cs="Arial" w:eastAsia="Arial" w:hAnsi="Arial"/>
          <w:sz w:val="18"/>
          <w:szCs w:val="18"/>
          <w:color w:val="auto"/>
        </w:rPr>
        <w:t>We test indefinite lived intangible assets for impairment at least annually on the first day of our fiscal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or when indications of 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92"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performed a qualitative assessment in conjunction with our annual impairment test of our indefinite lived intangible assets as of January 1, 2021. This qualitative assessment considered our operating results for the first nine months of fiscal 2021 in comparison to prior years as well as its anticipated fourth quarter results and fiscal 2022 plan. As a result of the conditions that existed as of the assessment date, an asset impairment was not deemed to be more likely than not and a quantitative analysis was not required.</w:t>
      </w:r>
    </w:p>
    <w:p>
      <w:pPr>
        <w:spacing w:after="0" w:line="187"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currently issue restricted stock awards to our employees, executive officers and directors. Prior to fiscal 2015,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also issued stock options to these individuals. We apply the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to these restricted stock and stock option awards which requires us to expense the estimated fair value of the awards based on the fair value of the award on the date of grant. Compensation costs for equity incentives are recognized in earnings, on a straight-line basis over the requisite service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ind w:firstLine="499"/>
        <w:spacing w:after="0" w:line="293"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64"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2020 and 2019 we have recorded a full valuation allowance against our net federal and net state deferred tax assets due to our cumulative three-year taxable losses. During fiscal 2021, we reduced our valuation allowance on the basis of our reassessment of the amount of our deferred tax assets that are more likely than not to be realized. In making these determinations, we considered all available positive and negative evidence, including projected future taxable income, tax planning strategies, recent financial performance and ownership changes.</w:t>
      </w:r>
    </w:p>
    <w:p>
      <w:pPr>
        <w:spacing w:after="0" w:line="178"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71"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As of March 31, 2021, we had net operating loss carryforwards of approximately $69.4 million for federal tax purposes, $61.8 million for state tax purposes, and $0.8 million for foreign tax purposes. As of the prior fiscal year, this amount is inclusive of the entire loss carryforward on the filed returns.</w:t>
      </w:r>
    </w:p>
    <w:p>
      <w:pPr>
        <w:spacing w:after="0" w:line="124"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also had federal tax credit carryforwards of $1.3 million and state tax credit carryforwards of $0.8 million, which are partially reserved for as part of our valuation allowance. Of these tax attributes, $8.4 million of the federal and state net operating loss carryforwards are not subject to time restrictions on use but may only be used to offset 80% of future adjusted taxable income. The $123.6 million net operating loss and tax credit carryforwards will begin to expire in varying amounts between 2022 and 2040.</w:t>
      </w:r>
    </w:p>
    <w:p>
      <w:pPr>
        <w:spacing w:after="0" w:line="18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We recognize penalties and interest related to uncertain tax liabilities in income tax expense. Penalties and interest were immaterial as of the date of adoption and are included in unrecognized tax benefits.</w:t>
      </w:r>
    </w:p>
    <w:p>
      <w:pPr>
        <w:spacing w:after="0" w:line="170" w:lineRule="exact"/>
        <w:rPr>
          <w:sz w:val="20"/>
          <w:szCs w:val="20"/>
          <w:color w:val="auto"/>
        </w:rPr>
      </w:pPr>
    </w:p>
    <w:p>
      <w:pPr>
        <w:jc w:val="both"/>
        <w:ind w:firstLine="499"/>
        <w:spacing w:after="0" w:line="269" w:lineRule="auto"/>
        <w:rPr>
          <w:sz w:val="20"/>
          <w:szCs w:val="20"/>
          <w:color w:val="auto"/>
        </w:rPr>
      </w:pPr>
      <w:r>
        <w:rPr>
          <w:rFonts w:ascii="Arial" w:cs="Arial" w:eastAsia="Arial" w:hAnsi="Arial"/>
          <w:sz w:val="17"/>
          <w:szCs w:val="17"/>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2021, the balance of gross unrecognized tax benefits was approximately $0.3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See Note 3 –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70"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Our results from operations have not been materially affected by inflation. We are monitoring input costs and cannot currently predict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impact to our operations by inflation.</w:t>
      </w:r>
    </w:p>
    <w:p>
      <w:pPr>
        <w:spacing w:after="0" w:line="170"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i w:val="1"/>
          <w:iCs w:val="1"/>
          <w:color w:val="auto"/>
        </w:rPr>
        <w:t xml:space="preserve">Foreign Exchange Risk. </w:t>
      </w:r>
      <w:r>
        <w:rPr>
          <w:rFonts w:ascii="Arial" w:cs="Arial" w:eastAsia="Arial" w:hAnsi="Arial"/>
          <w:sz w:val="18"/>
          <w:szCs w:val="18"/>
          <w:color w:val="auto"/>
        </w:rPr>
        <w:t>We face minimal exposure to adverse movements in foreign currency exchange rates. Our foreign currency losses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periods have been nominal.</w:t>
      </w:r>
    </w:p>
    <w:p>
      <w:pPr>
        <w:spacing w:after="0" w:line="170"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Our investments consist primarily of investments in money market funds. While the instruments we hold are subject to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we had no outstanding debt with floating interest rates.</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certain commodity price risks associated with our purchases of raw materials, most significantly our</w:t>
      </w:r>
      <w:r>
        <w:rPr>
          <w:rFonts w:ascii="Arial" w:cs="Arial" w:eastAsia="Arial" w:hAnsi="Arial"/>
          <w:sz w:val="18"/>
          <w:szCs w:val="18"/>
          <w:i w:val="1"/>
          <w:iCs w:val="1"/>
          <w:color w:val="auto"/>
        </w:rPr>
        <w:t xml:space="preserve"> </w:t>
      </w:r>
      <w:r>
        <w:rPr>
          <w:rFonts w:ascii="Arial" w:cs="Arial" w:eastAsia="Arial" w:hAnsi="Arial"/>
          <w:sz w:val="18"/>
          <w:szCs w:val="18"/>
          <w:color w:val="auto"/>
        </w:rPr>
        <w:t>aluminum purchases. A hypothetical 20% increase in aluminum prices would have had a negative impact of $0.6 million on our net income in fiscal 2021. We have not experienced any material adverse impacts from commodity price risk due to the COVID-19 pandemic; however, as of the date of this report, we are not able to predict the future impact of COVID-19 on this risk.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192"/>
        </w:trPr>
        <w:tc>
          <w:tcPr>
            <w:tcW w:w="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488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Reports of Independent Registered Public Accounting Firm</w:t>
              </w:r>
            </w:hyperlink>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63"/>
        </w:trPr>
        <w:tc>
          <w:tcPr>
            <w:tcW w:w="60" w:type="dxa"/>
            <w:vAlign w:val="bottom"/>
          </w:tcPr>
          <w:p>
            <w:pPr>
              <w:spacing w:after="0"/>
              <w:rPr>
                <w:sz w:val="22"/>
                <w:szCs w:val="22"/>
                <w:color w:val="auto"/>
              </w:rPr>
            </w:pPr>
          </w:p>
        </w:tc>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Balance Sheets</w:t>
              </w:r>
            </w:hyperlink>
          </w:p>
        </w:tc>
        <w:tc>
          <w:tcPr>
            <w:tcW w:w="2180" w:type="dxa"/>
            <w:vAlign w:val="bottom"/>
            <w:tcBorders>
              <w:top w:val="single" w:sz="8" w:color="0000EE"/>
            </w:tcBorders>
            <w:gridSpan w:val="5"/>
          </w:tcPr>
          <w:p>
            <w:pPr>
              <w:spacing w:after="0"/>
              <w:rPr>
                <w:sz w:val="22"/>
                <w:szCs w:val="22"/>
                <w:color w:val="auto"/>
              </w:rPr>
            </w:pPr>
          </w:p>
        </w:tc>
        <w:tc>
          <w:tcPr>
            <w:tcW w:w="600" w:type="dxa"/>
            <w:vAlign w:val="bottom"/>
          </w:tcPr>
          <w:p>
            <w:pPr>
              <w:spacing w:after="0"/>
              <w:rPr>
                <w:sz w:val="22"/>
                <w:szCs w:val="22"/>
                <w:color w:val="auto"/>
              </w:rPr>
            </w:pP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28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Operations</w:t>
              </w:r>
            </w:hyperlink>
          </w:p>
        </w:tc>
        <w:tc>
          <w:tcPr>
            <w:tcW w:w="2060" w:type="dxa"/>
            <w:vAlign w:val="bottom"/>
            <w:gridSpan w:val="5"/>
          </w:tcPr>
          <w:p>
            <w:pPr>
              <w:spacing w:after="0"/>
              <w:rPr>
                <w:sz w:val="22"/>
                <w:szCs w:val="22"/>
                <w:color w:val="auto"/>
              </w:rPr>
            </w:pP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488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Shareholders’ Equity</w:t>
              </w:r>
            </w:hyperlink>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488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2"/>
                <w:szCs w:val="22"/>
                <w:color w:val="auto"/>
              </w:rPr>
            </w:pPr>
          </w:p>
        </w:tc>
      </w:tr>
      <w:tr>
        <w:trPr>
          <w:trHeight w:val="479"/>
        </w:trPr>
        <w:tc>
          <w:tcPr>
            <w:tcW w:w="6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80" w:type="dxa"/>
            <w:vAlign w:val="bottom"/>
          </w:tcPr>
          <w:p>
            <w:pPr>
              <w:jc w:val="right"/>
              <w:ind w:right="4310"/>
              <w:spacing w:after="0"/>
              <w:rPr>
                <w:sz w:val="20"/>
                <w:szCs w:val="20"/>
                <w:color w:val="auto"/>
              </w:rPr>
            </w:pPr>
            <w:r>
              <w:rPr>
                <w:rFonts w:ascii="Arial" w:cs="Arial" w:eastAsia="Arial" w:hAnsi="Arial"/>
                <w:sz w:val="18"/>
                <w:szCs w:val="18"/>
                <w:color w:val="auto"/>
              </w:rPr>
              <w:t>51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0" w:name="page51"/>
    <w:bookmarkEnd w:id="5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Orion Energy Systems, Inc. (the “Company”) as of March 31, 2021 and 2020, the related consolidated statements of operations, shareholders’ equity, and cash flows for each of the three years in the period ended March 31, 2021, and the related notes (collectively referred to as the “consolidated financial statements”). In our opinion, the consolidated financial statements present fairly, in all material respects, the financial position of the Company at March 31, 2021 and 2020, and the results of its operations and its cash flows for each of the three years in the period ended March 31, 2021, in conformity with accounting principles generally accepted in the United States of America.</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2021, based on criteria established in Internal Control – Integrated Framework (2013) issued by the Committee of Sponsoring Organizations of the Treadway Commission (“COSO”) and our report dated June 1,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Standalone selling price estimations on turnkey contracts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3 to the consolidated financial statements, the Company generates revenue by selling commercial lighting fixtures and components and by installing these fixtures. For contracts that contain multiple performance obligations, the contract’s transaction price is allocated to the performance obligations based on their relative standalone selling prices. For turnkey contracts, the standalone selling price for installation service is estimated using an expected cost-plus a margin approach.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jc w:val="both"/>
        <w:spacing w:after="0" w:line="279" w:lineRule="auto"/>
        <w:rPr>
          <w:sz w:val="20"/>
          <w:szCs w:val="20"/>
          <w:color w:val="auto"/>
        </w:rPr>
      </w:pPr>
      <w:r>
        <w:rPr>
          <w:rFonts w:ascii="Arial" w:cs="Arial" w:eastAsia="Arial" w:hAnsi="Arial"/>
          <w:sz w:val="17"/>
          <w:szCs w:val="17"/>
          <w:color w:val="auto"/>
        </w:rPr>
        <w:t>We identified the estimation of the standalone selling price of installation service in turnkey contracts as a critical audit matter. Under the expected cost-plus a margin approach, management estimates the cost of services and applies an estimated margin. The margin estimate requires significant management judgment and is based on a variety of factors such as geographical location, quantity and type of product to be removed and/or installed, and average historical installation margins. Auditing this estimate involved subjective and complex auditor judgment.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85" w:lineRule="exact"/>
        <w:rPr>
          <w:sz w:val="20"/>
          <w:szCs w:val="20"/>
          <w:color w:val="auto"/>
        </w:rPr>
      </w:pPr>
    </w:p>
    <w:p>
      <w:pPr>
        <w:jc w:val="both"/>
        <w:ind w:left="1240" w:hanging="368"/>
        <w:spacing w:after="0" w:line="238" w:lineRule="auto"/>
        <w:tabs>
          <w:tab w:leader="none" w:pos="12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Testing the design and operating effectiveness of internal controls over revenue recognition; specifically, inspecting the Company’s controls over estimation of the margin, including their review of a sample of completed turnkey contracts to compare the actual margins achieved to the estimated margin.</w:t>
      </w:r>
    </w:p>
    <w:p>
      <w:pPr>
        <w:spacing w:after="0" w:line="94" w:lineRule="exact"/>
        <w:rPr>
          <w:rFonts w:ascii="Arial" w:cs="Arial" w:eastAsia="Arial" w:hAnsi="Arial"/>
          <w:sz w:val="22"/>
          <w:szCs w:val="22"/>
          <w:color w:val="auto"/>
        </w:rPr>
      </w:pPr>
    </w:p>
    <w:p>
      <w:pPr>
        <w:jc w:val="both"/>
        <w:ind w:left="1240" w:right="20" w:hanging="368"/>
        <w:spacing w:after="0" w:line="284" w:lineRule="auto"/>
        <w:tabs>
          <w:tab w:leader="none" w:pos="1240" w:val="left"/>
        </w:tabs>
        <w:numPr>
          <w:ilvl w:val="0"/>
          <w:numId w:val="20"/>
        </w:numPr>
        <w:rPr>
          <w:rFonts w:ascii="Arial" w:cs="Arial" w:eastAsia="Arial" w:hAnsi="Arial"/>
          <w:sz w:val="19"/>
          <w:szCs w:val="19"/>
          <w:color w:val="auto"/>
        </w:rPr>
      </w:pPr>
      <w:r>
        <w:rPr>
          <w:rFonts w:ascii="Arial" w:cs="Arial" w:eastAsia="Arial" w:hAnsi="Arial"/>
          <w:sz w:val="16"/>
          <w:szCs w:val="16"/>
          <w:color w:val="auto"/>
        </w:rPr>
        <w:t>Evaluating the reasonableness of assumptions used by management in estimating standalone selling price for installation services by (i) examining a sample of turnkey contracts and assessing the reasonableness of the factors considered including geographical location, product type and historical experience; and (ii) examining the most significant contract on a disaggregated level and comparing management’s assumptions to our independently-developed assumptions and evaluating the reasons for significant differences.</w:t>
      </w:r>
    </w:p>
    <w:p>
      <w:pPr>
        <w:spacing w:after="0" w:line="60" w:lineRule="exact"/>
        <w:rPr>
          <w:rFonts w:ascii="Arial" w:cs="Arial" w:eastAsia="Arial" w:hAnsi="Arial"/>
          <w:sz w:val="19"/>
          <w:szCs w:val="19"/>
          <w:color w:val="auto"/>
        </w:rPr>
      </w:pPr>
    </w:p>
    <w:p>
      <w:pPr>
        <w:jc w:val="both"/>
        <w:ind w:left="1240" w:hanging="368"/>
        <w:spacing w:after="0" w:line="238" w:lineRule="auto"/>
        <w:tabs>
          <w:tab w:leader="none" w:pos="12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Assessing that the estimated margin is applied consistently and calculated accurately by testing the calculation for a sample of turnkey contracts and vouching the historical cost inputs incurred for installation and recycling services and verifying the estimated margin fell within a reasonable range of historical margins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 Valuation Allowance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14 to the Company’s consolidated financial statements, during the year ended March 31, 2021, the Company released approximately $20.9 million of the valuation allowance on a significant portion of its deferred tax assets. In evaluating the realizability of deferred tax assets, the available positive and negative evidence, including projected future taxable income exclusive of reversing temporary differences, history of book losses, tax planning strategies, and results of recent operations, are considered.</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identified the Company’s evaluation of the realizability of deferred tax assets as a critical audit matter. Significant management judgments are required in evaluating and weighing the collective positive and negative evidence that are used to assess the realizability of deferred tax assets, which include various assumptions surrounding projected future taxable income, the rate of continued growth, and forecasted timing of reversal of temporary differences. Auditing these elements involved complex and subjective auditor judgment due to the nature and extent of audit effort required to address these matters, including the need to involve personnel with specialized skill and knowledge.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jc w:val="both"/>
        <w:ind w:left="1300" w:hanging="455"/>
        <w:spacing w:after="0" w:line="238"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Testing the design and operating effectiveness of internal controls over income taxes, specifically, inspecting the Company’s controls over the evaluation of the realizability of deferred tax assets and controls over the development and review of the projected future taxable income.</w:t>
      </w:r>
    </w:p>
    <w:p>
      <w:pPr>
        <w:spacing w:after="0" w:line="94" w:lineRule="exact"/>
        <w:rPr>
          <w:rFonts w:ascii="Arial" w:cs="Arial" w:eastAsia="Arial" w:hAnsi="Arial"/>
          <w:sz w:val="22"/>
          <w:szCs w:val="22"/>
          <w:color w:val="auto"/>
        </w:rPr>
      </w:pPr>
    </w:p>
    <w:p>
      <w:pPr>
        <w:ind w:left="1300" w:hanging="455"/>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6"/>
          <w:szCs w:val="16"/>
          <w:color w:val="auto"/>
        </w:rPr>
        <w:t>Assessing the reasonableness of the Company’s ability to generate future taxable income and utilize the deferred tax assets by evaluating:</w:t>
      </w:r>
    </w:p>
    <w:p>
      <w:pPr>
        <w:spacing w:after="0" w:line="13" w:lineRule="exact"/>
        <w:rPr>
          <w:rFonts w:ascii="Arial" w:cs="Arial" w:eastAsia="Arial" w:hAnsi="Arial"/>
          <w:sz w:val="19"/>
          <w:szCs w:val="19"/>
          <w:color w:val="auto"/>
        </w:rPr>
      </w:pPr>
    </w:p>
    <w:p>
      <w:pPr>
        <w:ind w:left="1300" w:firstLine="4"/>
        <w:spacing w:after="0" w:line="288" w:lineRule="auto"/>
        <w:tabs>
          <w:tab w:leader="none" w:pos="1526"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forecast of future taxable income , (ii) the rate of continued growth, including performing independent estimates of the expected growth against the Company’s historical performance, and (iii) the timing of future reversal of temporary differences.</w:t>
      </w:r>
    </w:p>
    <w:p>
      <w:pPr>
        <w:spacing w:after="0" w:line="54" w:lineRule="exact"/>
        <w:rPr>
          <w:rFonts w:ascii="Arial" w:cs="Arial" w:eastAsia="Arial" w:hAnsi="Arial"/>
          <w:sz w:val="17"/>
          <w:szCs w:val="17"/>
          <w:color w:val="auto"/>
        </w:rPr>
      </w:pPr>
    </w:p>
    <w:p>
      <w:pPr>
        <w:jc w:val="both"/>
        <w:ind w:left="1300" w:hanging="455"/>
        <w:spacing w:after="0" w:line="238"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Utilizing personnel with specialized knowledge and skill in taxes to assist in the evaluation of the Company’s assessment of positive and negative evidence, and whether the estimated future sources of taxable income were sufficient to utilize the deferred tax assets in the relevant time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June 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Orion Energy Systems, Inc.’s (the “Company’s”) internal control over financial reporting as of March 31, 2021,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March 31, 2021, based on the COSO criteria.</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2021 and 2020, the related consolidated statements of operations, shareholders’ equity, and cash flows for each of the three years in the period ended March 31, 2021, and the related notes and our report dated June 1,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19,393</w:t>
            </w:r>
          </w:p>
        </w:tc>
        <w:tc>
          <w:tcPr>
            <w:tcW w:w="1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28,751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13,572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2,930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19,554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1,082</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56,531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11,369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1,952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Deferred tax assets</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19,785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Long-term accounts receivable</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3,184</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4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92,821</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3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17,045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13,226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maturities of long-term debt</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30,372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Deferred revenue, long-term</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4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3,700</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34,747</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15)</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Shareholders’ equity:</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w w:val="92"/>
              </w:rPr>
              <w:t>Preferred stock, $0.01 par value: Shares authorized: 30,000,000 shares</w:t>
            </w:r>
          </w:p>
        </w:tc>
        <w:tc>
          <w:tcPr>
            <w:tcW w:w="2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at March 31, 2021 and 2020; no shares issued and outstanding at</w:t>
            </w:r>
          </w:p>
        </w:tc>
        <w:tc>
          <w:tcPr>
            <w:tcW w:w="2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2021 and 2020</w:t>
            </w:r>
          </w:p>
        </w:tc>
        <w:tc>
          <w:tcPr>
            <w:tcW w:w="2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Common stock, no par value: Shares authorized: 200,000,000 at</w:t>
            </w: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color w:val="auto"/>
              </w:rPr>
              <w:t>March 31, 2021 and 2020; shares issued: 40,279,050 and</w:t>
            </w: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color w:val="auto"/>
              </w:rPr>
              <w:t>39,729,569 at March 31, 2021 and 2020; shares outstanding:</w:t>
            </w: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30,805,300 and 30,265,997 at March 31, 2021 and 2020</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9"/>
              </w:rPr>
              <w:t>157,485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156,503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Treasury stock: 9,473,750 and 9,463,572 common shares at</w:t>
            </w: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March 31, 2021 and 2020</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(36,240)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Retained deficit</w:t>
            </w:r>
          </w:p>
        </w:tc>
        <w:tc>
          <w:tcPr>
            <w:tcW w:w="24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(63,171)</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shareholders’ equity</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58,074</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24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92,821</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vMerge w:val="restart"/>
          </w:tcPr>
          <w:p>
            <w:pPr>
              <w:jc w:val="right"/>
              <w:ind w:right="1910"/>
              <w:spacing w:after="0"/>
              <w:rPr>
                <w:sz w:val="20"/>
                <w:szCs w:val="20"/>
                <w:color w:val="auto"/>
              </w:rPr>
            </w:pPr>
            <w:r>
              <w:rPr>
                <w:rFonts w:ascii="Arial" w:cs="Arial" w:eastAsia="Arial" w:hAnsi="Arial"/>
                <w:sz w:val="18"/>
                <w:szCs w:val="18"/>
                <w:color w:val="auto"/>
              </w:rPr>
              <w:t>55</w:t>
            </w: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5"/>
              </w:rPr>
              <w:t>Fiscal Year Ended March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87,664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113,352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29,176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37,489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116,840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150,841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63,233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83,588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23,483</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30,130</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86,716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113,718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30,124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37,123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11,262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11,184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Sales and marketing</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11,113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1,685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1,716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23,288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24,013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6,836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13,110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w:t>
            </w:r>
          </w:p>
        </w:tc>
        <w:tc>
          <w:tcPr>
            <w:tcW w:w="13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12,621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 expense</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26,134</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12,462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w w:val="93"/>
              </w:rPr>
              <w:t>Basic net income (loss) per share attributable to common shareholders</w:t>
            </w: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30,634,553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30,104,552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29,429,540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6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0.83</w:t>
            </w:r>
          </w:p>
        </w:tc>
        <w:tc>
          <w:tcPr>
            <w:tcW w:w="1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share equivalents</w:t>
            </w: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31,303,727</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30,964,777</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29,429,540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300" w:type="dxa"/>
            <w:vAlign w:val="bottom"/>
          </w:tcPr>
          <w:p>
            <w:pPr>
              <w:spacing w:after="0"/>
              <w:rPr>
                <w:sz w:val="24"/>
                <w:szCs w:val="24"/>
                <w:color w:val="auto"/>
              </w:rPr>
            </w:pPr>
          </w:p>
        </w:tc>
        <w:tc>
          <w:tcPr>
            <w:tcW w:w="1340" w:type="dxa"/>
            <w:vAlign w:val="bottom"/>
          </w:tcPr>
          <w:p>
            <w:pPr>
              <w:jc w:val="right"/>
              <w:ind w:right="83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SHAREHOLDERS’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4"/>
              </w:rPr>
              <w:t>Shareholders’ Equity</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752"/>
              <w:spacing w:after="0" w:line="155"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3"/>
                <w:szCs w:val="13"/>
                <w:color w:val="auto"/>
              </w:rPr>
            </w:pPr>
          </w:p>
        </w:tc>
        <w:tc>
          <w:tcPr>
            <w:tcW w:w="112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252"/>
              <w:spacing w:after="0" w:line="133" w:lineRule="exact"/>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4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1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1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28,953,183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155,003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(95,494)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Plan</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4,642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653,394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(11,061)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94"/>
              </w:rPr>
              <w:t>Cumulative effect of accounting change due to adoption of ASC</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606</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2019</w:t>
            </w:r>
          </w:p>
        </w:tc>
        <w:tc>
          <w:tcPr>
            <w:tcW w:w="11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29,600,158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155,828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(101,767)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Exercise of stock options and warrants for cash</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669,238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1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30,265,997</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156,503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(36,163)</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(89,305)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31,035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Exercise of stock options and warrants for cash</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99,000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450,481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26,134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26,134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2021</w:t>
            </w: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30,805,300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157,485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58,074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80" w:type="dxa"/>
            <w:vAlign w:val="bottom"/>
          </w:tcPr>
          <w:p>
            <w:pPr>
              <w:spacing w:after="0"/>
              <w:rPr>
                <w:sz w:val="24"/>
                <w:szCs w:val="24"/>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w w:val="95"/>
              </w:rPr>
              <w:t>Fiscal Year Ended March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8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7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26,134</w:t>
            </w:r>
          </w:p>
        </w:tc>
        <w:tc>
          <w:tcPr>
            <w:tcW w:w="1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12,462</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provided by</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380"/>
              <w:spacing w:after="0"/>
              <w:rPr>
                <w:sz w:val="20"/>
                <w:szCs w:val="20"/>
                <w:color w:val="auto"/>
              </w:rPr>
            </w:pPr>
            <w:r>
              <w:rPr>
                <w:rFonts w:ascii="Arial" w:cs="Arial" w:eastAsia="Arial" w:hAnsi="Arial"/>
                <w:sz w:val="18"/>
                <w:szCs w:val="18"/>
                <w:color w:val="auto"/>
              </w:rPr>
              <w:t>(used in) operating activities: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1,190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500"/>
              <w:spacing w:after="0"/>
              <w:rPr>
                <w:sz w:val="20"/>
                <w:szCs w:val="20"/>
                <w:color w:val="auto"/>
              </w:rPr>
            </w:pPr>
            <w:r>
              <w:rPr>
                <w:rFonts w:ascii="Arial" w:cs="Arial" w:eastAsia="Arial" w:hAnsi="Arial"/>
                <w:sz w:val="18"/>
                <w:szCs w:val="18"/>
                <w:color w:val="auto"/>
              </w:rPr>
              <w:t>Amortization of debt issue costs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debt extinguishment</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sale of property and equipment</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500"/>
              <w:spacing w:after="0"/>
              <w:rPr>
                <w:sz w:val="20"/>
                <w:szCs w:val="20"/>
                <w:color w:val="auto"/>
              </w:rPr>
            </w:pPr>
            <w:r>
              <w:rPr>
                <w:rFonts w:ascii="Arial" w:cs="Arial" w:eastAsia="Arial" w:hAnsi="Arial"/>
                <w:sz w:val="18"/>
                <w:szCs w:val="18"/>
                <w:color w:val="auto"/>
              </w:rPr>
              <w:t>Provision for inventory reserves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bad debts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5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earned but not billed</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3,186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5,797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 and long-term</w:t>
            </w:r>
          </w:p>
        </w:tc>
        <w:tc>
          <w:tcPr>
            <w:tcW w:w="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1,729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of property and equipment</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Additions to patents and licenses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Proceeds from sales of property, plant and equipment</w:t>
            </w:r>
          </w:p>
        </w:tc>
        <w:tc>
          <w:tcPr>
            <w:tcW w:w="4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Payment of long-term debt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74,100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Payment of revolving credit facility</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to settle employee tax withholdings on stock-based</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w:t>
            </w:r>
          </w:p>
        </w:tc>
        <w:tc>
          <w:tcPr>
            <w:tcW w:w="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Debt issue costs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proceeds from employee equity exercises</w:t>
            </w:r>
          </w:p>
        </w:tc>
        <w:tc>
          <w:tcPr>
            <w:tcW w:w="4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20,022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28,751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8,729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19,393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28,751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paid for interest</w:t>
            </w:r>
          </w:p>
        </w:tc>
        <w:tc>
          <w:tcPr>
            <w:tcW w:w="7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Cash (paid) received for income taxes</w:t>
            </w:r>
          </w:p>
        </w:tc>
        <w:tc>
          <w:tcPr>
            <w:tcW w:w="7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Purchase of property, plant and equipment by issuing a debt</w:t>
            </w:r>
          </w:p>
        </w:tc>
        <w:tc>
          <w:tcPr>
            <w:tcW w:w="7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Operating lease assets obtained in exchange for new operating lease liabilities</w:t>
            </w:r>
          </w:p>
        </w:tc>
        <w:tc>
          <w:tcPr>
            <w:tcW w:w="7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6180" w:type="dxa"/>
            <w:vAlign w:val="bottom"/>
          </w:tcPr>
          <w:p>
            <w:pPr>
              <w:ind w:left="554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12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also leases office space in Jacksonville, Florida.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IMPACT OF COVID-19</w:t>
      </w:r>
    </w:p>
    <w:p>
      <w:pPr>
        <w:spacing w:after="0" w:line="337"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The COVID-19 pandemic has disrupted business, trade, commerce, financial and credit markets, in the U.S. and globally. Orion’s business was adversely impacted by measures taken by government entities and others to control the spread of the virus beginning in March 2020, the last month of Orion’s fiscal 2020 year, and continuing most significantly into the second quarter of fiscal 2021. During the second half of fiscal 2021, Orion experienced a rebound in business. Project installations resumed for Orion’s largest customer and started installations for a new large specialty retail customer began, with no further significant COVID-19 impacts. However, some customers continue to refrain from awarding new projects and potential future risks remain due to the COVID-19 pandemic.</w:t>
      </w:r>
    </w:p>
    <w:p>
      <w:pPr>
        <w:spacing w:after="0" w:line="192"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As an essential business, Orion provides products and services to ensure energy and lighting infrastructure and Orion therefore has continued to operate throughout the pandemic.</w:t>
      </w:r>
    </w:p>
    <w:p>
      <w:pPr>
        <w:spacing w:after="0" w:line="170" w:lineRule="exact"/>
        <w:rPr>
          <w:sz w:val="20"/>
          <w:szCs w:val="20"/>
          <w:color w:val="auto"/>
        </w:rPr>
      </w:pPr>
    </w:p>
    <w:p>
      <w:pPr>
        <w:jc w:val="both"/>
        <w:ind w:firstLine="494"/>
        <w:spacing w:after="0" w:line="268" w:lineRule="auto"/>
        <w:rPr>
          <w:sz w:val="20"/>
          <w:szCs w:val="20"/>
          <w:color w:val="auto"/>
        </w:rPr>
      </w:pPr>
      <w:r>
        <w:rPr>
          <w:rFonts w:ascii="Arial" w:cs="Arial" w:eastAsia="Arial" w:hAnsi="Arial"/>
          <w:sz w:val="17"/>
          <w:szCs w:val="17"/>
          <w:color w:val="auto"/>
        </w:rPr>
        <w:t>As part of Orion’s response to the impacts of the COVID-19 pandemic, during the fourth quarter of fiscal 2020 Orion implemented a number of cost reduction and cash conservation measures, including reducing headcount. While certain restrictions began to initially lessen in certain jurisdictions during fiscal 2021, stay-at-home, face mask or lockdown orders remain in effect in others, with employees asked to work remotely if possible. Some customers and projects are in areas where travel restrictions have been imposed, certain customers have either closed or reduced on-site activities, and timelines for the completion of several projects have been delayed, extended or terminated. These modifications to Orion’s business practices, including any future actions Orion takes, may cause Orion to experience reductions in productivity and disruptions to Orion’s business routines. In addition, Orion is required to make substantial working capital expenditures and advance inventory purchases that Orion may not be able to recoup if Orion’s customer agreements or a substantial volume of purchase orders under Orion’s customer agreements are delayed or terminated as a result of COVID-19. At this time, it is not possible to predict the overall impact the COVID-19 pandemic will have on Orion’s business, liquidity, capital resources or financial results, although the economic and regulatory impacts of COVID-19 significantly reduced Orion’s revenue and profitability in the first half of fiscal 2021. If the COVID-19 pandemic becomes more pronounced in Orion’s markets or experiences a resurgence in markets recovering from the spread of COVID-19, Orion’s operations in areas impacted by such events could experience further material adverse financial impacts due to market changes and other resulting events and circumstances.</w:t>
      </w:r>
    </w:p>
    <w:p>
      <w:pPr>
        <w:spacing w:after="0" w:line="294"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Due to the forecasted change in macroeconomic conditions due to the COVID-19 pandemic, as of March 31, 2020, a triggering event occurred requiring Orion to evaluate its long-lived assets for impairment. Orion performed the Step 1 recoverability test for the asset group, and the asset group was deemed recoverable. See Note 8 – Property and Equipment.</w:t>
      </w:r>
    </w:p>
    <w:p>
      <w:pPr>
        <w:spacing w:after="0" w:line="292"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and includes certain income tax provisions relevant to businesses. Orion is required to recognize the effect on the consolidated financial statements in the period the law was enacted, which was the period ended March 31, 2020. For the fiscal years ended March 31, 2021, and March 31, 2020, the CARES Act did not have a material impact on Orion’s consolidated financial statements. See Note 14 – Income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 considers all highly liquid, short-term investments with original maturities of three months or less to be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Orion’s financial instruments consist of cash and cash equivalents,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Orion performs ongoing evaluations of its customers and continuously monitors collections and payments. Orion estimates an allowance for doubtful accounts based upon the aging of the underlying receivables, historical experience with write-offs and specific customer collection issues that have been identified. See Note 5 – Accounts Receivable for further discussion of the allowance for doubtful accounts.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Orion’s compensation committee approved an Executive Annual Cash Incentive Program. Based upon the results for the fiscal years ended March 31, 2021, 2020 and 2019, Orion accrued approximately $0.7 million, $0.8 million, and no expense related to this plan,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Orion generates revenues primarily by selling commercial lighting fixtures and components and by installing these fixtures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95"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If there are multiple performance obligations in a single contract, the contract’s total transaction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an expected cost-plus margin approach when one is not available. The expected cost-plus margin approach is used to determine the estimated stand-alone selling price for the installation performance obligation and is based on average historical installation margin.</w:t>
      </w:r>
    </w:p>
    <w:p>
      <w:pPr>
        <w:spacing w:after="0" w:line="161"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color w:val="auto"/>
        </w:rPr>
        <w:t>Revenue derived from customer contracts which include only performance obligation(s) for the sale of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57" w:lineRule="exact"/>
        <w:rPr>
          <w:sz w:val="20"/>
          <w:szCs w:val="20"/>
          <w:color w:val="auto"/>
        </w:rPr>
      </w:pPr>
    </w:p>
    <w:p>
      <w:pPr>
        <w:jc w:val="both"/>
        <w:ind w:right="20" w:firstLine="499"/>
        <w:spacing w:after="0" w:line="308"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146"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6"/>
          <w:szCs w:val="16"/>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w:t>
      </w:r>
    </w:p>
    <w:p>
      <w:pPr>
        <w:spacing w:after="0" w:line="1" w:lineRule="exact"/>
        <w:rPr>
          <w:sz w:val="20"/>
          <w:szCs w:val="20"/>
          <w:color w:val="auto"/>
        </w:rPr>
      </w:pPr>
    </w:p>
    <w:p>
      <w:pPr>
        <w:jc w:val="both"/>
        <w:ind w:firstLine="8"/>
        <w:spacing w:after="0" w:line="253" w:lineRule="auto"/>
        <w:tabs>
          <w:tab w:leader="none" w:pos="2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98" w:lineRule="exact"/>
        <w:rPr>
          <w:rFonts w:ascii="Arial" w:cs="Arial" w:eastAsia="Arial" w:hAnsi="Arial"/>
          <w:sz w:val="18"/>
          <w:szCs w:val="18"/>
          <w:color w:val="auto"/>
        </w:rPr>
      </w:pPr>
    </w:p>
    <w:p>
      <w:pPr>
        <w:ind w:left="860" w:hanging="366"/>
        <w:spacing w:after="0"/>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117" w:lineRule="exact"/>
        <w:rPr>
          <w:rFonts w:ascii="Arial" w:cs="Arial" w:eastAsia="Arial" w:hAnsi="Arial"/>
          <w:sz w:val="18"/>
          <w:szCs w:val="18"/>
          <w:color w:val="auto"/>
        </w:rPr>
      </w:pPr>
    </w:p>
    <w:p>
      <w:pPr>
        <w:ind w:left="860" w:hanging="366"/>
        <w:spacing w:after="0" w:line="277" w:lineRule="auto"/>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amount and duration of physical control that Orion maintains on the products after they are shipped to, and received at, the customer’s facility;</w:t>
      </w:r>
    </w:p>
    <w:p>
      <w:pPr>
        <w:spacing w:after="0" w:line="62" w:lineRule="exact"/>
        <w:rPr>
          <w:rFonts w:ascii="Arial" w:cs="Arial" w:eastAsia="Arial" w:hAnsi="Arial"/>
          <w:sz w:val="18"/>
          <w:szCs w:val="18"/>
          <w:color w:val="auto"/>
        </w:rPr>
      </w:pPr>
    </w:p>
    <w:p>
      <w:pPr>
        <w:ind w:left="860" w:hanging="366"/>
        <w:spacing w:after="0" w:line="277" w:lineRule="auto"/>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spacing w:after="0" w:line="62" w:lineRule="exact"/>
        <w:rPr>
          <w:rFonts w:ascii="Arial" w:cs="Arial" w:eastAsia="Arial" w:hAnsi="Arial"/>
          <w:sz w:val="18"/>
          <w:szCs w:val="18"/>
          <w:color w:val="auto"/>
        </w:rPr>
      </w:pPr>
    </w:p>
    <w:p>
      <w:pPr>
        <w:ind w:left="860" w:hanging="366"/>
        <w:spacing w:after="0"/>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0" w:name="page61"/>
    <w:bookmarkEnd w:id="60"/>
    <w:p>
      <w:pPr>
        <w:ind w:left="860" w:hanging="36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and installed under the contract.</w:t>
      </w:r>
    </w:p>
    <w:p>
      <w:pPr>
        <w:spacing w:after="0" w:line="187"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49"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92"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See Note 11 – Accrued Expenses and Other for a discussion of Orion’s accounting for the warranty it provides to customers for its products and services.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Orion expenses research and development costs as incurred. Amounts are included in the Statement of Operations on the line item Research and development.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2021, Orion decreased its full valuation allowance by $20.9 million against its deferred tax assets on the basis of management’s reassessment of the amount of its deferred tax assets that are more likely than not to be realized.</w:t>
      </w:r>
    </w:p>
    <w:p>
      <w:pPr>
        <w:spacing w:after="0" w:line="192"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1" w:name="page62"/>
    <w:bookmarkEnd w:id="61"/>
    <w:p>
      <w:pPr>
        <w:jc w:val="both"/>
        <w:spacing w:after="0" w:line="342" w:lineRule="auto"/>
        <w:rPr>
          <w:sz w:val="20"/>
          <w:szCs w:val="20"/>
          <w:color w:val="auto"/>
        </w:rPr>
      </w:pPr>
      <w:r>
        <w:rPr>
          <w:rFonts w:ascii="Arial" w:cs="Arial" w:eastAsia="Arial" w:hAnsi="Arial"/>
          <w:sz w:val="16"/>
          <w:szCs w:val="16"/>
          <w:color w:val="auto"/>
        </w:rPr>
        <w:t>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Orion’s share-based payments to employees are measured at fair value and are recognized against earnings, on a straight-line basis over the requisite service period.</w:t>
      </w:r>
    </w:p>
    <w:p>
      <w:pPr>
        <w:spacing w:after="0" w:line="170"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17 – Stock Options and Restricted Shares, Orion currently awards non-vested restricted stock (and in some cases, in conjunction with associated cash award accounted for as a liability) to employees, executive officers and directors.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 has not paid dividends in the past and does not plan to pay any dividends in the foreseeable future.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Orion’s cash is deposited with three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fiscal 2021, no supplier accounted for more than 10% of total cost of revenue. For fiscal 2020, one supplier accounted for 11.8% of total cost of revenue. For fiscal 2019, no supplier accounted for more than 10% of total cost of revenue.</w:t>
      </w:r>
    </w:p>
    <w:p>
      <w:pPr>
        <w:spacing w:after="0" w:line="184"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In fiscal 2021, one customer accounted for 56.0% of revenue. In fiscal 2020, one customer accounted for 74.1% of total revenue. In fiscal 2019, one customer accounted for 20.7% of total revenue.</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March 31, 2021, three customers accounted for 33.9%, 16.4% and 10.1% of accounts receivable, respectively, and as of March 31, 2020, two customers accounted for 37.3% and 13.0% of accounts receivable,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337"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29"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rules of Topic 740. The provisions of ASU 2019-12 are effective for Orion in the current period. One provision applicable to Orion and relevant to recently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8"/>
          <w:szCs w:val="18"/>
          <w:color w:val="auto"/>
        </w:rPr>
        <w:t>filed financial statements relate to hybrid tax regimes. Hybrid tax regimes are those that impose the greater of two taxes – one based on income or one based on items other than income. The old guidance specified that if there is a tax based on income that is greater than a franchise tax based on capital, only that excess is subject to ASC 740. The new guidance states that an entity should include the amount of tax based on income in the tax provision and include any incremental amount recorded as a tax not based on income. The adoption of this ASU did not have a material impact on Orion’s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 Summary of Significant Accounting Policies for a discussion of Orion’s accounting policies related to 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117"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Costs associated with product sales are accumulated in inventory as the fixtures are manufactured and are transferred to Cost of product revenue at the time revenue is recorded. See Note 6 – Inventories. Costs associated with installation sales are expensed as incurred.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Orion’s Product revenue includes revenue from contracts with customers accounted for under the scope of ASC 606 and revenue which is accounted for under other guidance. For fiscal year 2021, Product revenue included $2.8 million derived from sales-type leases for light fixtures, $0.1 million derived from the sale of tax credits generated from Orion’s legacy operation for distributing solar energy, and $0.1 million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primary end-users of Orion’s lighting products and services are (a) the federal government, and (b) commercial or industrial companies.</w:t>
      </w:r>
    </w:p>
    <w:p>
      <w:pPr>
        <w:spacing w:after="0" w:line="23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Footnote 18 - Segment Data, for additional discussion concerning Orion’s reportable segments.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left="500"/>
        <w:spacing w:after="0"/>
        <w:rPr>
          <w:sz w:val="20"/>
          <w:szCs w:val="20"/>
          <w:color w:val="auto"/>
        </w:rPr>
      </w:pPr>
      <w:r>
        <w:rPr>
          <w:rFonts w:ascii="Arial" w:cs="Arial" w:eastAsia="Arial" w:hAnsi="Arial"/>
          <w:sz w:val="18"/>
          <w:szCs w:val="18"/>
          <w:color w:val="auto"/>
        </w:rPr>
        <w:t>The following table provides detail of Orion’s total revenues for the year ended March 31, 2021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8"/>
          </w:tcPr>
          <w:p>
            <w:pPr>
              <w:ind w:left="240"/>
              <w:spacing w:after="0"/>
              <w:rPr>
                <w:sz w:val="20"/>
                <w:szCs w:val="20"/>
                <w:color w:val="auto"/>
              </w:rPr>
            </w:pPr>
            <w:r>
              <w:rPr>
                <w:rFonts w:ascii="Arial" w:cs="Arial" w:eastAsia="Arial" w:hAnsi="Arial"/>
                <w:sz w:val="14"/>
                <w:szCs w:val="14"/>
                <w:b w:val="1"/>
                <w:bCs w:val="1"/>
                <w:color w:val="auto"/>
              </w:rPr>
              <w:t>Year Ended March 31, 2021</w:t>
            </w:r>
          </w:p>
        </w:tc>
        <w:tc>
          <w:tcPr>
            <w:tcW w:w="100" w:type="dxa"/>
            <w:vAlign w:val="bottom"/>
          </w:tcPr>
          <w:p>
            <w:pPr>
              <w:spacing w:after="0"/>
              <w:rPr>
                <w:sz w:val="14"/>
                <w:szCs w:val="14"/>
                <w:color w:val="auto"/>
              </w:rPr>
            </w:pPr>
          </w:p>
        </w:tc>
        <w:tc>
          <w:tcPr>
            <w:tcW w:w="2520" w:type="dxa"/>
            <w:vAlign w:val="bottom"/>
            <w:gridSpan w:val="7"/>
          </w:tcPr>
          <w:p>
            <w:pPr>
              <w:jc w:val="center"/>
              <w:ind w:right="132"/>
              <w:spacing w:after="0"/>
              <w:rPr>
                <w:sz w:val="20"/>
                <w:szCs w:val="20"/>
                <w:color w:val="auto"/>
              </w:rPr>
            </w:pPr>
            <w:r>
              <w:rPr>
                <w:rFonts w:ascii="Arial" w:cs="Arial" w:eastAsia="Arial" w:hAnsi="Arial"/>
                <w:sz w:val="14"/>
                <w:szCs w:val="14"/>
                <w:b w:val="1"/>
                <w:bCs w:val="1"/>
                <w:color w:val="auto"/>
                <w:w w:val="94"/>
              </w:rPr>
              <w:t>Year Ended March 31, 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7"/>
          </w:tcPr>
          <w:p>
            <w:pPr>
              <w:jc w:val="right"/>
              <w:ind w:right="312"/>
              <w:spacing w:after="0"/>
              <w:rPr>
                <w:sz w:val="20"/>
                <w:szCs w:val="20"/>
                <w:color w:val="auto"/>
              </w:rPr>
            </w:pPr>
            <w:r>
              <w:rPr>
                <w:rFonts w:ascii="Arial" w:cs="Arial" w:eastAsia="Arial" w:hAnsi="Arial"/>
                <w:sz w:val="14"/>
                <w:szCs w:val="14"/>
                <w:b w:val="1"/>
                <w:bCs w:val="1"/>
                <w:color w:val="auto"/>
              </w:rPr>
              <w:t>Year Ended March 31, 2019</w:t>
            </w:r>
          </w:p>
        </w:tc>
      </w:tr>
      <w:tr>
        <w:trPr>
          <w:trHeight w:val="156"/>
        </w:trPr>
        <w:tc>
          <w:tcPr>
            <w:tcW w:w="3460" w:type="dxa"/>
            <w:vAlign w:val="bottom"/>
          </w:tcPr>
          <w:p>
            <w:pPr>
              <w:spacing w:after="0"/>
              <w:rPr>
                <w:sz w:val="13"/>
                <w:szCs w:val="13"/>
                <w:color w:val="auto"/>
              </w:rPr>
            </w:pPr>
          </w:p>
        </w:tc>
        <w:tc>
          <w:tcPr>
            <w:tcW w:w="86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Product</w:t>
            </w:r>
          </w:p>
        </w:tc>
        <w:tc>
          <w:tcPr>
            <w:tcW w:w="8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Services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Product</w:t>
            </w:r>
          </w:p>
        </w:tc>
        <w:tc>
          <w:tcPr>
            <w:tcW w:w="88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86"/>
              </w:rPr>
              <w:t>Services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760" w:type="dxa"/>
            <w:vAlign w:val="bottom"/>
            <w:tcBorders>
              <w:top w:val="single" w:sz="8" w:color="auto"/>
            </w:tcBorders>
            <w:gridSpan w:val="2"/>
          </w:tcPr>
          <w:p>
            <w:pPr>
              <w:jc w:val="right"/>
              <w:ind w:right="112"/>
              <w:spacing w:after="0" w:line="155" w:lineRule="exact"/>
              <w:rPr>
                <w:sz w:val="20"/>
                <w:szCs w:val="20"/>
                <w:color w:val="auto"/>
              </w:rPr>
            </w:pPr>
            <w:r>
              <w:rPr>
                <w:rFonts w:ascii="Arial" w:cs="Arial" w:eastAsia="Arial" w:hAnsi="Arial"/>
                <w:sz w:val="14"/>
                <w:szCs w:val="14"/>
                <w:b w:val="1"/>
                <w:bCs w:val="1"/>
                <w:color w:val="auto"/>
              </w:rPr>
              <w:t>Product</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w w:val="97"/>
              </w:rPr>
              <w:t>Services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1,301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2,579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w:t>
            </w:r>
          </w:p>
        </w:tc>
      </w:tr>
      <w:tr>
        <w:trPr>
          <w:trHeight w:val="230"/>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0"/>
              </w:rPr>
              <w:t>83,963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28,211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112,174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9"/>
              </w:rPr>
              <w:t>110,742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37,110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147,852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0"/>
              </w:rPr>
              <w:t>49,963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8,851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58,814</w:t>
            </w: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0"/>
              </w:rPr>
              <w:t>84,659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0"/>
              </w:rPr>
              <w:t>29,176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6"/>
              </w:rPr>
              <w:t>113,835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89"/>
              </w:rPr>
              <w:t>111,664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0"/>
              </w:rPr>
              <w:t>37,489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9"/>
              </w:rPr>
              <w:t>149,153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0"/>
              </w:rPr>
              <w:t>52,542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9,493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62,035</w:t>
            </w: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Solar energy related revenues</w:t>
            </w:r>
          </w:p>
        </w:tc>
        <w:tc>
          <w:tcPr>
            <w:tcW w:w="12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Total revenues from contracts with customers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0"/>
              </w:rPr>
              <w:t>84,716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29,176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113,892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89"/>
              </w:rPr>
              <w:t>111,720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37,489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9"/>
              </w:rPr>
              <w:t>149,209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0"/>
              </w:rPr>
              <w:t>52,599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9,493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62,092</w:t>
            </w:r>
          </w:p>
        </w:tc>
      </w:tr>
      <w:tr>
        <w:trPr>
          <w:trHeight w:val="223"/>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Revenue accounted for under other guidance</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3,662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w:t>
            </w:r>
          </w:p>
        </w:tc>
      </w:tr>
      <w:tr>
        <w:trPr>
          <w:trHeight w:val="223"/>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0"/>
              </w:rPr>
              <w:t>87,664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29,176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116,840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89"/>
              </w:rPr>
              <w:t>113,352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37,489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9"/>
              </w:rPr>
              <w:t>150,841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0"/>
              </w:rPr>
              <w:t>56,261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9,493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65,754</w:t>
            </w: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Considerations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payments for material only orders are due shortly after shipment.</w:t>
      </w:r>
    </w:p>
    <w:p>
      <w:pPr>
        <w:spacing w:after="0" w:line="225"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Turnkey projects where the end-user is a commercial or industrial company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65"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70" w:lineRule="exact"/>
        <w:rPr>
          <w:sz w:val="20"/>
          <w:szCs w:val="20"/>
          <w:color w:val="auto"/>
        </w:rPr>
      </w:pPr>
    </w:p>
    <w:p>
      <w:pPr>
        <w:jc w:val="both"/>
        <w:ind w:firstLine="499"/>
        <w:spacing w:after="0" w:line="272" w:lineRule="auto"/>
        <w:rPr>
          <w:sz w:val="20"/>
          <w:szCs w:val="20"/>
          <w:color w:val="auto"/>
        </w:rPr>
      </w:pPr>
      <w:r>
        <w:rPr>
          <w:rFonts w:ascii="Arial" w:cs="Arial" w:eastAsia="Arial" w:hAnsi="Arial"/>
          <w:sz w:val="17"/>
          <w:szCs w:val="17"/>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77" w:lineRule="exact"/>
        <w:rPr>
          <w:sz w:val="20"/>
          <w:szCs w:val="20"/>
          <w:color w:val="auto"/>
        </w:rPr>
      </w:pPr>
    </w:p>
    <w:p>
      <w:pPr>
        <w:jc w:val="both"/>
        <w:ind w:firstLine="499"/>
        <w:spacing w:after="0" w:line="340" w:lineRule="auto"/>
        <w:rPr>
          <w:sz w:val="20"/>
          <w:szCs w:val="20"/>
          <w:color w:val="auto"/>
        </w:rPr>
      </w:pPr>
      <w:r>
        <w:rPr>
          <w:rFonts w:ascii="Arial" w:cs="Arial" w:eastAsia="Arial" w:hAnsi="Arial"/>
          <w:sz w:val="15"/>
          <w:szCs w:val="15"/>
          <w:color w:val="auto"/>
        </w:rPr>
        <w:t>The payments associated with these transactions that are due during the twelve months subsequent to March 31, 2021 are included in Accounts receivable, net in Orion’s Consolidated Balance Sheets. The remaining amounts due that are associated with these transactions are included in Long-term accounts receivable in Orion’s Consolidated Balance Sheets. As of March 31, 2021, there were no such transactions included in Long-term accounts receivable.</w:t>
      </w:r>
    </w:p>
    <w:p>
      <w:pPr>
        <w:spacing w:after="0" w:line="131"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6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total amount received from the sales of these receivables during the twelve months ended March 31, 2021, 2020, and 2019 was $5.1 million, $4.4 million, and $6.9 million, respectively. Orion’s losses on these sales aggregated to $0.1 million, $0.1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jc w:val="both"/>
        <w:ind w:right="20"/>
        <w:spacing w:after="0" w:line="277" w:lineRule="auto"/>
        <w:rPr>
          <w:sz w:val="20"/>
          <w:szCs w:val="20"/>
          <w:color w:val="auto"/>
        </w:rPr>
      </w:pPr>
      <w:r>
        <w:rPr>
          <w:rFonts w:ascii="Arial" w:cs="Arial" w:eastAsia="Arial" w:hAnsi="Arial"/>
          <w:sz w:val="18"/>
          <w:szCs w:val="18"/>
          <w:color w:val="auto"/>
        </w:rPr>
        <w:t>and $0.3 million for the twelve months ended March 31, 2021, 2020, and 2019, respectively, and are included in Interest expense in the Consolidated Statements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8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70"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March 31, 2021 and March 31, 2020 includes $0.6 million and $39 thousand, respectively, which was not derived from contracts with customers and therefore not classified as a contract asset as defined by the new standards.</w:t>
      </w:r>
    </w:p>
    <w:p>
      <w:pPr>
        <w:spacing w:after="0" w:line="188"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Long term accounts receivable as of March 31, 2020, includes $0.6 million of contract assets related to the service portion of the long-term financing agreement provided one customer.</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Deferred revenue, current as of March 31, 2021, includes $11 thousand of contract liabilities which represented consideration received from customers prior to the point that Orion has fulfilled the promises included in a performance obligation and recorded revenue.</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chart shows the balance of Orion’s receivables arising from contracts with customers, contract assets and contract liabilities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March 31, 2020, after the adoption of the new standards (dollars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48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13,572</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10,427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Contract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2,367</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1,082</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31</w:t>
            </w:r>
          </w:p>
        </w:tc>
      </w:tr>
    </w:tbl>
    <w:p>
      <w:pPr>
        <w:spacing w:after="0" w:line="242"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5 — ACCOUNTS RECEIVABLE</w:t>
      </w:r>
    </w:p>
    <w:p>
      <w:pPr>
        <w:spacing w:after="0" w:line="121"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66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6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13,583</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10,455</w:t>
            </w: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doubtful accounts</w:t>
            </w:r>
          </w:p>
        </w:tc>
        <w:tc>
          <w:tcPr>
            <w:tcW w:w="26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6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13,572</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10,427</w:t>
            </w:r>
          </w:p>
        </w:tc>
      </w:tr>
      <w:tr>
        <w:trPr>
          <w:trHeight w:val="20"/>
        </w:trPr>
        <w:tc>
          <w:tcPr>
            <w:tcW w:w="5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121"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Orion reduces the carrying value of its inventories for differences between the cost and estimated net realizable value, taking into consideration usage in the preceding 9 to 12 months, expected demand, and other information indicating obsolescence. Orion records, as a charge to cost of product revenue, the amount required to reduce the carrying value of inventory to net realizable value. As of March 31, 2021 and 2020, Orion's inventory balances were as follows (dollars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Excess and</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1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Reserve</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March 31, 2021</w:t>
            </w:r>
          </w:p>
        </w:tc>
        <w:tc>
          <w:tcPr>
            <w:tcW w:w="20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6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12,410</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(967)</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11,443</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Finished goods</w:t>
            </w:r>
          </w:p>
        </w:tc>
        <w:tc>
          <w:tcPr>
            <w:tcW w:w="20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8,295</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21,463</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19,554</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As of March 31, 2020</w:t>
            </w:r>
          </w:p>
        </w:tc>
        <w:tc>
          <w:tcPr>
            <w:tcW w:w="2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Raw materials and components</w:t>
            </w:r>
          </w:p>
        </w:tc>
        <w:tc>
          <w:tcPr>
            <w:tcW w:w="286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9,639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8,395</w:t>
            </w: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Work in process</w:t>
            </w: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Finished goods</w:t>
            </w:r>
          </w:p>
        </w:tc>
        <w:tc>
          <w:tcPr>
            <w:tcW w:w="20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6,598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23"/>
        </w:trPr>
        <w:tc>
          <w:tcPr>
            <w:tcW w:w="4580" w:type="dxa"/>
            <w:vAlign w:val="bottom"/>
          </w:tcPr>
          <w:p>
            <w:pPr>
              <w:ind w:left="50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16,936</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121"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Prepaid expenses and other current assets consist primarily of prepaid subscription fees, prepaid insurance premiums, debt issue costs, and sales tax receivable.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8 — PROPERTY AND EQUIPMENT</w:t>
      </w:r>
    </w:p>
    <w:p>
      <w:pPr>
        <w:spacing w:after="0" w:line="121" w:lineRule="exact"/>
        <w:rPr>
          <w:sz w:val="20"/>
          <w:szCs w:val="20"/>
          <w:color w:val="auto"/>
        </w:rPr>
      </w:pPr>
    </w:p>
    <w:p>
      <w:pPr>
        <w:jc w:val="both"/>
        <w:ind w:firstLine="494"/>
        <w:spacing w:after="0" w:line="311" w:lineRule="auto"/>
        <w:rPr>
          <w:sz w:val="20"/>
          <w:szCs w:val="20"/>
          <w:color w:val="auto"/>
        </w:rPr>
      </w:pPr>
      <w:r>
        <w:rPr>
          <w:rFonts w:ascii="Arial" w:cs="Arial" w:eastAsia="Arial" w:hAnsi="Arial"/>
          <w:sz w:val="16"/>
          <w:szCs w:val="16"/>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4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79"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As of March 31, 2020, due to the forecasted change in the macroeconomic conditions due to the COVID-19 pandemic, a triggering event occurred requiring Orion to evaluate its long-lived assets for impairment. Due to the central nature of its operations, Orion’s tangible and intangible definite-lived assets support its full operations, are utilized by all three of its reportable segments, and do not generate separately identifiable cash flows. As such, these assets together represent a single asset group. Orion performed the recoverability test for the asset group by comparing its carrying value to the group’s expected future undiscounted cash flows. Orion concluded that the undiscounted cash flows of the long-lived asset group exceeded its carrying value. As such the asset group was deemed recoverable and no impairment was recorded.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48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433</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9,477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9,470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7,372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7,270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324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Plant equipment</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12,451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12,021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w:t>
            </w: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35,205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34,530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(23,836)</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(22,713)</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11,369</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11,817</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Depreciation is recognized over the estimated useful lives of the respective assets, using the straight-line method. Orion recorded depreciation expense of $1.2 million, $1.2 million and $1.3 million for the years ended March 31, 2021, 2020 and 2019,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Depreciable lives by asset category are as follows:</w:t>
            </w:r>
          </w:p>
        </w:tc>
        <w:tc>
          <w:tcPr>
            <w:tcW w:w="3840" w:type="dxa"/>
            <w:vAlign w:val="bottom"/>
          </w:tcPr>
          <w:p>
            <w:pPr>
              <w:spacing w:after="0"/>
              <w:rPr>
                <w:sz w:val="20"/>
                <w:szCs w:val="20"/>
                <w:color w:val="auto"/>
              </w:rPr>
            </w:pPr>
          </w:p>
        </w:tc>
      </w:tr>
      <w:tr>
        <w:trPr>
          <w:trHeight w:val="243"/>
        </w:trPr>
        <w:tc>
          <w:tcPr>
            <w:tcW w:w="740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Land improvements</w:t>
            </w:r>
          </w:p>
        </w:tc>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10-15 years</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3840" w:type="dxa"/>
            <w:vAlign w:val="bottom"/>
          </w:tcPr>
          <w:p>
            <w:pPr>
              <w:ind w:left="500"/>
              <w:spacing w:after="0"/>
              <w:rPr>
                <w:sz w:val="20"/>
                <w:szCs w:val="20"/>
                <w:color w:val="auto"/>
              </w:rPr>
            </w:pPr>
            <w:r>
              <w:rPr>
                <w:rFonts w:ascii="Arial" w:cs="Arial" w:eastAsia="Arial" w:hAnsi="Arial"/>
                <w:sz w:val="18"/>
                <w:szCs w:val="18"/>
                <w:color w:val="auto"/>
              </w:rPr>
              <w:t>10-39 years</w:t>
            </w: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2-10 years</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40" w:type="dxa"/>
            <w:vAlign w:val="bottom"/>
          </w:tcPr>
          <w:p>
            <w:pPr>
              <w:ind w:left="500"/>
              <w:spacing w:after="0"/>
              <w:rPr>
                <w:sz w:val="20"/>
                <w:szCs w:val="20"/>
                <w:color w:val="auto"/>
              </w:rPr>
            </w:pPr>
            <w:r>
              <w:rPr>
                <w:rFonts w:ascii="Arial" w:cs="Arial" w:eastAsia="Arial" w:hAnsi="Arial"/>
                <w:sz w:val="18"/>
                <w:szCs w:val="18"/>
                <w:color w:val="auto"/>
              </w:rPr>
              <w:t>Shorter of asset life or life of lease</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 under Power Purchase Agreements</w:t>
            </w:r>
          </w:p>
        </w:tc>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20 years</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Plant equipment</w:t>
            </w:r>
          </w:p>
        </w:tc>
        <w:tc>
          <w:tcPr>
            <w:tcW w:w="3840" w:type="dxa"/>
            <w:vAlign w:val="bottom"/>
          </w:tcPr>
          <w:p>
            <w:pPr>
              <w:ind w:left="500"/>
              <w:spacing w:after="0"/>
              <w:rPr>
                <w:sz w:val="20"/>
                <w:szCs w:val="20"/>
                <w:color w:val="auto"/>
              </w:rPr>
            </w:pPr>
            <w:r>
              <w:rPr>
                <w:rFonts w:ascii="Arial" w:cs="Arial" w:eastAsia="Arial" w:hAnsi="Arial"/>
                <w:sz w:val="18"/>
                <w:szCs w:val="18"/>
                <w:color w:val="auto"/>
              </w:rPr>
              <w:t>3-10 years</w:t>
            </w:r>
          </w:p>
        </w:tc>
      </w:tr>
      <w:tr>
        <w:trPr>
          <w:trHeight w:val="458"/>
        </w:trPr>
        <w:tc>
          <w:tcPr>
            <w:tcW w:w="7400" w:type="dxa"/>
            <w:vAlign w:val="bottom"/>
          </w:tcPr>
          <w:p>
            <w:pPr>
              <w:ind w:left="500"/>
              <w:spacing w:after="0"/>
              <w:rPr>
                <w:sz w:val="20"/>
                <w:szCs w:val="20"/>
                <w:color w:val="auto"/>
              </w:rPr>
            </w:pPr>
            <w:r>
              <w:rPr>
                <w:rFonts w:ascii="Arial" w:cs="Arial" w:eastAsia="Arial" w:hAnsi="Arial"/>
                <w:sz w:val="18"/>
                <w:szCs w:val="18"/>
                <w:color w:val="auto"/>
                <w:w w:val="98"/>
              </w:rPr>
              <w:t>No interest was capitalized for construction in progress during fiscal 2021 or fiscal 2020.</w:t>
            </w:r>
          </w:p>
        </w:tc>
        <w:tc>
          <w:tcPr>
            <w:tcW w:w="384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75"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From time to time, Orion leases assets from third parties. Orion also leases certain assets to third parties. Effective April 1, 2019, leases are accounted for, and reported upon, following the requirements of ASC 842, Leases.</w:t>
      </w:r>
    </w:p>
    <w:p>
      <w:pPr>
        <w:spacing w:after="0" w:line="116"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judgement considers matters such as whether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judgement are the lease term when the agreement includes renewal or termination options and the interest rate used when initially determining the ROU asset and lease liability.</w:t>
      </w:r>
    </w:p>
    <w:p>
      <w:pPr>
        <w:spacing w:after="0" w:line="13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24"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color w:val="auto"/>
        </w:rPr>
        <w:t>Orion recognizes lease expense for leases with an initial term of 12 months or less, referred to as short term leases, on a straight-line basis over the lease term.</w:t>
      </w:r>
    </w:p>
    <w:p>
      <w:pPr>
        <w:spacing w:after="0" w:line="116"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from Other Parties</w:t>
      </w:r>
    </w:p>
    <w:p>
      <w:pPr>
        <w:spacing w:after="0" w:line="171"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On January 31, 2020, Orion entered into the current lease for its approximately 266,000 square foot primary manufacturing and distribution facility in Manitowoc, WI. The lease has a 10-year term, with the option to terminate after six years. Orion is responsible for the costs of insurance and utilities for the facility. These costs are considered variable lease costs. The agreement is classified as an operating lease.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prior lease agreement for this facility provided the lessor the right to terminate the lease agreement at any time with 12 months’ notice to Orion.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agreement was previously classified as a short-term lease.</w:t>
      </w:r>
    </w:p>
    <w:p>
      <w:pPr>
        <w:spacing w:after="0" w:line="157"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In February 2014, Orion entered into a multi-year lease agreement for use of approximately 10,500 square feet of office space in a multi-use office building in Jacksonville, Florida. The lease has since been extended, most recently during the first quarter of fiscal 2021, and presently terminates on June 30, 2023. The agreement is classified as an operating lease.</w:t>
      </w:r>
    </w:p>
    <w:p>
      <w:pPr>
        <w:spacing w:after="0" w:line="130"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Orion has leased other assets from third parties, principally office and production equipment. The terms of our other leases vary from contract to contract and expire at various dates in the next five years.</w:t>
      </w:r>
    </w:p>
    <w:p>
      <w:pPr>
        <w:spacing w:after="0" w:line="116"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color w:val="auto"/>
        </w:rPr>
        <w:t>The weighted average discount rate for Orion’s lease obligations as of March 31, 2021 is 5.4%. The weighted average remaining lease term as of March 31, 2021 is 4.6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8" w:name="page69"/>
    <w:bookmarkEnd w:id="68"/>
    <w:p>
      <w:pPr>
        <w:ind w:left="48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4280" w:type="dxa"/>
            <w:vAlign w:val="bottom"/>
            <w:gridSpan w:val="3"/>
          </w:tcPr>
          <w:p>
            <w:pPr>
              <w:ind w:left="700"/>
              <w:spacing w:after="0"/>
              <w:rPr>
                <w:sz w:val="20"/>
                <w:szCs w:val="20"/>
                <w:color w:val="auto"/>
              </w:rPr>
            </w:pPr>
            <w:r>
              <w:rPr>
                <w:rFonts w:ascii="Arial" w:cs="Arial" w:eastAsia="Arial" w:hAnsi="Arial"/>
                <w:sz w:val="14"/>
                <w:szCs w:val="14"/>
                <w:b w:val="1"/>
                <w:bCs w:val="1"/>
                <w:color w:val="auto"/>
              </w:rPr>
              <w:t>Balance sheet classification</w:t>
            </w:r>
          </w:p>
        </w:tc>
        <w:tc>
          <w:tcPr>
            <w:tcW w:w="260" w:type="dxa"/>
            <w:vAlign w:val="bottom"/>
          </w:tcPr>
          <w:p>
            <w:pPr>
              <w:spacing w:after="0"/>
              <w:rPr>
                <w:sz w:val="14"/>
                <w:szCs w:val="14"/>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Pr>
          <w:p>
            <w:pPr>
              <w:spacing w:after="0"/>
              <w:rPr>
                <w:sz w:val="14"/>
                <w:szCs w:val="14"/>
                <w:color w:val="auto"/>
              </w:rPr>
            </w:pPr>
          </w:p>
        </w:tc>
        <w:tc>
          <w:tcPr>
            <w:tcW w:w="1720" w:type="dxa"/>
            <w:vAlign w:val="bottom"/>
          </w:tcPr>
          <w:p>
            <w:pPr>
              <w:jc w:val="right"/>
              <w:ind w:right="514"/>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CFF0FC"/>
            </w:tcBorders>
            <w:shd w:val="clear" w:color="auto" w:fill="CFF0FC"/>
          </w:tcPr>
          <w:p>
            <w:pPr>
              <w:spacing w:after="0"/>
              <w:rPr>
                <w:sz w:val="19"/>
                <w:szCs w:val="19"/>
                <w:color w:val="auto"/>
              </w:rPr>
            </w:pPr>
          </w:p>
        </w:tc>
        <w:tc>
          <w:tcPr>
            <w:tcW w:w="3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280" w:type="dxa"/>
            <w:vAlign w:val="bottom"/>
            <w:gridSpan w:val="3"/>
          </w:tcPr>
          <w:p>
            <w:pPr>
              <w:ind w:left="70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2,585</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2,745</w:t>
            </w: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70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4280" w:type="dxa"/>
            <w:vAlign w:val="bottom"/>
            <w:gridSpan w:val="3"/>
            <w:shd w:val="clear" w:color="auto" w:fill="CFF0FC"/>
          </w:tcPr>
          <w:p>
            <w:pPr>
              <w:ind w:left="700"/>
              <w:spacing w:after="0"/>
              <w:rPr>
                <w:sz w:val="20"/>
                <w:szCs w:val="20"/>
                <w:color w:val="auto"/>
              </w:rPr>
            </w:pPr>
            <w:r>
              <w:rPr>
                <w:rFonts w:ascii="Arial" w:cs="Arial" w:eastAsia="Arial" w:hAnsi="Arial"/>
                <w:sz w:val="18"/>
                <w:szCs w:val="18"/>
                <w:color w:val="auto"/>
              </w:rPr>
              <w:t>Accrued expenses and other</w:t>
            </w: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691</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4280" w:type="dxa"/>
            <w:vAlign w:val="bottom"/>
            <w:gridSpan w:val="3"/>
            <w:shd w:val="clear" w:color="auto" w:fill="CFF0FC"/>
          </w:tcPr>
          <w:p>
            <w:pPr>
              <w:ind w:left="70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2,642</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2,830</w:t>
            </w:r>
          </w:p>
        </w:tc>
      </w:tr>
      <w:tr>
        <w:trPr>
          <w:trHeight w:val="223"/>
        </w:trPr>
        <w:tc>
          <w:tcPr>
            <w:tcW w:w="2780" w:type="dxa"/>
            <w:vAlign w:val="bottom"/>
          </w:tcPr>
          <w:p>
            <w:pPr>
              <w:ind w:left="500"/>
              <w:spacing w:after="0"/>
              <w:rPr>
                <w:sz w:val="20"/>
                <w:szCs w:val="20"/>
                <w:color w:val="auto"/>
              </w:rPr>
            </w:pPr>
            <w:r>
              <w:rPr>
                <w:rFonts w:ascii="Arial" w:cs="Arial" w:eastAsia="Arial" w:hAnsi="Arial"/>
                <w:sz w:val="18"/>
                <w:szCs w:val="18"/>
                <w:color w:val="auto"/>
              </w:rPr>
              <w:t>Total lease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3,289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3,521</w:t>
            </w:r>
          </w:p>
        </w:tc>
      </w:tr>
      <w:tr>
        <w:trPr>
          <w:trHeight w:val="20"/>
        </w:trPr>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68"/>
        <w:spacing w:after="0" w:line="277" w:lineRule="auto"/>
        <w:rPr>
          <w:sz w:val="20"/>
          <w:szCs w:val="20"/>
          <w:color w:val="auto"/>
        </w:rPr>
      </w:pPr>
      <w:r>
        <w:rPr>
          <w:rFonts w:ascii="Arial" w:cs="Arial" w:eastAsia="Arial" w:hAnsi="Arial"/>
          <w:sz w:val="18"/>
          <w:szCs w:val="18"/>
          <w:color w:val="auto"/>
        </w:rPr>
        <w:t>Orion had operating lease costs of $0.9 million for the year ended March 31, 2021. This includes short-term leases and variable lease costs, which are immaterial.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40" w:type="dxa"/>
            <w:vAlign w:val="bottom"/>
          </w:tcPr>
          <w:p>
            <w:pPr>
              <w:ind w:left="500"/>
              <w:spacing w:after="0"/>
              <w:rPr>
                <w:sz w:val="20"/>
                <w:szCs w:val="20"/>
                <w:color w:val="auto"/>
              </w:rPr>
            </w:pPr>
            <w:r>
              <w:rPr>
                <w:rFonts w:ascii="Arial" w:cs="Arial" w:eastAsia="Arial" w:hAnsi="Arial"/>
                <w:sz w:val="18"/>
                <w:szCs w:val="18"/>
                <w:color w:val="auto"/>
                <w:w w:val="99"/>
              </w:rPr>
              <w:t>The estimated maturity of lease liabilities for each of the next five years is shown below (dollars in thousands):</w:t>
            </w: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4"/>
        </w:trPr>
        <w:tc>
          <w:tcPr>
            <w:tcW w:w="924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1400" w:type="dxa"/>
            <w:vAlign w:val="bottom"/>
          </w:tcPr>
          <w:p>
            <w:pPr>
              <w:spacing w:after="0"/>
              <w:rPr>
                <w:sz w:val="20"/>
                <w:szCs w:val="20"/>
                <w:color w:val="auto"/>
              </w:rPr>
            </w:pPr>
            <w:r>
              <w:rPr>
                <w:rFonts w:ascii="Arial" w:cs="Arial" w:eastAsia="Arial" w:hAnsi="Arial"/>
                <w:sz w:val="18"/>
                <w:szCs w:val="18"/>
                <w:b w:val="1"/>
                <w:bCs w:val="1"/>
                <w:color w:val="auto"/>
                <w:w w:val="91"/>
              </w:rPr>
              <w:t>Operating Leases</w:t>
            </w:r>
          </w:p>
        </w:tc>
        <w:tc>
          <w:tcPr>
            <w:tcW w:w="600" w:type="dxa"/>
            <w:vAlign w:val="bottom"/>
          </w:tcPr>
          <w:p>
            <w:pPr>
              <w:spacing w:after="0"/>
              <w:rPr>
                <w:sz w:val="20"/>
                <w:szCs w:val="20"/>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810</w:t>
            </w: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Fiscal 2023</w:t>
            </w:r>
          </w:p>
        </w:tc>
        <w:tc>
          <w:tcPr>
            <w:tcW w:w="14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820</w:t>
            </w: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14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746</w:t>
            </w: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Fiscal 2025</w:t>
            </w:r>
          </w:p>
        </w:tc>
        <w:tc>
          <w:tcPr>
            <w:tcW w:w="14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735</w:t>
            </w: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2026</w:t>
            </w:r>
          </w:p>
        </w:tc>
        <w:tc>
          <w:tcPr>
            <w:tcW w:w="14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628</w:t>
            </w:r>
          </w:p>
        </w:tc>
      </w:tr>
      <w:tr>
        <w:trPr>
          <w:trHeight w:val="223"/>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payments</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3,739</w:t>
            </w:r>
          </w:p>
        </w:tc>
      </w:tr>
      <w:tr>
        <w:trPr>
          <w:trHeight w:val="223"/>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Interest</w:t>
            </w:r>
          </w:p>
        </w:tc>
        <w:tc>
          <w:tcPr>
            <w:tcW w:w="14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3,289</w:t>
            </w:r>
          </w:p>
        </w:tc>
      </w:tr>
      <w:tr>
        <w:trPr>
          <w:trHeight w:val="20"/>
        </w:trPr>
        <w:tc>
          <w:tcPr>
            <w:tcW w:w="9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34"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9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Consolidated Statement of Operations. These amounts are recorded for each fixture separately based on the customer’s monthly acknowledgment that specified fixtures have been installed and are operating as specified. The execution of the acknowledgement is considered the commencement date as defined in ASC 842.</w:t>
      </w:r>
    </w:p>
    <w:p>
      <w:pPr>
        <w:spacing w:after="0" w:line="133" w:lineRule="exact"/>
        <w:rPr>
          <w:sz w:val="20"/>
          <w:szCs w:val="20"/>
          <w:color w:val="auto"/>
        </w:rPr>
      </w:pPr>
    </w:p>
    <w:p>
      <w:pPr>
        <w:jc w:val="both"/>
        <w:ind w:firstLine="468"/>
        <w:spacing w:after="0" w:line="277"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year ended March 31, 2021 and 2020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960" w:type="dxa"/>
            <w:vAlign w:val="bottom"/>
          </w:tcPr>
          <w:p>
            <w:pPr>
              <w:jc w:val="right"/>
              <w:ind w:right="79"/>
              <w:spacing w:after="0"/>
              <w:rPr>
                <w:sz w:val="20"/>
                <w:szCs w:val="20"/>
                <w:color w:val="auto"/>
              </w:rPr>
            </w:pPr>
            <w:r>
              <w:rPr>
                <w:rFonts w:ascii="Arial" w:cs="Arial" w:eastAsia="Arial" w:hAnsi="Arial"/>
                <w:sz w:val="14"/>
                <w:szCs w:val="14"/>
                <w:b w:val="1"/>
                <w:bCs w:val="1"/>
                <w:color w:val="auto"/>
              </w:rPr>
              <w:t>March 31, 2021</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tcPr>
          <w:p>
            <w:pPr>
              <w:jc w:val="right"/>
              <w:ind w:right="776"/>
              <w:spacing w:after="0"/>
              <w:rPr>
                <w:sz w:val="20"/>
                <w:szCs w:val="20"/>
                <w:color w:val="auto"/>
              </w:rPr>
            </w:pPr>
            <w:r>
              <w:rPr>
                <w:rFonts w:ascii="Arial" w:cs="Arial" w:eastAsia="Arial" w:hAnsi="Arial"/>
                <w:sz w:val="14"/>
                <w:szCs w:val="14"/>
                <w:b w:val="1"/>
                <w:bCs w:val="1"/>
                <w:color w:val="auto"/>
              </w:rPr>
              <w:t>March 31, 2020</w:t>
            </w:r>
          </w:p>
        </w:tc>
      </w:tr>
      <w:tr>
        <w:trPr>
          <w:trHeight w:val="24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3960" w:type="dxa"/>
            <w:vAlign w:val="bottom"/>
            <w:shd w:val="clear" w:color="auto" w:fill="CFF0FC"/>
          </w:tcPr>
          <w:p>
            <w:pPr>
              <w:jc w:val="right"/>
              <w:ind w:right="16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2,758</w:t>
            </w: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1,362</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2,512</w:t>
            </w:r>
          </w:p>
        </w:tc>
        <w:tc>
          <w:tcPr>
            <w:tcW w:w="560" w:type="dxa"/>
            <w:vAlign w:val="bottom"/>
          </w:tcPr>
          <w:p>
            <w:pPr>
              <w:spacing w:after="0"/>
              <w:rPr>
                <w:sz w:val="21"/>
                <w:szCs w:val="21"/>
                <w:color w:val="auto"/>
              </w:rPr>
            </w:pPr>
          </w:p>
        </w:tc>
        <w:tc>
          <w:tcPr>
            <w:tcW w:w="2140" w:type="dxa"/>
            <w:vAlign w:val="bottom"/>
          </w:tcPr>
          <w:p>
            <w:pPr>
              <w:jc w:val="right"/>
              <w:ind w:right="56"/>
              <w:spacing w:after="0"/>
              <w:rPr>
                <w:sz w:val="20"/>
                <w:szCs w:val="20"/>
                <w:color w:val="auto"/>
              </w:rPr>
            </w:pPr>
            <w:r>
              <w:rPr>
                <w:rFonts w:ascii="Arial" w:cs="Arial" w:eastAsia="Arial" w:hAnsi="Arial"/>
                <w:sz w:val="18"/>
                <w:szCs w:val="18"/>
                <w:color w:val="auto"/>
              </w:rPr>
              <w:t>1,208</w:t>
            </w:r>
          </w:p>
        </w:tc>
      </w:tr>
    </w:tbl>
    <w:p>
      <w:pPr>
        <w:spacing w:after="0" w:line="202" w:lineRule="exact"/>
        <w:rPr>
          <w:sz w:val="20"/>
          <w:szCs w:val="20"/>
          <w:color w:val="auto"/>
        </w:rPr>
      </w:pPr>
    </w:p>
    <w:p>
      <w:pPr>
        <w:jc w:val="both"/>
        <w:ind w:firstLine="468"/>
        <w:spacing w:after="0" w:line="259" w:lineRule="auto"/>
        <w:rPr>
          <w:sz w:val="20"/>
          <w:szCs w:val="20"/>
          <w:color w:val="auto"/>
        </w:rPr>
      </w:pPr>
      <w:r>
        <w:rPr>
          <w:rFonts w:ascii="Arial" w:cs="Arial" w:eastAsia="Arial" w:hAnsi="Arial"/>
          <w:sz w:val="18"/>
          <w:szCs w:val="18"/>
          <w:color w:val="auto"/>
        </w:rPr>
        <w:t>The Consolidated Balance Sheet as of March 31, 2021 does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 The Consolidated Balance Sheet as of March 31, 2020 includes an immaterial amount related to the net investment in sales-type leases.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u w:val="single" w:color="auto"/>
          <w:color w:val="auto"/>
        </w:rPr>
        <w:t>Other Agreements where Orion is the Lessor</w:t>
      </w:r>
    </w:p>
    <w:p>
      <w:pPr>
        <w:spacing w:after="0" w:line="171" w:lineRule="exact"/>
        <w:rPr>
          <w:sz w:val="20"/>
          <w:szCs w:val="20"/>
          <w:color w:val="auto"/>
        </w:rPr>
      </w:pPr>
    </w:p>
    <w:p>
      <w:pPr>
        <w:jc w:val="both"/>
        <w:ind w:firstLine="468"/>
        <w:spacing w:after="0" w:line="311" w:lineRule="auto"/>
        <w:rPr>
          <w:sz w:val="20"/>
          <w:szCs w:val="20"/>
          <w:color w:val="auto"/>
        </w:rPr>
      </w:pPr>
      <w:r>
        <w:rPr>
          <w:rFonts w:ascii="Arial" w:cs="Arial" w:eastAsia="Arial" w:hAnsi="Arial"/>
          <w:sz w:val="16"/>
          <w:szCs w:val="16"/>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years ended March 31, 2021 and 2020. Orion accounts for these transactions as operating leases.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INTANGIBLE ASSETS</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Intangible assets with indefinite lives are not amortized.</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2300" w:type="dxa"/>
            <w:vAlign w:val="bottom"/>
            <w:shd w:val="clear" w:color="auto" w:fill="CFF0FC"/>
          </w:tcPr>
          <w:p>
            <w:pPr>
              <w:ind w:left="960"/>
              <w:spacing w:after="0"/>
              <w:rPr>
                <w:sz w:val="20"/>
                <w:szCs w:val="20"/>
                <w:color w:val="auto"/>
              </w:rPr>
            </w:pPr>
            <w:r>
              <w:rPr>
                <w:rFonts w:ascii="Arial" w:cs="Arial" w:eastAsia="Arial" w:hAnsi="Arial"/>
                <w:sz w:val="18"/>
                <w:szCs w:val="18"/>
                <w:color w:val="auto"/>
              </w:rPr>
              <w:t>10-17 years</w:t>
            </w:r>
          </w:p>
        </w:tc>
        <w:tc>
          <w:tcPr>
            <w:tcW w:w="6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Straight-line</w:t>
            </w:r>
          </w:p>
        </w:tc>
      </w:tr>
      <w:tr>
        <w:trPr>
          <w:trHeight w:val="229"/>
        </w:trPr>
        <w:tc>
          <w:tcPr>
            <w:tcW w:w="2620" w:type="dxa"/>
            <w:vAlign w:val="bottom"/>
          </w:tcPr>
          <w:p>
            <w:pPr>
              <w:spacing w:after="0"/>
              <w:rPr>
                <w:sz w:val="20"/>
                <w:szCs w:val="20"/>
                <w:color w:val="auto"/>
              </w:rPr>
            </w:pPr>
            <w:r>
              <w:rPr>
                <w:rFonts w:ascii="Arial" w:cs="Arial" w:eastAsia="Arial" w:hAnsi="Arial"/>
                <w:sz w:val="18"/>
                <w:szCs w:val="18"/>
                <w:color w:val="auto"/>
              </w:rPr>
              <w:t>Licenses</w:t>
            </w:r>
          </w:p>
        </w:tc>
        <w:tc>
          <w:tcPr>
            <w:tcW w:w="2300" w:type="dxa"/>
            <w:vAlign w:val="bottom"/>
          </w:tcPr>
          <w:p>
            <w:pPr>
              <w:ind w:left="960"/>
              <w:spacing w:after="0"/>
              <w:rPr>
                <w:sz w:val="20"/>
                <w:szCs w:val="20"/>
                <w:color w:val="auto"/>
              </w:rPr>
            </w:pPr>
            <w:r>
              <w:rPr>
                <w:rFonts w:ascii="Arial" w:cs="Arial" w:eastAsia="Arial" w:hAnsi="Arial"/>
                <w:sz w:val="18"/>
                <w:szCs w:val="18"/>
                <w:color w:val="auto"/>
              </w:rPr>
              <w:t>7-13 years</w:t>
            </w:r>
          </w:p>
        </w:tc>
        <w:tc>
          <w:tcPr>
            <w:tcW w:w="6320" w:type="dxa"/>
            <w:vAlign w:val="bottom"/>
          </w:tcPr>
          <w:p>
            <w:pPr>
              <w:ind w:left="480"/>
              <w:spacing w:after="0"/>
              <w:rPr>
                <w:sz w:val="20"/>
                <w:szCs w:val="20"/>
                <w:color w:val="auto"/>
              </w:rPr>
            </w:pPr>
            <w:r>
              <w:rPr>
                <w:rFonts w:ascii="Arial" w:cs="Arial" w:eastAsia="Arial" w:hAnsi="Arial"/>
                <w:sz w:val="18"/>
                <w:szCs w:val="18"/>
                <w:color w:val="auto"/>
              </w:rPr>
              <w:t>Straight-line</w:t>
            </w: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300" w:type="dxa"/>
            <w:vAlign w:val="bottom"/>
            <w:shd w:val="clear" w:color="auto" w:fill="CFF0FC"/>
          </w:tcPr>
          <w:p>
            <w:pPr>
              <w:ind w:left="960"/>
              <w:spacing w:after="0"/>
              <w:rPr>
                <w:sz w:val="20"/>
                <w:szCs w:val="20"/>
                <w:color w:val="auto"/>
              </w:rPr>
            </w:pPr>
            <w:r>
              <w:rPr>
                <w:rFonts w:ascii="Arial" w:cs="Arial" w:eastAsia="Arial" w:hAnsi="Arial"/>
                <w:sz w:val="18"/>
                <w:szCs w:val="18"/>
                <w:color w:val="auto"/>
              </w:rPr>
              <w:t>5-8 years</w:t>
            </w:r>
          </w:p>
        </w:tc>
        <w:tc>
          <w:tcPr>
            <w:tcW w:w="6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Accelerated based upon the pattern of economic benefits</w:t>
            </w:r>
          </w:p>
        </w:tc>
      </w:tr>
      <w:tr>
        <w:trPr>
          <w:trHeight w:val="230"/>
        </w:trPr>
        <w:tc>
          <w:tcPr>
            <w:tcW w:w="2620" w:type="dxa"/>
            <w:vAlign w:val="bottom"/>
            <w:shd w:val="clear" w:color="auto" w:fill="CFF0FC"/>
          </w:tcPr>
          <w:p>
            <w:pPr>
              <w:spacing w:after="0"/>
              <w:rPr>
                <w:sz w:val="20"/>
                <w:szCs w:val="20"/>
                <w:color w:val="auto"/>
              </w:rPr>
            </w:pPr>
          </w:p>
        </w:tc>
        <w:tc>
          <w:tcPr>
            <w:tcW w:w="2300" w:type="dxa"/>
            <w:vAlign w:val="bottom"/>
            <w:shd w:val="clear" w:color="auto" w:fill="CFF0FC"/>
          </w:tcPr>
          <w:p>
            <w:pPr>
              <w:spacing w:after="0"/>
              <w:rPr>
                <w:sz w:val="20"/>
                <w:szCs w:val="20"/>
                <w:color w:val="auto"/>
              </w:rPr>
            </w:pPr>
          </w:p>
        </w:tc>
        <w:tc>
          <w:tcPr>
            <w:tcW w:w="6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consumed</w:t>
            </w: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Developed technology</w:t>
            </w:r>
          </w:p>
        </w:tc>
        <w:tc>
          <w:tcPr>
            <w:tcW w:w="2300" w:type="dxa"/>
            <w:vAlign w:val="bottom"/>
          </w:tcPr>
          <w:p>
            <w:pPr>
              <w:ind w:left="960"/>
              <w:spacing w:after="0"/>
              <w:rPr>
                <w:sz w:val="20"/>
                <w:szCs w:val="20"/>
                <w:color w:val="auto"/>
              </w:rPr>
            </w:pPr>
            <w:r>
              <w:rPr>
                <w:rFonts w:ascii="Arial" w:cs="Arial" w:eastAsia="Arial" w:hAnsi="Arial"/>
                <w:sz w:val="18"/>
                <w:szCs w:val="18"/>
                <w:color w:val="auto"/>
              </w:rPr>
              <w:t>8 years</w:t>
            </w:r>
          </w:p>
        </w:tc>
        <w:tc>
          <w:tcPr>
            <w:tcW w:w="6320" w:type="dxa"/>
            <w:vAlign w:val="bottom"/>
          </w:tcPr>
          <w:p>
            <w:pPr>
              <w:ind w:left="480"/>
              <w:spacing w:after="0"/>
              <w:rPr>
                <w:sz w:val="20"/>
                <w:szCs w:val="20"/>
                <w:color w:val="auto"/>
              </w:rPr>
            </w:pPr>
            <w:r>
              <w:rPr>
                <w:rFonts w:ascii="Arial" w:cs="Arial" w:eastAsia="Arial" w:hAnsi="Arial"/>
                <w:sz w:val="18"/>
                <w:szCs w:val="18"/>
                <w:color w:val="auto"/>
              </w:rPr>
              <w:t>Accelerated based upon the pattern of economic benefits</w:t>
            </w:r>
          </w:p>
        </w:tc>
      </w:tr>
      <w:tr>
        <w:trPr>
          <w:trHeight w:val="230"/>
        </w:trPr>
        <w:tc>
          <w:tcPr>
            <w:tcW w:w="26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320" w:type="dxa"/>
            <w:vAlign w:val="bottom"/>
          </w:tcPr>
          <w:p>
            <w:pPr>
              <w:ind w:left="480"/>
              <w:spacing w:after="0"/>
              <w:rPr>
                <w:sz w:val="20"/>
                <w:szCs w:val="20"/>
                <w:color w:val="auto"/>
              </w:rPr>
            </w:pPr>
            <w:r>
              <w:rPr>
                <w:rFonts w:ascii="Arial" w:cs="Arial" w:eastAsia="Arial" w:hAnsi="Arial"/>
                <w:sz w:val="18"/>
                <w:szCs w:val="18"/>
                <w:color w:val="auto"/>
              </w:rPr>
              <w:t>consumed</w:t>
            </w:r>
          </w:p>
        </w:tc>
      </w:tr>
    </w:tbl>
    <w:p>
      <w:pPr>
        <w:spacing w:after="0" w:line="229"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71"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color w:val="auto"/>
        </w:rPr>
        <w:t>Indefinite lived intangible assets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6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Orion performed a qualitative assessment in conjunction with its annual impairment test of its indefinite lived intangible assets as of January 1, 2021. This qualitative assessment considered Orion’s operating results for the first nine months of fiscal 2021 in comparison to prior years as well as its anticipated fourth quarter results and fiscal 2022 plan. As a result of the conditions that existed as of the assessment date, an asset impairment was not deemed to be more likely than not and a quantitative analysis was not required.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70" w:name="page71"/>
    <w:bookmarkEnd w:id="70"/>
    <w:p>
      <w:pPr>
        <w:ind w:left="50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2021</w:t>
            </w: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2020</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236"/>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25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Amortization</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2,796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921</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2,766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Licenses</w:t>
            </w:r>
          </w:p>
        </w:tc>
        <w:tc>
          <w:tcPr>
            <w:tcW w:w="20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1,011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8,365</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1,952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8,338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March 31, 2021, the weighted average useful life of definite life intangible assets was 3.75 years. The estimated amortization expense for each of the next five years is shown below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Fiscal 2025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Fiscal 2026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8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500"/>
              <w:spacing w:after="0"/>
              <w:rPr>
                <w:sz w:val="20"/>
                <w:szCs w:val="20"/>
                <w:color w:val="auto"/>
              </w:rPr>
            </w:pPr>
            <w:r>
              <w:rPr>
                <w:rFonts w:ascii="Arial" w:cs="Arial" w:eastAsia="Arial" w:hAnsi="Arial"/>
                <w:sz w:val="18"/>
                <w:szCs w:val="18"/>
                <w:color w:val="auto"/>
                <w:w w:val="95"/>
              </w:rPr>
              <w:t>Amortization expense is set forth in the following table (dollars in thousands):</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4"/>
              </w:rPr>
              <w:t>Fiscal Year Ended March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3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included in cost of sales: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Patents</w:t>
            </w:r>
          </w:p>
        </w:tc>
        <w:tc>
          <w:tcPr>
            <w:tcW w:w="116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175</w:t>
            </w:r>
          </w:p>
        </w:tc>
        <w:tc>
          <w:tcPr>
            <w:tcW w:w="560" w:type="dxa"/>
            <w:vAlign w:val="bottom"/>
            <w:gridSpan w:val="3"/>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7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Amortization included in 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560" w:type="dxa"/>
            <w:vAlign w:val="bottom"/>
            <w:gridSpan w:val="3"/>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Developed technology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9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amortization of intangible assets</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359</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Statements of Operations. In fiscal years 2021, 2020, and 2019, write-offs were immaterial.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11 — ACCRUED EXPENSES AND OTHER</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and March 31, 2020, Accrued expenses and other included the following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48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2,851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2,594</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Sales tax</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513</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5,010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1,173</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312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708</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Sales returns reserve</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98</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Credits due to customers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932</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accruals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1,730</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898</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13,226</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7,228</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499"/>
        <w:spacing w:after="0" w:line="263" w:lineRule="auto"/>
        <w:rPr>
          <w:sz w:val="20"/>
          <w:szCs w:val="20"/>
          <w:color w:val="auto"/>
        </w:rPr>
      </w:pPr>
      <w:r>
        <w:rPr>
          <w:rFonts w:ascii="Arial" w:cs="Arial" w:eastAsia="Arial" w:hAnsi="Arial"/>
          <w:sz w:val="18"/>
          <w:szCs w:val="18"/>
          <w:color w:val="auto"/>
        </w:rPr>
        <w:t>Orion generally offers a limited warranty of one to 10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r>
      <w:tr>
        <w:trPr>
          <w:trHeight w:val="155"/>
        </w:trPr>
        <w:tc>
          <w:tcPr>
            <w:tcW w:w="562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2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1,069</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657</w:t>
            </w: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Accruals</w:t>
            </w:r>
          </w:p>
        </w:tc>
        <w:tc>
          <w:tcPr>
            <w:tcW w:w="2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863</w:t>
            </w: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Warranty claims (net of vendor reimbursements)</w:t>
            </w:r>
          </w:p>
        </w:tc>
        <w:tc>
          <w:tcPr>
            <w:tcW w:w="21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Ending balance</w:t>
            </w:r>
          </w:p>
        </w:tc>
        <w:tc>
          <w:tcPr>
            <w:tcW w:w="2100" w:type="dxa"/>
            <w:vAlign w:val="bottom"/>
          </w:tcPr>
          <w:p>
            <w:pPr>
              <w:spacing w:after="0"/>
              <w:rPr>
                <w:sz w:val="19"/>
                <w:szCs w:val="19"/>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1,069</w:t>
            </w:r>
          </w:p>
        </w:tc>
      </w:tr>
      <w:tr>
        <w:trPr>
          <w:trHeight w:val="20"/>
        </w:trPr>
        <w:tc>
          <w:tcPr>
            <w:tcW w:w="5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INCOME (LOSS) PER COMMON SHARE</w:t>
      </w:r>
    </w:p>
    <w:p>
      <w:pPr>
        <w:spacing w:after="0" w:line="121" w:lineRule="exact"/>
        <w:rPr>
          <w:sz w:val="20"/>
          <w:szCs w:val="20"/>
          <w:color w:val="auto"/>
        </w:rPr>
      </w:pPr>
    </w:p>
    <w:p>
      <w:pPr>
        <w:jc w:val="both"/>
        <w:ind w:right="20" w:firstLine="494"/>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70" w:lineRule="exact"/>
        <w:rPr>
          <w:sz w:val="20"/>
          <w:szCs w:val="20"/>
          <w:color w:val="auto"/>
        </w:rPr>
      </w:pPr>
    </w:p>
    <w:p>
      <w:pPr>
        <w:jc w:val="both"/>
        <w:ind w:right="20" w:firstLine="499"/>
        <w:spacing w:after="0" w:line="257" w:lineRule="auto"/>
        <w:rPr>
          <w:sz w:val="20"/>
          <w:szCs w:val="20"/>
          <w:color w:val="auto"/>
        </w:rPr>
      </w:pPr>
      <w:r>
        <w:rPr>
          <w:rFonts w:ascii="Arial" w:cs="Arial" w:eastAsia="Arial" w:hAnsi="Arial"/>
          <w:sz w:val="18"/>
          <w:szCs w:val="18"/>
          <w:color w:val="auto"/>
        </w:rPr>
        <w:t>Diluted net income (loss) per common share reflects the dilution that would occur if stock options were exercised and restricted shares vested. In the computation of diluted net income (loss) per common share, Orion uses the treasury stock method for outstanding options and restricted shares. Because of the net loss for the year ended March 31, 2019 potentially dilutive securities would be anti-dilutive, and therefore diluted net income (loss) per common share is the same as basic net income (loss) per common share for the year ended March 31, 2019. Net income (loss) per common share is calculated based upon the following shares: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Fiscal Year Ended March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63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Net income (loss) (dollars in thousands)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26,134</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12,462</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30,634,553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30,104,552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29,429,540</w:t>
            </w:r>
          </w:p>
        </w:tc>
        <w:tc>
          <w:tcPr>
            <w:tcW w:w="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w w:val="93"/>
              </w:rPr>
              <w:t>Weighted-average effect of assumed conversion of stock options and restricted stock</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669,174</w:t>
            </w: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860,225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63"/>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and share equivalents outstanding</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31,303,727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30,964,777</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29,429,540</w:t>
            </w:r>
          </w:p>
        </w:tc>
        <w:tc>
          <w:tcPr>
            <w:tcW w:w="20" w:type="dxa"/>
            <w:vAlign w:val="bottom"/>
          </w:tcPr>
          <w:p>
            <w:pPr>
              <w:spacing w:after="0"/>
              <w:rPr>
                <w:sz w:val="22"/>
                <w:szCs w:val="22"/>
                <w:color w:val="auto"/>
              </w:rPr>
            </w:pPr>
          </w:p>
        </w:tc>
      </w:tr>
      <w:tr>
        <w:trPr>
          <w:trHeight w:val="21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common share:</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0.85</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5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r>
      <w:tr>
        <w:trPr>
          <w:trHeight w:val="675"/>
        </w:trPr>
        <w:tc>
          <w:tcPr>
            <w:tcW w:w="6360" w:type="dxa"/>
            <w:vAlign w:val="bottom"/>
          </w:tcPr>
          <w:p>
            <w:pPr>
              <w:ind w:left="554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72" w:name="page73"/>
    <w:bookmarkEnd w:id="72"/>
    <w:p>
      <w:pPr>
        <w:jc w:val="both"/>
        <w:ind w:right="20" w:firstLine="499"/>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(loss) per common share because their inclusion would have been anti-dilutive. The number of shares is as of the end of each period:</w:t>
      </w:r>
    </w:p>
    <w:p>
      <w:pPr>
        <w:spacing w:after="0" w:line="270"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164,072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467,836</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Restricted shares</w:t>
            </w:r>
          </w:p>
        </w:tc>
        <w:tc>
          <w:tcPr>
            <w:tcW w:w="9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1,312,593</w:t>
            </w: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164,072</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1,780,429</w:t>
            </w:r>
          </w:p>
        </w:tc>
      </w:tr>
      <w:tr>
        <w:trPr>
          <w:trHeight w:val="20"/>
        </w:trPr>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61"/>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NOTE 13 — LONG-TERM DEBT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7720" w:type="dxa"/>
            <w:vAlign w:val="bottom"/>
            <w:gridSpan w:val="2"/>
          </w:tcPr>
          <w:p>
            <w:pPr>
              <w:ind w:left="500"/>
              <w:spacing w:after="0"/>
              <w:rPr>
                <w:sz w:val="20"/>
                <w:szCs w:val="20"/>
                <w:color w:val="auto"/>
              </w:rPr>
            </w:pPr>
            <w:r>
              <w:rPr>
                <w:rFonts w:ascii="Arial" w:cs="Arial" w:eastAsia="Arial" w:hAnsi="Arial"/>
                <w:sz w:val="18"/>
                <w:szCs w:val="18"/>
                <w:color w:val="auto"/>
                <w:w w:val="94"/>
              </w:rPr>
              <w:t>Long-term debt as of March 31, 2021 and 2020 consisted of the following (dollars in thousands):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3"/>
        </w:trPr>
        <w:tc>
          <w:tcPr>
            <w:tcW w:w="6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1440" w:type="dxa"/>
            <w:vAlign w:val="bottom"/>
            <w:tcBorders>
              <w:bottom w:val="single" w:sz="8" w:color="auto"/>
            </w:tcBorders>
          </w:tcPr>
          <w:p>
            <w:pPr>
              <w:spacing w:after="0"/>
              <w:rPr>
                <w:sz w:val="24"/>
                <w:szCs w:val="2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gridSpan w:val="3"/>
          </w:tcPr>
          <w:p>
            <w:pPr>
              <w:ind w:left="640"/>
              <w:spacing w:after="0" w:line="155" w:lineRule="exact"/>
              <w:rPr>
                <w:sz w:val="20"/>
                <w:szCs w:val="20"/>
                <w:color w:val="auto"/>
              </w:rPr>
            </w:pPr>
            <w:r>
              <w:rPr>
                <w:rFonts w:ascii="Arial" w:cs="Arial" w:eastAsia="Arial" w:hAnsi="Arial"/>
                <w:sz w:val="14"/>
                <w:szCs w:val="14"/>
                <w:b w:val="1"/>
                <w:bCs w:val="1"/>
                <w:color w:val="auto"/>
                <w:w w:val="96"/>
              </w:rPr>
              <w:t>2021</w:t>
            </w:r>
          </w:p>
        </w:tc>
        <w:tc>
          <w:tcPr>
            <w:tcW w:w="7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10,013</w:t>
            </w: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Equipment debt obligations</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10,098</w:t>
            </w: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10,063</w:t>
            </w: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On December 29, 2020, Orion entered into a new Loan and Security Agreement with Bank of America, N.A., as lender (the “Credit Agreement”). The Credit Agreement replaced Orion’s prior $20.15 million secured revolving credit and security agreement dated as of October 26, 2018, as amended, by and among Orion and Western Alliance Bank, National Association, as lender (the “Prior Credit Agreement”). The replacement of the Prior Credit Agreement with the Credit Agreement provides Orion with increased financing capacity and liquidity to fund its operations and implement its strategic plans.</w:t>
      </w:r>
    </w:p>
    <w:p>
      <w:pPr>
        <w:spacing w:after="0" w:line="80" w:lineRule="exact"/>
        <w:rPr>
          <w:sz w:val="20"/>
          <w:szCs w:val="20"/>
          <w:color w:val="auto"/>
        </w:rPr>
      </w:pPr>
    </w:p>
    <w:p>
      <w:pPr>
        <w:jc w:val="both"/>
        <w:ind w:firstLine="494"/>
        <w:spacing w:after="0" w:line="311" w:lineRule="auto"/>
        <w:rPr>
          <w:sz w:val="20"/>
          <w:szCs w:val="20"/>
          <w:color w:val="auto"/>
        </w:rPr>
      </w:pPr>
      <w:r>
        <w:rPr>
          <w:rFonts w:ascii="Arial" w:cs="Arial" w:eastAsia="Arial" w:hAnsi="Arial"/>
          <w:sz w:val="16"/>
          <w:szCs w:val="16"/>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March 31, 2021, the borrowing base supports the full availability of the Credit Facility. As of March 31, 2021, no amounts were borrowed under the Credit Facility.</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first lien security interest in substantially all of Orion’s assets.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Borrowings under the Credit Agreement are permitted in the form of LIBOR or prime rate-based loans and generally bear interest at floating rates plus an applicable margin determined by reference to Orion’s availability under the Credit Agreement. Among other fees, Orion is required to pay an annual facility fee of $15,000 and a fee of 25 basis points on the unused portion of the Credit Facility.</w:t>
      </w:r>
    </w:p>
    <w:p>
      <w:pPr>
        <w:spacing w:after="0" w:line="76" w:lineRule="exact"/>
        <w:rPr>
          <w:sz w:val="20"/>
          <w:szCs w:val="20"/>
          <w:color w:val="auto"/>
        </w:rPr>
      </w:pPr>
    </w:p>
    <w:p>
      <w:pPr>
        <w:jc w:val="both"/>
        <w:ind w:right="20" w:firstLine="494"/>
        <w:spacing w:after="0" w:line="342" w:lineRule="auto"/>
        <w:rPr>
          <w:sz w:val="20"/>
          <w:szCs w:val="20"/>
          <w:color w:val="auto"/>
        </w:rPr>
      </w:pPr>
      <w:r>
        <w:rPr>
          <w:rFonts w:ascii="Arial" w:cs="Arial" w:eastAsia="Arial" w:hAnsi="Arial"/>
          <w:sz w:val="16"/>
          <w:szCs w:val="16"/>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6"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Bank of America, N.A.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both"/>
        <w:ind w:right="20" w:firstLine="494"/>
        <w:spacing w:after="0" w:line="263" w:lineRule="auto"/>
        <w:rPr>
          <w:sz w:val="20"/>
          <w:szCs w:val="20"/>
          <w:color w:val="auto"/>
        </w:rPr>
      </w:pPr>
      <w:r>
        <w:rPr>
          <w:rFonts w:ascii="Arial" w:cs="Arial" w:eastAsia="Arial" w:hAnsi="Arial"/>
          <w:sz w:val="18"/>
          <w:szCs w:val="18"/>
          <w:color w:val="auto"/>
        </w:rPr>
        <w:t>Orion did not incur any early termination fees in connection with the termination of the Prior Credit Agreement, but did recognize a loss on debt extinguishment of $0.1 million on the write-off of unamortized debt issue costs related to the Prior Credit Agreement. The Prior Credit Agreement was scheduled to mature on October 26, 2021.</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Orion is in compliance with all debt covenants.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w:t>
      </w:r>
    </w:p>
    <w:p>
      <w:pPr>
        <w:spacing w:after="0" w:line="117"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fund certain equipment. The debts are secured by the related equipment. The debts bear interest at a rate of 6.43% and 8.77% respectively and both debts mature in January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Maturities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ind w:left="500"/>
              <w:spacing w:after="0"/>
              <w:rPr>
                <w:sz w:val="20"/>
                <w:szCs w:val="20"/>
                <w:color w:val="auto"/>
              </w:rPr>
            </w:pPr>
            <w:r>
              <w:rPr>
                <w:rFonts w:ascii="Arial" w:cs="Arial" w:eastAsia="Arial" w:hAnsi="Arial"/>
                <w:sz w:val="18"/>
                <w:szCs w:val="18"/>
                <w:color w:val="auto"/>
              </w:rPr>
              <w:t>As of March 31, 2021, aggregate maturities of long-term debt were as follows (dollars in thousands):</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9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90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r>
      <w:tr>
        <w:trPr>
          <w:trHeight w:val="229"/>
        </w:trPr>
        <w:tc>
          <w:tcPr>
            <w:tcW w:w="9220" w:type="dxa"/>
            <w:vAlign w:val="bottom"/>
          </w:tcPr>
          <w:p>
            <w:pPr>
              <w:spacing w:after="0"/>
              <w:rPr>
                <w:sz w:val="20"/>
                <w:szCs w:val="20"/>
                <w:color w:val="auto"/>
              </w:rPr>
            </w:pPr>
            <w:r>
              <w:rPr>
                <w:rFonts w:ascii="Arial" w:cs="Arial" w:eastAsia="Arial" w:hAnsi="Arial"/>
                <w:sz w:val="18"/>
                <w:szCs w:val="18"/>
                <w:color w:val="auto"/>
              </w:rPr>
              <w:t>Fiscal 2023</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29"/>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Fiscal 2025</w:t>
            </w:r>
          </w:p>
        </w:tc>
        <w:tc>
          <w:tcPr>
            <w:tcW w:w="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r>
      <w:tr>
        <w:trPr>
          <w:trHeight w:val="223"/>
        </w:trPr>
        <w:tc>
          <w:tcPr>
            <w:tcW w:w="9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provision (benefit) for income taxes consists of the following for the fiscal years ended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5"/>
              </w:rPr>
              <w:t>Fiscal Year Ended March 31,</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w:t>
            </w:r>
          </w:p>
        </w:tc>
        <w:tc>
          <w:tcPr>
            <w:tcW w:w="23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(19,860)</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(19,616)</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tcBorders>
              <w:bottom w:val="single" w:sz="8" w:color="CFF0FC"/>
            </w:tcBorders>
          </w:tcPr>
          <w:p>
            <w:pPr>
              <w:spacing w:after="0"/>
              <w:rPr>
                <w:sz w:val="24"/>
                <w:szCs w:val="24"/>
                <w:color w:val="auto"/>
              </w:rPr>
            </w:pPr>
          </w:p>
        </w:tc>
        <w:tc>
          <w:tcPr>
            <w:tcW w:w="234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Federal, Current</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Federal, Deferred</w:t>
            </w:r>
          </w:p>
        </w:tc>
        <w:tc>
          <w:tcPr>
            <w:tcW w:w="23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(16,217)</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Federal</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(16,217)</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State, Current</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State, Deferred</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State</w:t>
            </w:r>
          </w:p>
        </w:tc>
        <w:tc>
          <w:tcPr>
            <w:tcW w:w="23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(3,399)</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(19,616)</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20" w:type="dxa"/>
            <w:vAlign w:val="bottom"/>
            <w:gridSpan w:val="7"/>
          </w:tcPr>
          <w:p>
            <w:pPr>
              <w:ind w:left="500"/>
              <w:spacing w:after="0"/>
              <w:rPr>
                <w:sz w:val="20"/>
                <w:szCs w:val="20"/>
                <w:color w:val="auto"/>
              </w:rPr>
            </w:pPr>
            <w:r>
              <w:rPr>
                <w:rFonts w:ascii="Arial" w:cs="Arial" w:eastAsia="Arial" w:hAnsi="Arial"/>
                <w:sz w:val="18"/>
                <w:szCs w:val="18"/>
                <w:color w:val="auto"/>
                <w:w w:val="99"/>
              </w:rPr>
              <w:t>A reconciliation of the statutory federal income tax rate and effective income tax rate is as follows: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1000"/>
              <w:spacing w:after="0"/>
              <w:rPr>
                <w:sz w:val="20"/>
                <w:szCs w:val="20"/>
                <w:color w:val="auto"/>
              </w:rPr>
            </w:pPr>
            <w:r>
              <w:rPr>
                <w:rFonts w:ascii="Arial" w:cs="Arial" w:eastAsia="Arial" w:hAnsi="Arial"/>
                <w:sz w:val="14"/>
                <w:szCs w:val="14"/>
                <w:b w:val="1"/>
                <w:bCs w:val="1"/>
                <w:color w:val="auto"/>
              </w:rPr>
              <w:t>Fiscal Year Ended March 31,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Statutory federal tax rate</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State taxes, net</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Federal tax credit</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80" w:type="dxa"/>
            <w:vAlign w:val="bottom"/>
            <w:gridSpan w:val="4"/>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Change in valuation reserve</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Change in tax contingency reserve</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Federal refunds</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Equity compensation cancellations</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340" w:type="dxa"/>
            <w:vAlign w:val="bottom"/>
            <w:vMerge w:val="restart"/>
          </w:tcPr>
          <w:p>
            <w:pPr>
              <w:jc w:val="right"/>
              <w:ind w:right="550"/>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74" w:name="page75"/>
    <w:bookmarkEnd w:id="74"/>
    <w:p>
      <w:pPr>
        <w:jc w:val="both"/>
        <w:ind w:firstLine="499"/>
        <w:spacing w:after="0" w:line="277" w:lineRule="auto"/>
        <w:rPr>
          <w:sz w:val="20"/>
          <w:szCs w:val="20"/>
          <w:color w:val="auto"/>
        </w:rPr>
      </w:pPr>
      <w:r>
        <w:rPr>
          <w:rFonts w:ascii="Arial" w:cs="Arial" w:eastAsia="Arial" w:hAnsi="Arial"/>
          <w:sz w:val="18"/>
          <w:szCs w:val="18"/>
          <w:color w:val="auto"/>
        </w:rPr>
        <w:t>The net deferred tax assets and liabilities reported in the accompanying consolidated financial statements include the following components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r>
      <w:tr>
        <w:trPr>
          <w:trHeight w:val="156"/>
        </w:trPr>
        <w:tc>
          <w:tcPr>
            <w:tcW w:w="566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Inventory, accruals and reserves</w:t>
            </w: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1,046</w:t>
            </w:r>
          </w:p>
        </w:tc>
      </w:tr>
      <w:tr>
        <w:trPr>
          <w:trHeight w:val="229"/>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Federal and state operating loss carry-forwards</w:t>
            </w:r>
          </w:p>
        </w:tc>
        <w:tc>
          <w:tcPr>
            <w:tcW w:w="2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18,313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19,540</w:t>
            </w: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1,916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1,916</w:t>
            </w:r>
          </w:p>
        </w:tc>
      </w:tr>
      <w:tr>
        <w:trPr>
          <w:trHeight w:val="230"/>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Equity compensation</w:t>
            </w:r>
          </w:p>
        </w:tc>
        <w:tc>
          <w:tcPr>
            <w:tcW w:w="2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250</w:t>
            </w: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w:t>
            </w:r>
          </w:p>
        </w:tc>
      </w:tr>
      <w:tr>
        <w:trPr>
          <w:trHeight w:val="229"/>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 liability</w:t>
            </w:r>
          </w:p>
        </w:tc>
        <w:tc>
          <w:tcPr>
            <w:tcW w:w="2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903</w:t>
            </w:r>
          </w:p>
        </w:tc>
      </w:tr>
      <w:tr>
        <w:trPr>
          <w:trHeight w:val="230"/>
        </w:trPr>
        <w:tc>
          <w:tcPr>
            <w:tcW w:w="56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20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406</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r>
      <w:tr>
        <w:trPr>
          <w:trHeight w:val="223"/>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deferred tax assets</w:t>
            </w:r>
          </w:p>
        </w:tc>
        <w:tc>
          <w:tcPr>
            <w:tcW w:w="2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22,584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23,794</w:t>
            </w:r>
          </w:p>
        </w:tc>
      </w:tr>
      <w:tr>
        <w:trPr>
          <w:trHeight w:val="230"/>
        </w:trPr>
        <w:tc>
          <w:tcPr>
            <w:tcW w:w="56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Valuation allowance</w:t>
            </w:r>
          </w:p>
        </w:tc>
        <w:tc>
          <w:tcPr>
            <w:tcW w:w="20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r>
      <w:tr>
        <w:trPr>
          <w:trHeight w:val="223"/>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 of valuation allowance</w:t>
            </w:r>
          </w:p>
        </w:tc>
        <w:tc>
          <w:tcPr>
            <w:tcW w:w="20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21,305</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1,566</w:t>
            </w:r>
          </w:p>
        </w:tc>
      </w:tr>
      <w:tr>
        <w:trPr>
          <w:trHeight w:val="223"/>
        </w:trPr>
        <w:tc>
          <w:tcPr>
            <w:tcW w:w="5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Lease ROU asset</w:t>
            </w: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29"/>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Fixed assets</w:t>
            </w:r>
          </w:p>
        </w:tc>
        <w:tc>
          <w:tcPr>
            <w:tcW w:w="2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r>
      <w:tr>
        <w:trPr>
          <w:trHeight w:val="229"/>
        </w:trPr>
        <w:tc>
          <w:tcPr>
            <w:tcW w:w="56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Intangible assets</w:t>
            </w:r>
          </w:p>
        </w:tc>
        <w:tc>
          <w:tcPr>
            <w:tcW w:w="20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deferred tax liabilities</w:t>
            </w:r>
          </w:p>
        </w:tc>
        <w:tc>
          <w:tcPr>
            <w:tcW w:w="20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w:t>
            </w:r>
          </w:p>
        </w:tc>
      </w:tr>
      <w:tr>
        <w:trPr>
          <w:trHeight w:val="223"/>
        </w:trPr>
        <w:tc>
          <w:tcPr>
            <w:tcW w:w="5660" w:type="dxa"/>
            <w:vAlign w:val="bottom"/>
            <w:tcBorders>
              <w:bottom w:val="single" w:sz="8" w:color="CFF0FC"/>
            </w:tcBorders>
          </w:tcPr>
          <w:p>
            <w:pPr>
              <w:spacing w:after="0"/>
              <w:rPr>
                <w:sz w:val="19"/>
                <w:szCs w:val="19"/>
                <w:color w:val="auto"/>
              </w:rPr>
            </w:pPr>
          </w:p>
        </w:tc>
        <w:tc>
          <w:tcPr>
            <w:tcW w:w="20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assets/(liabilities)</w:t>
            </w:r>
          </w:p>
        </w:tc>
        <w:tc>
          <w:tcPr>
            <w:tcW w:w="20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19,785</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5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CARES Act includes significant business tax provisions that, among other things, temporarily eliminate the taxable income limit for certain NOLs, allow businesses to carry back tax year 2018-2020 NOLs to the five prior tax years, accelerate refunds of corporate AMT credits, and generally decrease the amount of disallowed business interest expense. Because of Orion’s loss carryforwards, the income tax provisions of the CARES Act did not result in a material cash or financial statement impact.</w:t>
      </w:r>
    </w:p>
    <w:p>
      <w:pPr>
        <w:spacing w:after="0" w:line="187"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For fiscal year ended March 31, 2021, Orion’s deferred tax assets were primarily the result of U.S. NOL and tax credit carryforwards. Orion recorded a valuation allowance of $1.3 million and $22.2 million against its net deferred tax asset balance as of March 31, 2021 and March 31, 2020, respectively, due to the uncertainty of its realization value in the future. For the year ended March 31, 2021, Orion recorded a net valuation allowance release of $20.9 million on the basis of management’s reassessment of the amount of its deferred tax assets that are more likely than not to be realized. For the fiscal year ended March 31, 2020, the valuation allowance against Orion's net federal and net state deferred tax assets decreased $3.2 million, primarily due to the fiscal year ended March 31, 2020 loss usage.</w:t>
      </w:r>
    </w:p>
    <w:p>
      <w:pPr>
        <w:spacing w:after="0" w:line="192"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As of March 31, 2021, in part because Orion achieved its second full year of pretax income and three years of cumulative pretax income in the U.S. federal tax jurisdiction, management determined there was sufficient positive evidence to conclude that it is more likely than not that deferred taxes assets of $20.9 are realizable. It therefore reduced the valuation allowance accordingly.</w:t>
      </w:r>
    </w:p>
    <w:p>
      <w:pPr>
        <w:spacing w:after="0" w:line="176" w:lineRule="exact"/>
        <w:rPr>
          <w:sz w:val="20"/>
          <w:szCs w:val="20"/>
          <w:color w:val="auto"/>
        </w:rPr>
      </w:pPr>
    </w:p>
    <w:p>
      <w:pPr>
        <w:jc w:val="both"/>
        <w:ind w:firstLine="499"/>
        <w:spacing w:after="0" w:line="272" w:lineRule="auto"/>
        <w:rPr>
          <w:sz w:val="20"/>
          <w:szCs w:val="20"/>
          <w:color w:val="auto"/>
        </w:rPr>
      </w:pPr>
      <w:r>
        <w:rPr>
          <w:rFonts w:ascii="Arial" w:cs="Arial" w:eastAsia="Arial" w:hAnsi="Arial"/>
          <w:sz w:val="17"/>
          <w:szCs w:val="17"/>
          <w:color w:val="auto"/>
        </w:rPr>
        <w:t>As of March 31, 2021, Orion has federal NOL carryforwards of approximately $69.4 million, state NOL carryforwards of approximately $61.8 million, and foreign NOL carryforwards of approximately $0.8 million. Orion also had federal tax credit carryforwards of approximately $1.3 million and state tax credits of $0.8 million. All of Orion's tax credit carryforwards and $123.6 million of its NOL carryforwards will begin to expire in varying amounts between 2022 and 2040. The remaining $8.4 million of its federal and state NOL carryforwards are not subject to time restrictions but may only be used to offset 80% of adjusted taxable income. Orion believes it is more likely than not that the benefit from its state credit carryforwards, foreign NOL carryforwards, a portion of its federal credit carryforwards, and certain state loss carryforwards will not be realized. In recognition of this risk, Orion has provided a valuation allowance of $1.3 million on the deferred tax assets related to these carryforwards.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jc w:val="both"/>
        <w:ind w:firstLine="499"/>
        <w:spacing w:after="0" w:line="257" w:lineRule="auto"/>
        <w:rPr>
          <w:sz w:val="20"/>
          <w:szCs w:val="20"/>
          <w:color w:val="auto"/>
        </w:rPr>
      </w:pPr>
      <w:r>
        <w:rPr>
          <w:rFonts w:ascii="Arial" w:cs="Arial" w:eastAsia="Arial" w:hAnsi="Arial"/>
          <w:sz w:val="18"/>
          <w:szCs w:val="18"/>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NOL carryforwards that occurred for fiscal 2021, fiscal 2020, or fiscal 2019.</w:t>
      </w:r>
    </w:p>
    <w:p>
      <w:pPr>
        <w:spacing w:after="0" w:line="188"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8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 files income tax returns in the United States federal jurisdiction and in several state jurisdictions. The Company's federal tax returns for tax years beginning April 1, 2017 or later are open. For states in which Orion files state income tax returns, the statute of limitations is generally open for tax years ended March 31, 2017 and forward.</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March 31, 2021, the balance of gross unrecognized tax benefits was approximately $0.3 million, all of which would affect Orion’s effective tax rate if recognized.</w:t>
      </w:r>
    </w:p>
    <w:p>
      <w:pPr>
        <w:spacing w:after="0" w:line="170"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Orion had the following unrecognized tax benefit activity (dollars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Fiscal Year Ended March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as of beginning of fiscal year</w:t>
            </w: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129</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Additions/(reductions) for tax positions of prior years</w:t>
            </w:r>
          </w:p>
        </w:tc>
        <w:tc>
          <w:tcPr>
            <w:tcW w:w="7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Unrecognized tax benefits as of end of fiscal year</w:t>
            </w:r>
          </w:p>
        </w:tc>
        <w:tc>
          <w:tcPr>
            <w:tcW w:w="78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130</w:t>
            </w:r>
          </w:p>
        </w:tc>
      </w:tr>
      <w:tr>
        <w:trPr>
          <w:trHeight w:val="20"/>
        </w:trPr>
        <w:tc>
          <w:tcPr>
            <w:tcW w:w="5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Orion enters into non-cancellable purchase commitments for certain inventory items in order to secure better pricing and ensure materials on hand.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Orion had entered into $13.1 million of purchase commitments related primarily to inventory purchases.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7"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2021, Orion made matching contributions of $0.1 million. In fiscal 2020 and 2019, Orion made matching contributions of approximately $0.1 million and $9 thousand,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does not believe that the final resolution of any of such claims or legal proceedings would have a material adverse effect on its future results of operations. In addition to ordinary-course litigation, Orion was or is a party to the proceedings described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During fiscal year 2018, Orion was notified of a pending sales and use tax audit by the Wisconsin Department of Revenue for the period covering April 1, 2013 through March 31, 2017. Although the final resolution of the Company’s sales and use tax audit is uncertain, based on current information, in the opinion of the Company’s management, the ultimate disposition of these matters will not have a material adverse effect on the Company’s consolidated balance sheet, statements of operations, or liquidity.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and Treasury Stock</w:t>
      </w:r>
    </w:p>
    <w:p>
      <w:pPr>
        <w:spacing w:after="0" w:line="117"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In 2011 and 2012, Orion’s Board approved several share repurchase programs authorizing Orion to repurchase in aggregate up to a maximum of $ 7.5 million of Orion's outstanding common stock. As of March 31, 2021, Orion had repurchased 3,022,349 shares of common stock at a cost of $6.8 million under these programs. Orion did not repurchase any shares in fiscal 2021, fiscal 2020 or fiscal 2019 and currently does not intend to repurchase any additional common stock under this program in the near-term.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1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On January 3, 2019, Orion entered into Amendment No. 1 to the Rights Agreement, which amended the Rights Agreement dated as of January 7, 2009 and extended its terms by three years to January 7, 2022. Under the amendment, each common share purchase right (a “Right”), if exercisable, will initially represent the right to purchase from Orion, one share of Orion’s common stock, no par value per share, for a purchase price of $7.00 per share (the “Purchase Price”).</w:t>
      </w:r>
    </w:p>
    <w:p>
      <w:pPr>
        <w:spacing w:after="0" w:line="187"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88" w:lineRule="exact"/>
        <w:rPr>
          <w:sz w:val="20"/>
          <w:szCs w:val="20"/>
          <w:color w:val="auto"/>
        </w:rPr>
      </w:pPr>
    </w:p>
    <w:p>
      <w:pPr>
        <w:jc w:val="both"/>
        <w:ind w:firstLine="494"/>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Rights Agreement) will have the right to receive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receive that number of shares of the acquiring company’s common stock which at the time of such transaction will have a market value of two times the then-current Purchase Price.</w:t>
      </w:r>
    </w:p>
    <w:p>
      <w:pPr>
        <w:spacing w:after="0" w:line="164"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 In prior years, Orion issued loans to non-executive employees to purchase shares of its stock. The loan program has been discontinued and new loans are no longer issued. Orion had the following shares issued from treasury during fiscal 2021 and fiscal 2020:</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1535"/>
              <w:spacing w:after="0"/>
              <w:rPr>
                <w:sz w:val="20"/>
                <w:szCs w:val="20"/>
                <w:color w:val="auto"/>
              </w:rPr>
            </w:pPr>
            <w:r>
              <w:rPr>
                <w:rFonts w:ascii="Arial" w:cs="Arial" w:eastAsia="Arial" w:hAnsi="Arial"/>
                <w:sz w:val="14"/>
                <w:szCs w:val="14"/>
                <w:b w:val="1"/>
                <w:bCs w:val="1"/>
                <w:color w:val="auto"/>
                <w:w w:val="96"/>
              </w:rPr>
              <w:t>As of March 31, 2021</w:t>
            </w:r>
          </w:p>
        </w:tc>
        <w:tc>
          <w:tcPr>
            <w:tcW w:w="0" w:type="dxa"/>
            <w:vAlign w:val="bottom"/>
          </w:tcPr>
          <w:p>
            <w:pPr>
              <w:spacing w:after="0"/>
              <w:rPr>
                <w:sz w:val="1"/>
                <w:szCs w:val="1"/>
                <w:color w:val="auto"/>
              </w:rPr>
            </w:pPr>
          </w:p>
        </w:tc>
      </w:tr>
      <w:tr>
        <w:trPr>
          <w:trHeight w:val="133"/>
        </w:trPr>
        <w:tc>
          <w:tcPr>
            <w:tcW w:w="6820" w:type="dxa"/>
            <w:vAlign w:val="bottom"/>
          </w:tcPr>
          <w:p>
            <w:pPr>
              <w:spacing w:after="0"/>
              <w:rPr>
                <w:sz w:val="11"/>
                <w:szCs w:val="11"/>
                <w:color w:val="auto"/>
              </w:rPr>
            </w:pPr>
          </w:p>
        </w:tc>
        <w:tc>
          <w:tcPr>
            <w:tcW w:w="1440" w:type="dxa"/>
            <w:vAlign w:val="bottom"/>
          </w:tcPr>
          <w:p>
            <w:pPr>
              <w:jc w:val="center"/>
              <w:ind w:left="408"/>
              <w:spacing w:after="0" w:line="133" w:lineRule="exact"/>
              <w:rPr>
                <w:sz w:val="20"/>
                <w:szCs w:val="20"/>
                <w:color w:val="auto"/>
              </w:rPr>
            </w:pPr>
            <w:r>
              <w:rPr>
                <w:rFonts w:ascii="Arial" w:cs="Arial" w:eastAsia="Arial" w:hAnsi="Arial"/>
                <w:sz w:val="14"/>
                <w:szCs w:val="14"/>
                <w:b w:val="1"/>
                <w:bCs w:val="1"/>
                <w:color w:val="auto"/>
                <w:w w:val="88"/>
              </w:rPr>
              <w:t>Shares Issued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vMerge w:val="restart"/>
          </w:tcPr>
          <w:p>
            <w:pPr>
              <w:jc w:val="center"/>
              <w:ind w:right="355"/>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4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5"/>
              </w:rPr>
              <w:t>Under ESPP</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2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4"/>
              </w:rPr>
              <w:t>Plan</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March 31, 2021</w:t>
            </w: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9"/>
        </w:trPr>
        <w:tc>
          <w:tcPr>
            <w:tcW w:w="8260" w:type="dxa"/>
            <w:vAlign w:val="bottom"/>
            <w:gridSpan w:val="2"/>
          </w:tcPr>
          <w:p>
            <w:pPr>
              <w:spacing w:after="0"/>
              <w:rPr>
                <w:sz w:val="20"/>
                <w:szCs w:val="20"/>
                <w:color w:val="auto"/>
              </w:rPr>
            </w:pPr>
            <w:r>
              <w:rPr>
                <w:rFonts w:ascii="Arial" w:cs="Arial" w:eastAsia="Arial" w:hAnsi="Arial"/>
                <w:sz w:val="18"/>
                <w:szCs w:val="18"/>
                <w:color w:val="auto"/>
              </w:rPr>
              <w:t>Quarter Ended December 31, 2020</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ind w:right="55"/>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Quarter Ended September 30, 2020</w:t>
            </w:r>
          </w:p>
        </w:tc>
        <w:tc>
          <w:tcPr>
            <w:tcW w:w="6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Quarter Ended June 30, 2020</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ind w:right="55"/>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97"/>
              </w:rPr>
              <w:t>1,146</w:t>
            </w:r>
          </w:p>
        </w:tc>
        <w:tc>
          <w:tcPr>
            <w:tcW w:w="540" w:type="dxa"/>
            <w:vAlign w:val="bottom"/>
            <w:tcBorders>
              <w:top w:val="single" w:sz="8" w:color="CFF0FC"/>
              <w:bottom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CFF0FC"/>
              <w:bottom w:val="single" w:sz="8" w:color="CFF0FC"/>
            </w:tcBorders>
            <w:shd w:val="clear" w:color="auto" w:fill="CFF0FC"/>
          </w:tcPr>
          <w:p>
            <w:pPr>
              <w:jc w:val="right"/>
              <w:ind w:right="55"/>
              <w:spacing w:after="0"/>
              <w:rPr>
                <w:sz w:val="20"/>
                <w:szCs w:val="20"/>
                <w:color w:val="auto"/>
              </w:rPr>
            </w:pPr>
            <w:r>
              <w:rPr>
                <w:rFonts w:ascii="Arial" w:cs="Arial" w:eastAsia="Arial" w:hAnsi="Arial"/>
                <w:sz w:val="18"/>
                <w:szCs w:val="18"/>
                <w:color w:val="auto"/>
              </w:rPr>
              <w:t>3.46 - 6.90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1535"/>
              <w:spacing w:after="0"/>
              <w:rPr>
                <w:sz w:val="20"/>
                <w:szCs w:val="20"/>
                <w:color w:val="auto"/>
              </w:rPr>
            </w:pPr>
            <w:r>
              <w:rPr>
                <w:rFonts w:ascii="Arial" w:cs="Arial" w:eastAsia="Arial" w:hAnsi="Arial"/>
                <w:sz w:val="14"/>
                <w:szCs w:val="14"/>
                <w:b w:val="1"/>
                <w:bCs w:val="1"/>
                <w:color w:val="auto"/>
                <w:w w:val="96"/>
              </w:rPr>
              <w:t>As of March 31, 2020</w:t>
            </w:r>
          </w:p>
        </w:tc>
        <w:tc>
          <w:tcPr>
            <w:tcW w:w="0" w:type="dxa"/>
            <w:vAlign w:val="bottom"/>
          </w:tcPr>
          <w:p>
            <w:pPr>
              <w:spacing w:after="0"/>
              <w:rPr>
                <w:sz w:val="1"/>
                <w:szCs w:val="1"/>
                <w:color w:val="auto"/>
              </w:rPr>
            </w:pPr>
          </w:p>
        </w:tc>
      </w:tr>
      <w:tr>
        <w:trPr>
          <w:trHeight w:val="133"/>
        </w:trPr>
        <w:tc>
          <w:tcPr>
            <w:tcW w:w="6820" w:type="dxa"/>
            <w:vAlign w:val="bottom"/>
          </w:tcPr>
          <w:p>
            <w:pPr>
              <w:spacing w:after="0"/>
              <w:rPr>
                <w:sz w:val="11"/>
                <w:szCs w:val="11"/>
                <w:color w:val="auto"/>
              </w:rPr>
            </w:pPr>
          </w:p>
        </w:tc>
        <w:tc>
          <w:tcPr>
            <w:tcW w:w="1440" w:type="dxa"/>
            <w:vAlign w:val="bottom"/>
          </w:tcPr>
          <w:p>
            <w:pPr>
              <w:jc w:val="center"/>
              <w:ind w:left="408"/>
              <w:spacing w:after="0" w:line="133" w:lineRule="exact"/>
              <w:rPr>
                <w:sz w:val="20"/>
                <w:szCs w:val="20"/>
                <w:color w:val="auto"/>
              </w:rPr>
            </w:pPr>
            <w:r>
              <w:rPr>
                <w:rFonts w:ascii="Arial" w:cs="Arial" w:eastAsia="Arial" w:hAnsi="Arial"/>
                <w:sz w:val="14"/>
                <w:szCs w:val="14"/>
                <w:b w:val="1"/>
                <w:bCs w:val="1"/>
                <w:color w:val="auto"/>
                <w:w w:val="88"/>
              </w:rPr>
              <w:t>Shares Issued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vMerge w:val="restart"/>
          </w:tcPr>
          <w:p>
            <w:pPr>
              <w:jc w:val="center"/>
              <w:ind w:right="355"/>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4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5"/>
              </w:rPr>
              <w:t>Under ESPP</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2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4"/>
              </w:rPr>
              <w:t>Plan</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March 31, 2020</w:t>
            </w: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8260" w:type="dxa"/>
            <w:vAlign w:val="bottom"/>
            <w:gridSpan w:val="2"/>
          </w:tcPr>
          <w:p>
            <w:pPr>
              <w:spacing w:after="0"/>
              <w:rPr>
                <w:sz w:val="20"/>
                <w:szCs w:val="20"/>
                <w:color w:val="auto"/>
              </w:rPr>
            </w:pPr>
            <w:r>
              <w:rPr>
                <w:rFonts w:ascii="Arial" w:cs="Arial" w:eastAsia="Arial" w:hAnsi="Arial"/>
                <w:sz w:val="18"/>
                <w:szCs w:val="18"/>
                <w:color w:val="auto"/>
              </w:rPr>
              <w:t>Quarter Ended December 31, 2019</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666</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5"/>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Quarter Ended September 30, 2019</w:t>
            </w:r>
          </w:p>
        </w:tc>
        <w:tc>
          <w:tcPr>
            <w:tcW w:w="6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570</w:t>
            </w: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Quarter Ended June 30, 2019</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613</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5"/>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97"/>
              </w:rPr>
              <w:t>2,361</w:t>
            </w:r>
          </w:p>
        </w:tc>
        <w:tc>
          <w:tcPr>
            <w:tcW w:w="540" w:type="dxa"/>
            <w:vAlign w:val="bottom"/>
            <w:tcBorders>
              <w:top w:val="single" w:sz="8" w:color="CFF0FC"/>
              <w:bottom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CFF0FC"/>
              <w:bottom w:val="single" w:sz="8" w:color="CFF0FC"/>
            </w:tcBorders>
            <w:shd w:val="clear" w:color="auto" w:fill="CFF0FC"/>
          </w:tcPr>
          <w:p>
            <w:pPr>
              <w:jc w:val="right"/>
              <w:ind w:right="55"/>
              <w:spacing w:after="0"/>
              <w:rPr>
                <w:sz w:val="20"/>
                <w:szCs w:val="20"/>
                <w:color w:val="auto"/>
              </w:rPr>
            </w:pPr>
            <w:r>
              <w:rPr>
                <w:rFonts w:ascii="Arial" w:cs="Arial" w:eastAsia="Arial" w:hAnsi="Arial"/>
                <w:sz w:val="18"/>
                <w:szCs w:val="18"/>
                <w:color w:val="auto"/>
              </w:rPr>
              <w:t>2.85 - 3.70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117"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In March 2020, Orion filed a universal shelf registration statement with the Securities and Exchange Commission. Under the shelf registration statement, Orion currently has the flexibility to publicly offer and sell from time to time up to $100.0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 The COVID-19 pandemic has had a negative near-term impact on the capital markets and may impact Orion’s ability to access this capital.</w:t>
      </w:r>
    </w:p>
    <w:p>
      <w:pPr>
        <w:spacing w:after="0" w:line="68" w:lineRule="exact"/>
        <w:rPr>
          <w:sz w:val="20"/>
          <w:szCs w:val="20"/>
          <w:color w:val="auto"/>
        </w:rPr>
      </w:pPr>
    </w:p>
    <w:p>
      <w:pPr>
        <w:jc w:val="both"/>
        <w:ind w:firstLine="494"/>
        <w:spacing w:after="0" w:line="286" w:lineRule="auto"/>
        <w:rPr>
          <w:sz w:val="20"/>
          <w:szCs w:val="20"/>
          <w:color w:val="auto"/>
        </w:rPr>
      </w:pPr>
      <w:r>
        <w:rPr>
          <w:rFonts w:ascii="Arial" w:cs="Arial" w:eastAsia="Arial" w:hAnsi="Arial"/>
          <w:sz w:val="17"/>
          <w:szCs w:val="17"/>
          <w:color w:val="auto"/>
        </w:rPr>
        <w:t>In March 2021, Orion entered into an At Market Issuance Sales Agreement to undertake an “at the market” (ATM) public equity capital raising program pursuant to which Orion may offer and sell shares of common stock, having an aggregate offering price of up to $50 million from time to time through or to the Agent, acting as sales agent or principal. No share sales were effected pursuant to the ATM program through March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OPTIONS AND RESTRICTED SHARES</w:t>
      </w:r>
    </w:p>
    <w:p>
      <w:pPr>
        <w:spacing w:after="0" w:line="121"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Approval of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 As of March 31, 2021, the number of shares available for grant under the Amended 2016 Plan was 1,578,445.</w:t>
      </w:r>
    </w:p>
    <w:p>
      <w:pPr>
        <w:spacing w:after="0" w:line="192"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ind w:right="100" w:firstLine="494"/>
        <w:spacing w:after="0" w:line="279" w:lineRule="auto"/>
        <w:rPr>
          <w:sz w:val="20"/>
          <w:szCs w:val="20"/>
          <w:color w:val="auto"/>
        </w:rPr>
      </w:pPr>
      <w:r>
        <w:rPr>
          <w:rFonts w:ascii="Arial" w:cs="Arial" w:eastAsia="Arial" w:hAnsi="Arial"/>
          <w:sz w:val="17"/>
          <w:szCs w:val="17"/>
          <w:color w:val="auto"/>
        </w:rPr>
        <w:t>Prior to the 2016 Omnibus Incentive Plan, the Company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w:t>
      </w:r>
    </w:p>
    <w:p>
      <w:pPr>
        <w:spacing w:after="0" w:line="171"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Amended 2016 Plan and the 2004 Plan also permit accelerated vesting in the event of certain changes of control of Orion as well as under other special circumstances.</w:t>
      </w:r>
    </w:p>
    <w:p>
      <w:pPr>
        <w:spacing w:after="0" w:line="184"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Orion historically granted stock options and restricted stock under the 2004 Plan. Orion has not issued stock options since fiscal 2014 and instead has issued restricted stock.</w:t>
      </w:r>
    </w:p>
    <w:p>
      <w:pPr>
        <w:spacing w:after="0" w:line="170" w:lineRule="exact"/>
        <w:rPr>
          <w:sz w:val="20"/>
          <w:szCs w:val="20"/>
          <w:color w:val="auto"/>
        </w:rPr>
      </w:pPr>
    </w:p>
    <w:p>
      <w:pPr>
        <w:jc w:val="both"/>
        <w:ind w:right="20" w:firstLine="499"/>
        <w:spacing w:after="0" w:line="263" w:lineRule="auto"/>
        <w:rPr>
          <w:sz w:val="20"/>
          <w:szCs w:val="20"/>
          <w:color w:val="auto"/>
        </w:rPr>
      </w:pPr>
      <w:r>
        <w:rPr>
          <w:rFonts w:ascii="Arial" w:cs="Arial" w:eastAsia="Arial" w:hAnsi="Arial"/>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stock-based compensation expense for restricted shares and options were recorded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Fiscal Year Ended March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2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764</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Sales and marketing</w:t>
            </w: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r>
      <w:tr>
        <w:trPr>
          <w:trHeight w:val="223"/>
        </w:trPr>
        <w:tc>
          <w:tcPr>
            <w:tcW w:w="4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825</w:t>
            </w:r>
          </w:p>
        </w:tc>
      </w:tr>
      <w:tr>
        <w:trPr>
          <w:trHeight w:val="20"/>
        </w:trPr>
        <w:tc>
          <w:tcPr>
            <w:tcW w:w="4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with respect to outstanding stock options: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center"/>
              <w:ind w:right="314"/>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38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38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629,667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Granted</w:t>
            </w:r>
          </w:p>
        </w:tc>
        <w:tc>
          <w:tcPr>
            <w:tcW w:w="382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38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(161,831)</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38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467,836</w:t>
            </w:r>
          </w:p>
        </w:tc>
        <w:tc>
          <w:tcPr>
            <w:tcW w:w="48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rPr>
              <w:t>Granted</w:t>
            </w:r>
          </w:p>
        </w:tc>
        <w:tc>
          <w:tcPr>
            <w:tcW w:w="382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5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(22,362)</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(49,174)</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38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396,300</w:t>
            </w:r>
          </w:p>
        </w:tc>
        <w:tc>
          <w:tcPr>
            <w:tcW w:w="48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Granted</w:t>
            </w:r>
          </w:p>
        </w:tc>
        <w:tc>
          <w:tcPr>
            <w:tcW w:w="382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5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(99,000)</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(100,982)</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38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196,318</w:t>
            </w:r>
          </w:p>
        </w:tc>
        <w:tc>
          <w:tcPr>
            <w:tcW w:w="48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Exercisable at March 31, 2021</w:t>
            </w:r>
          </w:p>
        </w:tc>
        <w:tc>
          <w:tcPr>
            <w:tcW w:w="382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196,318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900" w:type="dxa"/>
            <w:vAlign w:val="bottom"/>
          </w:tcPr>
          <w:p>
            <w:pPr>
              <w:spacing w:after="0"/>
              <w:rPr>
                <w:sz w:val="24"/>
                <w:szCs w:val="24"/>
                <w:color w:val="auto"/>
              </w:rPr>
            </w:pPr>
          </w:p>
        </w:tc>
        <w:tc>
          <w:tcPr>
            <w:tcW w:w="3820" w:type="dxa"/>
            <w:vAlign w:val="bottom"/>
          </w:tcPr>
          <w:p>
            <w:pPr>
              <w:jc w:val="right"/>
              <w:ind w:right="1910"/>
              <w:spacing w:after="0"/>
              <w:rPr>
                <w:sz w:val="20"/>
                <w:szCs w:val="20"/>
                <w:color w:val="auto"/>
              </w:rPr>
            </w:pPr>
            <w:r>
              <w:rPr>
                <w:rFonts w:ascii="Arial" w:cs="Arial" w:eastAsia="Arial" w:hAnsi="Arial"/>
                <w:sz w:val="18"/>
                <w:szCs w:val="18"/>
                <w:color w:val="auto"/>
              </w:rPr>
              <w:t>80</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79" w:name="page80"/>
    <w:bookmarkEnd w:id="79"/>
    <w:p>
      <w:pPr>
        <w:ind w:left="500"/>
        <w:spacing w:after="0"/>
        <w:rPr>
          <w:sz w:val="20"/>
          <w:szCs w:val="20"/>
          <w:color w:val="auto"/>
        </w:rPr>
      </w:pPr>
      <w:r>
        <w:rPr>
          <w:rFonts w:ascii="Arial" w:cs="Arial" w:eastAsia="Arial" w:hAnsi="Arial"/>
          <w:sz w:val="18"/>
          <w:szCs w:val="18"/>
          <w:color w:val="auto"/>
        </w:rPr>
        <w:t>The following table summarizes the range of exercise prices on outstanding stock options at March 31, 2021:</w:t>
      </w:r>
    </w:p>
    <w:p>
      <w:pPr>
        <w:spacing w:after="0" w:line="325"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March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6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center"/>
              <w:ind w:right="25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3"/>
              </w:rPr>
              <w:t>Outstanding 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00" w:type="dxa"/>
            <w:vAlign w:val="bottom"/>
          </w:tcPr>
          <w:p>
            <w:pPr>
              <w:jc w:val="center"/>
              <w:ind w:right="276"/>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87"/>
              </w:rPr>
              <w:t>Vested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Life (Years)</w:t>
            </w:r>
          </w:p>
        </w:tc>
        <w:tc>
          <w:tcPr>
            <w:tcW w:w="240" w:type="dxa"/>
            <w:vAlign w:val="bottom"/>
          </w:tcPr>
          <w:p>
            <w:pPr>
              <w:spacing w:after="0"/>
              <w:rPr>
                <w:sz w:val="14"/>
                <w:szCs w:val="14"/>
                <w:color w:val="auto"/>
              </w:rPr>
            </w:pPr>
          </w:p>
        </w:tc>
        <w:tc>
          <w:tcPr>
            <w:tcW w:w="1200" w:type="dxa"/>
            <w:vAlign w:val="bottom"/>
          </w:tcPr>
          <w:p>
            <w:pPr>
              <w:jc w:val="center"/>
              <w:ind w:right="276"/>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$2.00 - 2.03</w:t>
            </w: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57,292</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1.21</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$2.41 - 2.75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92,936</w:t>
            </w:r>
          </w:p>
        </w:tc>
        <w:tc>
          <w:tcPr>
            <w:tcW w:w="1580" w:type="dxa"/>
            <w:vAlign w:val="bottom"/>
            <w:gridSpan w:val="4"/>
          </w:tcPr>
          <w:p>
            <w:pPr>
              <w:jc w:val="right"/>
              <w:ind w:right="43"/>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$4.19</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46,090</w:t>
            </w:r>
          </w:p>
        </w:tc>
        <w:tc>
          <w:tcPr>
            <w:tcW w:w="1580" w:type="dxa"/>
            <w:vAlign w:val="bottom"/>
            <w:gridSpan w:val="4"/>
            <w:shd w:val="clear" w:color="auto" w:fill="CFF0FC"/>
          </w:tcPr>
          <w:p>
            <w:pPr>
              <w:jc w:val="right"/>
              <w:ind w:right="43"/>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196,318</w:t>
            </w:r>
          </w:p>
        </w:tc>
        <w:tc>
          <w:tcPr>
            <w:tcW w:w="1580" w:type="dxa"/>
            <w:vAlign w:val="bottom"/>
            <w:gridSpan w:val="4"/>
          </w:tcPr>
          <w:p>
            <w:pPr>
              <w:jc w:val="right"/>
              <w:ind w:right="43"/>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gridSpan w:val="3"/>
          </w:tcPr>
          <w:p>
            <w:pPr>
              <w:ind w:left="500"/>
              <w:spacing w:after="0"/>
              <w:rPr>
                <w:sz w:val="20"/>
                <w:szCs w:val="20"/>
                <w:color w:val="auto"/>
              </w:rPr>
            </w:pPr>
            <w:r>
              <w:rPr>
                <w:rFonts w:ascii="Arial" w:cs="Arial" w:eastAsia="Arial" w:hAnsi="Arial"/>
                <w:sz w:val="18"/>
                <w:szCs w:val="18"/>
                <w:color w:val="auto"/>
                <w:w w:val="92"/>
              </w:rPr>
              <w:t>The following table summarizes information with respect to restricted shares activity:</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ind w:left="1175"/>
              <w:spacing w:after="0"/>
              <w:rPr>
                <w:sz w:val="20"/>
                <w:szCs w:val="20"/>
                <w:color w:val="auto"/>
              </w:rPr>
            </w:pPr>
            <w:r>
              <w:rPr>
                <w:rFonts w:ascii="Arial" w:cs="Arial" w:eastAsia="Arial" w:hAnsi="Arial"/>
                <w:sz w:val="14"/>
                <w:szCs w:val="14"/>
                <w:b w:val="1"/>
                <w:bCs w:val="1"/>
                <w:color w:val="auto"/>
                <w:w w:val="94"/>
              </w:rPr>
              <w:t>Fiscal Year Ended March 31,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2021</w:t>
            </w:r>
          </w:p>
        </w:tc>
        <w:tc>
          <w:tcPr>
            <w:tcW w:w="15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276"/>
              <w:spacing w:after="0" w:line="155"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772,720</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8"/>
                <w:szCs w:val="18"/>
                <w:color w:val="auto"/>
              </w:rPr>
              <w:t>1,312,593</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1,485,799</w:t>
            </w:r>
          </w:p>
        </w:tc>
        <w:tc>
          <w:tcPr>
            <w:tcW w:w="0" w:type="dxa"/>
            <w:vAlign w:val="bottom"/>
          </w:tcPr>
          <w:p>
            <w:pPr>
              <w:spacing w:after="0"/>
              <w:rPr>
                <w:sz w:val="1"/>
                <w:szCs w:val="1"/>
                <w:color w:val="auto"/>
              </w:rPr>
            </w:pPr>
          </w:p>
        </w:tc>
      </w:t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Shares issued</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287,998</w:t>
            </w:r>
          </w:p>
        </w:tc>
        <w:tc>
          <w:tcPr>
            <w:tcW w:w="1580" w:type="dxa"/>
            <w:vAlign w:val="bottom"/>
            <w:gridSpan w:val="4"/>
          </w:tcPr>
          <w:p>
            <w:pPr>
              <w:jc w:val="right"/>
              <w:ind w:right="23"/>
              <w:spacing w:after="0"/>
              <w:rPr>
                <w:sz w:val="20"/>
                <w:szCs w:val="20"/>
                <w:color w:val="auto"/>
              </w:rPr>
            </w:pPr>
            <w:r>
              <w:rPr>
                <w:rFonts w:ascii="Arial" w:cs="Arial" w:eastAsia="Arial" w:hAnsi="Arial"/>
                <w:sz w:val="18"/>
                <w:szCs w:val="18"/>
                <w:color w:val="auto"/>
              </w:rPr>
              <w:t>279,468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529,000</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Shares vested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(450,481)</w:t>
            </w:r>
          </w:p>
        </w:tc>
        <w:tc>
          <w:tcPr>
            <w:tcW w:w="15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(669,238)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(653,394)</w:t>
            </w:r>
          </w:p>
        </w:tc>
        <w:tc>
          <w:tcPr>
            <w:tcW w:w="0" w:type="dxa"/>
            <w:vAlign w:val="bottom"/>
          </w:tcPr>
          <w:p>
            <w:pPr>
              <w:spacing w:after="0"/>
              <w:rPr>
                <w:sz w:val="1"/>
                <w:szCs w:val="1"/>
                <w:color w:val="auto"/>
              </w:rPr>
            </w:pPr>
          </w:p>
        </w:tc>
      </w:t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Shares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(140,598)</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(150,103)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(48,812)</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Shares outstanding at March 31, 2021</w:t>
            </w:r>
          </w:p>
        </w:tc>
        <w:tc>
          <w:tcPr>
            <w:tcW w:w="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469,639</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8"/>
                <w:szCs w:val="18"/>
                <w:color w:val="auto"/>
              </w:rPr>
              <w:t>772,720</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1,312,593</w:t>
            </w:r>
          </w:p>
        </w:tc>
        <w:tc>
          <w:tcPr>
            <w:tcW w:w="0" w:type="dxa"/>
            <w:vAlign w:val="bottom"/>
          </w:tcPr>
          <w:p>
            <w:pPr>
              <w:spacing w:after="0"/>
              <w:rPr>
                <w:sz w:val="1"/>
                <w:szCs w:val="1"/>
                <w:color w:val="auto"/>
              </w:rPr>
            </w:pPr>
          </w:p>
        </w:tc>
      </w:t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Per share price on grant date</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$3.92 - 10.01</w:t>
            </w:r>
          </w:p>
        </w:tc>
        <w:tc>
          <w:tcPr>
            <w:tcW w:w="1580" w:type="dxa"/>
            <w:vAlign w:val="bottom"/>
            <w:gridSpan w:val="4"/>
          </w:tcPr>
          <w:p>
            <w:pPr>
              <w:jc w:val="right"/>
              <w:ind w:right="23"/>
              <w:spacing w:after="0"/>
              <w:rPr>
                <w:sz w:val="20"/>
                <w:szCs w:val="20"/>
                <w:color w:val="auto"/>
              </w:rPr>
            </w:pPr>
            <w:r>
              <w:rPr>
                <w:rFonts w:ascii="Arial" w:cs="Arial" w:eastAsia="Arial" w:hAnsi="Arial"/>
                <w:sz w:val="18"/>
                <w:szCs w:val="18"/>
                <w:color w:val="auto"/>
              </w:rPr>
              <w:t>$2.69 - 3.03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$0.84 - 1.00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2021, Orion recognized $0.8 million of stock-based compensation expense related to restricted shares.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the weighted average grant-date fair value of restricted shares granted was $4.27.</w:t>
      </w:r>
    </w:p>
    <w:p>
      <w:pPr>
        <w:spacing w:after="0" w:line="225"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Unrecognized compensation cost related to non-vested common stock-based compensation as of March 31, 2021 is expected to be recognized as follows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484</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Fiscal 2023</w:t>
            </w:r>
          </w:p>
        </w:tc>
        <w:tc>
          <w:tcPr>
            <w:tcW w:w="66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361</w:t>
            </w: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6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w:t>
            </w:r>
          </w:p>
        </w:tc>
      </w:tr>
      <w:tr>
        <w:trPr>
          <w:trHeight w:val="230"/>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Fiscal 2025</w:t>
            </w: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948</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Remaining weighted average expected term</w:t>
            </w:r>
          </w:p>
        </w:tc>
        <w:tc>
          <w:tcPr>
            <w:tcW w:w="6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3.1 years</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DATA</w:t>
      </w:r>
    </w:p>
    <w:p>
      <w:pPr>
        <w:spacing w:after="0" w:line="121"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engineering, design, lighting products and in many cases turnkey solutions for large national accounts, governments, municipalities, schools and other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17"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contractors.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9"/>
          </w:tcPr>
          <w:p>
            <w:pPr>
              <w:jc w:val="center"/>
              <w:ind w:left="357"/>
              <w:spacing w:after="0"/>
              <w:rPr>
                <w:sz w:val="20"/>
                <w:szCs w:val="20"/>
                <w:color w:val="auto"/>
              </w:rPr>
            </w:pPr>
            <w:r>
              <w:rPr>
                <w:rFonts w:ascii="Arial" w:cs="Arial" w:eastAsia="Arial" w:hAnsi="Arial"/>
                <w:sz w:val="14"/>
                <w:szCs w:val="14"/>
                <w:b w:val="1"/>
                <w:bCs w:val="1"/>
                <w:color w:val="auto"/>
                <w:w w:val="93"/>
              </w:rPr>
              <w:t>Operating Income (Loss)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416"/>
              <w:spacing w:after="0"/>
              <w:rPr>
                <w:sz w:val="20"/>
                <w:szCs w:val="20"/>
                <w:color w:val="auto"/>
              </w:rPr>
            </w:pPr>
            <w:r>
              <w:rPr>
                <w:rFonts w:ascii="Arial" w:cs="Arial" w:eastAsia="Arial" w:hAnsi="Arial"/>
                <w:sz w:val="14"/>
                <w:szCs w:val="14"/>
                <w:b w:val="1"/>
                <w:bCs w:val="1"/>
                <w:color w:val="auto"/>
                <w:w w:val="93"/>
              </w:rPr>
              <w:t>For the year ended March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center"/>
              <w:ind w:left="377"/>
              <w:spacing w:after="0"/>
              <w:rPr>
                <w:sz w:val="20"/>
                <w:szCs w:val="20"/>
                <w:color w:val="auto"/>
              </w:rPr>
            </w:pPr>
            <w:r>
              <w:rPr>
                <w:rFonts w:ascii="Arial" w:cs="Arial" w:eastAsia="Arial" w:hAnsi="Arial"/>
                <w:sz w:val="14"/>
                <w:szCs w:val="14"/>
                <w:b w:val="1"/>
                <w:bCs w:val="1"/>
                <w:color w:val="auto"/>
                <w:w w:val="94"/>
              </w:rPr>
              <w:t>For the year ended March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214"/>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77"/>
              <w:spacing w:after="0" w:line="155" w:lineRule="exact"/>
              <w:rPr>
                <w:sz w:val="20"/>
                <w:szCs w:val="20"/>
                <w:color w:val="auto"/>
              </w:rPr>
            </w:pPr>
            <w:r>
              <w:rPr>
                <w:rFonts w:ascii="Arial" w:cs="Arial" w:eastAsia="Arial" w:hAnsi="Arial"/>
                <w:sz w:val="14"/>
                <w:szCs w:val="14"/>
                <w:b w:val="1"/>
                <w:bCs w:val="1"/>
                <w:color w:val="auto"/>
              </w:rPr>
              <w:t>2021</w:t>
            </w:r>
          </w:p>
        </w:tc>
        <w:tc>
          <w:tcPr>
            <w:tcW w:w="880" w:type="dxa"/>
            <w:vAlign w:val="bottom"/>
            <w:gridSpan w:val="5"/>
          </w:tcPr>
          <w:p>
            <w:pPr>
              <w:jc w:val="center"/>
              <w:ind w:left="335"/>
              <w:spacing w:after="0" w:line="155" w:lineRule="exact"/>
              <w:rPr>
                <w:sz w:val="20"/>
                <w:szCs w:val="20"/>
                <w:color w:val="auto"/>
              </w:rPr>
            </w:pPr>
            <w:r>
              <w:rPr>
                <w:rFonts w:ascii="Arial" w:cs="Arial" w:eastAsia="Arial" w:hAnsi="Arial"/>
                <w:sz w:val="14"/>
                <w:szCs w:val="14"/>
                <w:b w:val="1"/>
                <w:bCs w:val="1"/>
                <w:color w:val="auto"/>
                <w:w w:val="96"/>
              </w:rPr>
              <w:t>2020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Engineered Systems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84,243</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122,744</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30,925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7,472</w:t>
            </w:r>
          </w:p>
        </w:tc>
        <w:tc>
          <w:tcPr>
            <w:tcW w:w="620" w:type="dxa"/>
            <w:vAlign w:val="bottom"/>
            <w:gridSpan w:val="3"/>
          </w:tcPr>
          <w:p>
            <w:pPr>
              <w:jc w:val="right"/>
              <w:ind w:right="296"/>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9"/>
              <w:spacing w:after="0"/>
              <w:rPr>
                <w:sz w:val="20"/>
                <w:szCs w:val="20"/>
                <w:color w:val="auto"/>
              </w:rPr>
            </w:pPr>
            <w:r>
              <w:rPr>
                <w:rFonts w:ascii="Arial" w:cs="Arial" w:eastAsia="Arial" w:hAnsi="Arial"/>
                <w:sz w:val="18"/>
                <w:szCs w:val="18"/>
                <w:color w:val="auto"/>
                <w:w w:val="94"/>
              </w:rPr>
              <w:t>16,164</w:t>
            </w:r>
          </w:p>
        </w:tc>
        <w:tc>
          <w:tcPr>
            <w:tcW w:w="1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Distribution Services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21,122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15,087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24,173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2,430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U.S. Markets</w:t>
            </w:r>
          </w:p>
        </w:tc>
        <w:tc>
          <w:tcPr>
            <w:tcW w:w="2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11,475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13,010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1,683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3"/>
          </w:tcPr>
          <w:p>
            <w:pPr>
              <w:jc w:val="right"/>
              <w:ind w:right="39"/>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116,840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150,841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65,754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6,836</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w w:val="94"/>
              </w:rPr>
              <w:t>13,110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6"/>
          </w:tcPr>
          <w:p>
            <w:pPr>
              <w:jc w:val="center"/>
              <w:ind w:left="416"/>
              <w:spacing w:after="0"/>
              <w:rPr>
                <w:sz w:val="20"/>
                <w:szCs w:val="20"/>
                <w:color w:val="auto"/>
              </w:rPr>
            </w:pPr>
            <w:r>
              <w:rPr>
                <w:rFonts w:ascii="Arial" w:cs="Arial" w:eastAsia="Arial" w:hAnsi="Arial"/>
                <w:sz w:val="14"/>
                <w:szCs w:val="14"/>
                <w:b w:val="1"/>
                <w:bCs w:val="1"/>
                <w:color w:val="auto"/>
                <w:w w:val="93"/>
              </w:rPr>
              <w:t>Depreciation and Amortization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Capital Expenditures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416"/>
              <w:spacing w:after="0"/>
              <w:rPr>
                <w:sz w:val="20"/>
                <w:szCs w:val="20"/>
                <w:color w:val="auto"/>
              </w:rPr>
            </w:pPr>
            <w:r>
              <w:rPr>
                <w:rFonts w:ascii="Arial" w:cs="Arial" w:eastAsia="Arial" w:hAnsi="Arial"/>
                <w:sz w:val="14"/>
                <w:szCs w:val="14"/>
                <w:b w:val="1"/>
                <w:bCs w:val="1"/>
                <w:color w:val="auto"/>
                <w:w w:val="93"/>
              </w:rPr>
              <w:t>For the year ended March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center"/>
              <w:ind w:left="377"/>
              <w:spacing w:after="0"/>
              <w:rPr>
                <w:sz w:val="20"/>
                <w:szCs w:val="20"/>
                <w:color w:val="auto"/>
              </w:rPr>
            </w:pPr>
            <w:r>
              <w:rPr>
                <w:rFonts w:ascii="Arial" w:cs="Arial" w:eastAsia="Arial" w:hAnsi="Arial"/>
                <w:sz w:val="14"/>
                <w:szCs w:val="14"/>
                <w:b w:val="1"/>
                <w:bCs w:val="1"/>
                <w:color w:val="auto"/>
                <w:w w:val="94"/>
              </w:rPr>
              <w:t>For the year ended March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214"/>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77"/>
              <w:spacing w:after="0" w:line="155" w:lineRule="exact"/>
              <w:rPr>
                <w:sz w:val="20"/>
                <w:szCs w:val="20"/>
                <w:color w:val="auto"/>
              </w:rPr>
            </w:pPr>
            <w:r>
              <w:rPr>
                <w:rFonts w:ascii="Arial" w:cs="Arial" w:eastAsia="Arial" w:hAnsi="Arial"/>
                <w:sz w:val="14"/>
                <w:szCs w:val="14"/>
                <w:b w:val="1"/>
                <w:bCs w:val="1"/>
                <w:color w:val="auto"/>
              </w:rPr>
              <w:t>2021</w:t>
            </w:r>
          </w:p>
        </w:tc>
        <w:tc>
          <w:tcPr>
            <w:tcW w:w="880" w:type="dxa"/>
            <w:vAlign w:val="bottom"/>
            <w:gridSpan w:val="5"/>
          </w:tcPr>
          <w:p>
            <w:pPr>
              <w:jc w:val="center"/>
              <w:ind w:left="335"/>
              <w:spacing w:after="0" w:line="155" w:lineRule="exact"/>
              <w:rPr>
                <w:sz w:val="20"/>
                <w:szCs w:val="20"/>
                <w:color w:val="auto"/>
              </w:rPr>
            </w:pPr>
            <w:r>
              <w:rPr>
                <w:rFonts w:ascii="Arial" w:cs="Arial" w:eastAsia="Arial" w:hAnsi="Arial"/>
                <w:sz w:val="14"/>
                <w:szCs w:val="14"/>
                <w:b w:val="1"/>
                <w:bCs w:val="1"/>
                <w:color w:val="auto"/>
                <w:w w:val="96"/>
              </w:rPr>
              <w:t>2020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Engineered Systems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1,013</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516</w:t>
            </w:r>
          </w:p>
        </w:tc>
        <w:tc>
          <w:tcPr>
            <w:tcW w:w="620" w:type="dxa"/>
            <w:vAlign w:val="bottom"/>
            <w:gridSpan w:val="3"/>
          </w:tcPr>
          <w:p>
            <w:pPr>
              <w:jc w:val="right"/>
              <w:ind w:right="296"/>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9"/>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Distribution Services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U.S. Markets</w:t>
            </w:r>
          </w:p>
        </w:tc>
        <w:tc>
          <w:tcPr>
            <w:tcW w:w="2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3"/>
          </w:tcPr>
          <w:p>
            <w:pPr>
              <w:jc w:val="right"/>
              <w:ind w:right="39"/>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902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8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256"/>
              <w:spacing w:after="0" w:line="155" w:lineRule="exact"/>
              <w:rPr>
                <w:sz w:val="20"/>
                <w:szCs w:val="20"/>
                <w:color w:val="auto"/>
              </w:rPr>
            </w:pPr>
            <w:r>
              <w:rPr>
                <w:rFonts w:ascii="Arial" w:cs="Arial" w:eastAsia="Arial" w:hAnsi="Arial"/>
                <w:sz w:val="14"/>
                <w:szCs w:val="14"/>
                <w:b w:val="1"/>
                <w:bCs w:val="1"/>
                <w:color w:val="auto"/>
              </w:rPr>
              <w:t>March 31, 2021</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gridSpan w:val="4"/>
          </w:tcPr>
          <w:p>
            <w:pPr>
              <w:jc w:val="right"/>
              <w:ind w:right="332"/>
              <w:spacing w:after="0" w:line="155" w:lineRule="exact"/>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Segments: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Engineered Systems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29,856</w:t>
            </w:r>
          </w:p>
        </w:tc>
        <w:tc>
          <w:tcPr>
            <w:tcW w:w="66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22,354</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Distribution Services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U.S. Markets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6,057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50,378</w:t>
            </w: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39,848</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92,821</w:t>
            </w: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72,563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Orion’s revenue outside the United States is insignificant and Orion has no long-lived assets outside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RESTRUCTURING EXPENSE</w:t>
      </w:r>
    </w:p>
    <w:p>
      <w:pPr>
        <w:spacing w:after="0" w:line="121"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color w:val="auto"/>
        </w:rPr>
        <w:t>During the fourth quarter of fiscal 2020, as part of Orion’s response to the impacts of the COVID-19 pandemic, Orion entered into separation agreements with multiple employees, and recognized $0.4 million of expense. Orion’s restructuring expense for the 12 months ended March 31, 2021, 2020 and 2019 is reflected within its consolidated statements of operations as follows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jc w:val="center"/>
              <w:ind w:left="159"/>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jc w:val="center"/>
              <w:ind w:left="179"/>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3980" w:type="dxa"/>
            <w:vAlign w:val="bottom"/>
            <w:gridSpan w:val="2"/>
          </w:tcPr>
          <w:p>
            <w:pPr>
              <w:jc w:val="center"/>
              <w:ind w:left="3059"/>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29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Cost of product service</w:t>
            </w:r>
          </w:p>
        </w:tc>
        <w:tc>
          <w:tcPr>
            <w:tcW w:w="2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ind w:left="9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Sales and marketing</w:t>
            </w:r>
          </w:p>
        </w:tc>
        <w:tc>
          <w:tcPr>
            <w:tcW w:w="29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207</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391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900" w:type="dxa"/>
            <w:vAlign w:val="bottom"/>
            <w:vMerge w:val="restart"/>
          </w:tcPr>
          <w:p>
            <w:pPr>
              <w:jc w:val="right"/>
              <w:ind w:right="839"/>
              <w:spacing w:after="0"/>
              <w:rPr>
                <w:sz w:val="20"/>
                <w:szCs w:val="20"/>
                <w:color w:val="auto"/>
              </w:rPr>
            </w:pPr>
            <w:r>
              <w:rPr>
                <w:rFonts w:ascii="Arial" w:cs="Arial" w:eastAsia="Arial" w:hAnsi="Arial"/>
                <w:sz w:val="18"/>
                <w:szCs w:val="18"/>
                <w:color w:val="auto"/>
              </w:rPr>
              <w:t>82</w:t>
            </w: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81" w:name="page82"/>
    <w:bookmarkEnd w:id="81"/>
    <w:p>
      <w:pPr>
        <w:ind w:left="500"/>
        <w:spacing w:after="0"/>
        <w:rPr>
          <w:sz w:val="20"/>
          <w:szCs w:val="20"/>
          <w:color w:val="auto"/>
        </w:rPr>
      </w:pPr>
      <w:r>
        <w:rPr>
          <w:rFonts w:ascii="Arial" w:cs="Arial" w:eastAsia="Arial" w:hAnsi="Arial"/>
          <w:sz w:val="18"/>
          <w:szCs w:val="18"/>
          <w:color w:val="auto"/>
        </w:rPr>
        <w:t>Total restructuring expense by segment was recorded as follows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80" w:type="dxa"/>
            <w:vAlign w:val="bottom"/>
          </w:tcPr>
          <w:p>
            <w:pPr>
              <w:jc w:val="center"/>
              <w:ind w:left="161"/>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240" w:type="dxa"/>
            <w:vAlign w:val="bottom"/>
          </w:tcPr>
          <w:p>
            <w:pPr>
              <w:jc w:val="center"/>
              <w:ind w:right="238"/>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6640" w:type="dxa"/>
            <w:vAlign w:val="bottom"/>
          </w:tcPr>
          <w:p>
            <w:pPr>
              <w:spacing w:after="0"/>
              <w:rPr>
                <w:sz w:val="14"/>
                <w:szCs w:val="14"/>
                <w:color w:val="auto"/>
              </w:rPr>
            </w:pPr>
          </w:p>
        </w:tc>
        <w:tc>
          <w:tcPr>
            <w:tcW w:w="10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40" w:type="dxa"/>
            <w:vAlign w:val="bottom"/>
          </w:tcPr>
          <w:p>
            <w:pPr>
              <w:jc w:val="center"/>
              <w:ind w:right="238"/>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6640" w:type="dxa"/>
            <w:vAlign w:val="bottom"/>
          </w:tcPr>
          <w:p>
            <w:pPr>
              <w:spacing w:after="0"/>
              <w:rPr>
                <w:sz w:val="14"/>
                <w:szCs w:val="14"/>
                <w:color w:val="auto"/>
              </w:rPr>
            </w:pPr>
          </w:p>
        </w:tc>
        <w:tc>
          <w:tcPr>
            <w:tcW w:w="1080" w:type="dxa"/>
            <w:vAlign w:val="bottom"/>
          </w:tcPr>
          <w:p>
            <w:pPr>
              <w:jc w:val="center"/>
              <w:ind w:left="161"/>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3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38"/>
              <w:spacing w:after="0"/>
              <w:rPr>
                <w:sz w:val="20"/>
                <w:szCs w:val="20"/>
                <w:color w:val="auto"/>
              </w:rPr>
            </w:pPr>
            <w:r>
              <w:rPr>
                <w:rFonts w:ascii="Arial" w:cs="Arial" w:eastAsia="Arial" w:hAnsi="Arial"/>
                <w:sz w:val="14"/>
                <w:szCs w:val="14"/>
                <w:b w:val="1"/>
                <w:bCs w:val="1"/>
                <w:color w:val="auto"/>
                <w:w w:val="89"/>
              </w:rPr>
              <w:t>2019</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Orion Engineered Systems</w:t>
            </w:r>
          </w:p>
        </w:tc>
        <w:tc>
          <w:tcPr>
            <w:tcW w:w="1080" w:type="dxa"/>
            <w:vAlign w:val="bottom"/>
            <w:shd w:val="clear" w:color="auto" w:fill="CFF0FC"/>
          </w:tcPr>
          <w:p>
            <w:pPr>
              <w:jc w:val="right"/>
              <w:ind w:right="90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Orion Distribution Systems</w:t>
            </w:r>
          </w:p>
        </w:tc>
        <w:tc>
          <w:tcPr>
            <w:tcW w:w="108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12</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0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31</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43</w:t>
            </w:r>
          </w:p>
        </w:tc>
      </w:tr>
      <w:tr>
        <w:trPr>
          <w:trHeight w:val="20"/>
        </w:trPr>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12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79"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On May 5, 2021, Orion announced a $0.5 million strategic investment in ndustrial, a provider of software and services that optimize industrial facilities across all stages of discrete and process manufacturing supply chains. Orion secured an equity stake in ndustrial through its participation in the ndustrial’s $6 million Series A financing.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FINANCIAL DATA (UNAUDITED)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Summary quarterly results for the years ended March 31, 2021 and March 31, 2020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center"/>
              <w:ind w:right="292"/>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6"/>
        </w:trPr>
        <w:tc>
          <w:tcPr>
            <w:tcW w:w="4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96"/>
              </w:rPr>
              <w:t>Jun 30, 2020</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w w:val="90"/>
              </w:rPr>
              <w:t>Sep 30, 2020</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92"/>
              </w:rPr>
              <w:t>Dec 31, 2020</w:t>
            </w:r>
          </w:p>
        </w:tc>
        <w:tc>
          <w:tcPr>
            <w:tcW w:w="1240" w:type="dxa"/>
            <w:vAlign w:val="bottom"/>
            <w:tcBorders>
              <w:bottom w:val="single" w:sz="8" w:color="auto"/>
            </w:tcBorders>
            <w:gridSpan w:val="2"/>
          </w:tcPr>
          <w:p>
            <w:pPr>
              <w:jc w:val="right"/>
              <w:ind w:right="71"/>
              <w:spacing w:after="0" w:line="155" w:lineRule="exact"/>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60" w:type="dxa"/>
            <w:vAlign w:val="bottom"/>
            <w:gridSpan w:val="5"/>
          </w:tcPr>
          <w:p>
            <w:pPr>
              <w:jc w:val="center"/>
              <w:ind w:left="894"/>
              <w:spacing w:after="0" w:line="155" w:lineRule="exact"/>
              <w:rPr>
                <w:sz w:val="20"/>
                <w:szCs w:val="20"/>
                <w:color w:val="auto"/>
              </w:rPr>
            </w:pPr>
            <w:r>
              <w:rPr>
                <w:rFonts w:ascii="Arial" w:cs="Arial" w:eastAsia="Arial" w:hAnsi="Arial"/>
                <w:sz w:val="14"/>
                <w:szCs w:val="14"/>
                <w:b w:val="1"/>
                <w:bCs w:val="1"/>
                <w:color w:val="auto"/>
                <w:w w:val="90"/>
              </w:rPr>
              <w:t>(in thousands, except per share amounts)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10,811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26,281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44,251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35,497</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116,840</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2,635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7,263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11,006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9,220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30,124</w:t>
            </w: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4,315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22,124</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26,134</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Basic net income (loss) per share </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0.72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0.85</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basic per share calculation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30,352</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30,669</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30,736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30,782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30,635</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Diluted net loss per share </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0.71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0.83</w:t>
            </w: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diluted per share calculation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30,352</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31,170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31,320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31,295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31,304</w:t>
            </w:r>
          </w:p>
        </w:tc>
      </w:tr>
      <w:tr>
        <w:trPr>
          <w:trHeight w:val="473"/>
        </w:trPr>
        <w:tc>
          <w:tcPr>
            <w:tcW w:w="4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right="292"/>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6"/>
        </w:trPr>
        <w:tc>
          <w:tcPr>
            <w:tcW w:w="4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96"/>
              </w:rPr>
              <w:t>Jun 30, 2019</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w w:val="90"/>
              </w:rPr>
              <w:t>Sep 30, 2019</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92"/>
              </w:rPr>
              <w:t>Dec 31, 2019</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w w:val="93"/>
              </w:rPr>
              <w:t>Mar 31, 2020</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60" w:type="dxa"/>
            <w:vAlign w:val="bottom"/>
            <w:gridSpan w:val="5"/>
          </w:tcPr>
          <w:p>
            <w:pPr>
              <w:jc w:val="center"/>
              <w:ind w:left="894"/>
              <w:spacing w:after="0" w:line="155" w:lineRule="exact"/>
              <w:rPr>
                <w:sz w:val="20"/>
                <w:szCs w:val="20"/>
                <w:color w:val="auto"/>
              </w:rPr>
            </w:pPr>
            <w:r>
              <w:rPr>
                <w:rFonts w:ascii="Arial" w:cs="Arial" w:eastAsia="Arial" w:hAnsi="Arial"/>
                <w:sz w:val="14"/>
                <w:szCs w:val="14"/>
                <w:b w:val="1"/>
                <w:bCs w:val="1"/>
                <w:color w:val="auto"/>
                <w:w w:val="90"/>
              </w:rPr>
              <w:t>(in thousands, except per share amounts)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42,378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48,322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34,249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25,892</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150,841</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10,283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12,791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8,274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5,775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37,123</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3,968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6,721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2,304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12,462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0.13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0.41</w:t>
            </w: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basic per share calculation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29,723</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30,189</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30,244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30,105</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0.13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0.40</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diluted per share calculation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30,551</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30,830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30,824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30,965</w:t>
            </w:r>
          </w:p>
        </w:tc>
      </w:tr>
    </w:tbl>
    <w:p>
      <w:pPr>
        <w:spacing w:after="0" w:line="229" w:lineRule="exact"/>
        <w:rPr>
          <w:sz w:val="20"/>
          <w:szCs w:val="20"/>
          <w:color w:val="auto"/>
        </w:rPr>
      </w:pPr>
    </w:p>
    <w:p>
      <w:pPr>
        <w:ind w:left="760" w:right="20" w:hanging="752"/>
        <w:spacing w:after="0" w:line="25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$20.9 million of tax benefit related to the release of the valuation allowance on deferred tax assets during the three months ended March 31, 2021.</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 $0.4 million restructuring charge during the three months ended March 31, 2020.</w:t>
      </w:r>
    </w:p>
    <w:p>
      <w:pPr>
        <w:spacing w:after="0" w:line="211"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The four quarters for net earnings per share may not add to the total year because of differences in the weighted average number of shares outstanding during the quarters and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76"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2021, pursuant to Exchange Act Rule 13a-15(b) and 15d-15. Based on that evaluation, our Chief Executive Officer and our Chief Financial Officer have concluded that our disclosure controls and procedures were effective at a level of reasonable assurance as of March 31, 2021.</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GAAP.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860" w:hanging="366"/>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860" w:hanging="366"/>
        <w:spacing w:after="0" w:line="342"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860" w:hanging="366"/>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our assessment, management believes that, as of March 31, 2021, our internal control over financial reporting was effective.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2021,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information required by this item with respect to directors, executive officers and corporate governance is incorporated by reference to our Proxy Statement for our 2021 Annual Meeting of Shareholders to be filed with the SEC within 120 days after the end of the fiscal year ended March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11.EXECUTIVE COMPENSATION</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2021 Annual Meeting of Shareholders to be filed with the SEC within 120 days after the end of the fiscal year ended March 31, 2021.</w:t>
      </w:r>
    </w:p>
    <w:p>
      <w:pPr>
        <w:spacing w:after="0" w:line="274" w:lineRule="exact"/>
        <w:rPr>
          <w:sz w:val="20"/>
          <w:szCs w:val="20"/>
          <w:color w:val="auto"/>
        </w:rPr>
      </w:pPr>
    </w:p>
    <w:p>
      <w:pPr>
        <w:jc w:val="both"/>
        <w:ind w:left="760" w:hanging="755"/>
        <w:spacing w:after="0" w:line="282" w:lineRule="auto"/>
        <w:rPr>
          <w:sz w:val="20"/>
          <w:szCs w:val="20"/>
          <w:color w:val="auto"/>
        </w:rPr>
      </w:pPr>
      <w:r>
        <w:rPr>
          <w:rFonts w:ascii="Arial" w:cs="Arial" w:eastAsia="Arial" w:hAnsi="Arial"/>
          <w:sz w:val="18"/>
          <w:szCs w:val="18"/>
          <w:b w:val="1"/>
          <w:bCs w:val="1"/>
          <w:color w:val="auto"/>
        </w:rPr>
        <w:t>ITEM 12.SECURITY OWNERSHIP OF CERTAIN BENEFICIAL OWNERS AND MANAGEMENT AND RELATED SHAREHOLDER MATTERS</w:t>
      </w:r>
    </w:p>
    <w:p>
      <w:pPr>
        <w:spacing w:after="0" w:line="58"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 xml:space="preserve">See Item 5, </w:t>
      </w:r>
      <w:r>
        <w:rPr>
          <w:rFonts w:ascii="Arial" w:cs="Arial" w:eastAsia="Arial" w:hAnsi="Arial"/>
          <w:sz w:val="18"/>
          <w:szCs w:val="18"/>
          <w:i w:val="1"/>
          <w:iCs w:val="1"/>
          <w:color w:val="auto"/>
        </w:rPr>
        <w:t>Market for Registrant’s Common Equity, Related Shareholder Matters and Issuer Purchaser of Securities</w:t>
      </w:r>
      <w:r>
        <w:rPr>
          <w:rFonts w:ascii="Arial" w:cs="Arial" w:eastAsia="Arial" w:hAnsi="Arial"/>
          <w:sz w:val="18"/>
          <w:szCs w:val="18"/>
          <w:color w:val="auto"/>
        </w:rPr>
        <w:t>, under the heading “Equity Compensation Plan Information” for information regarding our securities authorized for issuance under equity compensation plans. The additional information required by this item is incorporated by reference to our Proxy Statement for its 2021 Annual Meeting of Shareholders to be filed with the SEC within 120 days after the end of the fiscal year ended March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2021 Annual Meeting of Shareholders to be filed with the SEC within 120 days after the end of the fiscal year ended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2021 Annual Meeting of Shareholders to be filed with the SEC within 120 days after the end of the fiscal year ended March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117" w:lineRule="exact"/>
        <w:rPr>
          <w:sz w:val="20"/>
          <w:szCs w:val="20"/>
          <w:color w:val="auto"/>
        </w:rPr>
      </w:pPr>
    </w:p>
    <w:p>
      <w:pPr>
        <w:ind w:left="500"/>
        <w:spacing w:after="0"/>
        <w:tabs>
          <w:tab w:leader="none" w:pos="8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statements are set forth in Item 8 of this Form 10-K.</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6" w:name="page87"/>
    <w:bookmarkEnd w:id="86"/>
    <w:p>
      <w:pPr>
        <w:jc w:val="center"/>
        <w:ind w:right="6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980" w:right="560" w:hanging="753"/>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18">
        <w:r>
          <w:rPr>
            <w:rFonts w:ascii="Arial" w:cs="Arial" w:eastAsia="Arial" w:hAnsi="Arial"/>
            <w:sz w:val="18"/>
            <w:szCs w:val="18"/>
            <w:u w:val="single" w:color="auto"/>
            <w:color w:val="0000EE"/>
          </w:rPr>
          <w:t>Amended and Restated Articles of Incorporation of Orion Energy Systems, Inc., filed as Exhibit 3.3 to the Registrant’s Form S-1 filed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August 20, 2007, is hereby incorporated by reference.</w:t>
        </w:r>
      </w:hyperlink>
    </w:p>
    <w:p>
      <w:pPr>
        <w:spacing w:after="0" w:line="76" w:lineRule="exact"/>
        <w:rPr>
          <w:sz w:val="20"/>
          <w:szCs w:val="20"/>
          <w:color w:val="auto"/>
        </w:rPr>
      </w:pPr>
    </w:p>
    <w:p>
      <w:pPr>
        <w:jc w:val="both"/>
        <w:ind w:left="980" w:hanging="753"/>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19">
        <w:r>
          <w:rPr>
            <w:rFonts w:ascii="Arial" w:cs="Arial" w:eastAsia="Arial" w:hAnsi="Arial"/>
            <w:sz w:val="18"/>
            <w:szCs w:val="18"/>
            <w:u w:val="single" w:color="auto"/>
            <w:color w:val="0000EE"/>
          </w:rPr>
          <w:t>Amended and Restated Bylaws of Orion Energy Systems, Inc., filed as Exhibit 3.1 to the Registrant’s Form 8-K filed May 22, 2020, is</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hereby incorporated by reference.</w:t>
        </w:r>
      </w:hyperlink>
    </w:p>
    <w:p>
      <w:pPr>
        <w:spacing w:after="0" w:line="76" w:lineRule="exact"/>
        <w:rPr>
          <w:sz w:val="20"/>
          <w:szCs w:val="20"/>
          <w:color w:val="auto"/>
        </w:rPr>
      </w:pPr>
    </w:p>
    <w:p>
      <w:pPr>
        <w:jc w:val="both"/>
        <w:ind w:left="980" w:hanging="753"/>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20">
        <w:r>
          <w:rPr>
            <w:rFonts w:ascii="Arial" w:cs="Arial" w:eastAsia="Arial" w:hAnsi="Arial"/>
            <w:sz w:val="18"/>
            <w:szCs w:val="18"/>
            <w:u w:val="single" w:color="auto"/>
            <w:color w:val="0000EE"/>
          </w:rPr>
          <w:t>Rights Agreement, dated as of January 7, 2009, between Orion Energy Systems, Inc. and Wells Fargo Bank, N.A., which includes as</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Exhibit A thereto the Form of Right Certificate and as Exhibit B thereto the Summary of Common Share Purchase Rights, filed as</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Exhibit 4.1 to the Registrant’s Form 8-A filed January 8, 2009, is hereby incorporated by reference.</w:t>
        </w:r>
      </w:hyperlink>
    </w:p>
    <w:p>
      <w:pPr>
        <w:spacing w:after="0" w:line="89" w:lineRule="exact"/>
        <w:rPr>
          <w:rFonts w:ascii="Arial" w:cs="Arial" w:eastAsia="Arial" w:hAnsi="Arial"/>
          <w:sz w:val="18"/>
          <w:szCs w:val="18"/>
          <w:u w:val="single" w:color="auto"/>
          <w:color w:val="0000EE"/>
        </w:rPr>
      </w:pPr>
    </w:p>
    <w:p>
      <w:pPr>
        <w:jc w:val="both"/>
        <w:ind w:left="980" w:hanging="753"/>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21">
        <w:r>
          <w:rPr>
            <w:rFonts w:ascii="Arial" w:cs="Arial" w:eastAsia="Arial" w:hAnsi="Arial"/>
            <w:sz w:val="18"/>
            <w:szCs w:val="18"/>
            <w:u w:val="single" w:color="auto"/>
            <w:color w:val="0000EE"/>
          </w:rPr>
          <w:t>Amendment No. 1 to the Rights Agreement, dated as of January 3, 2019, between the Company and Equiniti Trust Company (as successor to</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Wells Fargo Bank, N.A.), as Rights Agent, filed as Exhibit 4.1 to the Registrants Form 8-K filed January 3, 2019, is hereby incorporated by</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reference.</w:t>
        </w:r>
      </w:hyperlink>
    </w:p>
    <w:p>
      <w:pPr>
        <w:spacing w:after="0" w:line="89" w:lineRule="exact"/>
        <w:rPr>
          <w:rFonts w:ascii="Arial" w:cs="Arial" w:eastAsia="Arial" w:hAnsi="Arial"/>
          <w:sz w:val="18"/>
          <w:szCs w:val="18"/>
          <w:u w:val="single" w:color="auto"/>
          <w:color w:val="0000EE"/>
        </w:rPr>
      </w:pPr>
    </w:p>
    <w:p>
      <w:pPr>
        <w:jc w:val="both"/>
        <w:ind w:left="980" w:hanging="753"/>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22">
        <w:r>
          <w:rPr>
            <w:rFonts w:ascii="Arial" w:cs="Arial" w:eastAsia="Arial" w:hAnsi="Arial"/>
            <w:sz w:val="18"/>
            <w:szCs w:val="18"/>
            <w:u w:val="single" w:color="auto"/>
            <w:color w:val="0000EE"/>
          </w:rPr>
          <w:t>Description of Orion Energy Systems, Inc. Capital Stock, filed as Exhibit 4.3 to the Registrant’s Form 10-K filed on June 5, 2019 is hereby</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incorporated by reference.</w:t>
        </w:r>
      </w:hyperlink>
    </w:p>
    <w:p>
      <w:pPr>
        <w:spacing w:after="0" w:line="76" w:lineRule="exact"/>
        <w:rPr>
          <w:sz w:val="20"/>
          <w:szCs w:val="20"/>
          <w:color w:val="auto"/>
        </w:rPr>
      </w:pPr>
    </w:p>
    <w:p>
      <w:pPr>
        <w:jc w:val="both"/>
        <w:ind w:left="980" w:hanging="798"/>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23">
        <w:r>
          <w:rPr>
            <w:rFonts w:ascii="Arial" w:cs="Arial" w:eastAsia="Arial" w:hAnsi="Arial"/>
            <w:sz w:val="18"/>
            <w:szCs w:val="18"/>
            <w:u w:val="single" w:color="auto"/>
            <w:color w:val="0000EE"/>
          </w:rPr>
          <w:t>Loan and Security Agreement dated as of December 29, 2020 among Orion Energy Systems, Inc., Bank of America, N.A., as lender, and the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subsidiary borrowers party thereto, filed as Exhibit 10.1 to Registrant’s Form 8-K filed on January 5, 2021, is hereby incorporated by</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reference.</w:t>
        </w:r>
      </w:hyperlink>
    </w:p>
    <w:p>
      <w:pPr>
        <w:spacing w:after="0" w:line="89" w:lineRule="exact"/>
        <w:rPr>
          <w:rFonts w:ascii="Arial" w:cs="Arial" w:eastAsia="Arial" w:hAnsi="Arial"/>
          <w:sz w:val="18"/>
          <w:szCs w:val="18"/>
          <w:u w:val="single" w:color="auto"/>
          <w:color w:val="0000EE"/>
        </w:rPr>
      </w:pPr>
    </w:p>
    <w:p>
      <w:pPr>
        <w:jc w:val="both"/>
        <w:ind w:left="980" w:hanging="798"/>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24">
        <w:r>
          <w:rPr>
            <w:rFonts w:ascii="Arial" w:cs="Arial" w:eastAsia="Arial" w:hAnsi="Arial"/>
            <w:sz w:val="18"/>
            <w:szCs w:val="18"/>
            <w:u w:val="single" w:color="auto"/>
            <w:color w:val="0000EE"/>
          </w:rPr>
          <w:t>Orion Energy Systems, Inc. 2004 Stock and Incentive Awards Plan, filed as Exhibit 10.9 to the Registrant’s Form S-1 filed August 20, 2007,</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is hereby incorporated by reference.*</w:t>
        </w:r>
      </w:hyperlink>
    </w:p>
    <w:p>
      <w:pPr>
        <w:spacing w:after="0" w:line="76" w:lineRule="exact"/>
        <w:rPr>
          <w:sz w:val="20"/>
          <w:szCs w:val="20"/>
          <w:color w:val="auto"/>
        </w:rPr>
      </w:pPr>
    </w:p>
    <w:p>
      <w:pPr>
        <w:jc w:val="both"/>
        <w:ind w:left="980" w:hanging="798"/>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25">
        <w:r>
          <w:rPr>
            <w:rFonts w:ascii="Arial" w:cs="Arial" w:eastAsia="Arial" w:hAnsi="Arial"/>
            <w:sz w:val="18"/>
            <w:szCs w:val="18"/>
            <w:u w:val="single" w:color="auto"/>
            <w:color w:val="0000EE"/>
          </w:rPr>
          <w:t>Amendment to Orion Energy Systems, Inc. 2004 Stock and Incentive Awards Plan, filed September 9, 2011 as Appendix A to the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Registrant’s definitive proxy statement is hereby incorporated by reference.*</w:t>
        </w:r>
      </w:hyperlink>
    </w:p>
    <w:p>
      <w:pPr>
        <w:spacing w:after="0" w:line="76" w:lineRule="exact"/>
        <w:rPr>
          <w:sz w:val="20"/>
          <w:szCs w:val="20"/>
          <w:color w:val="auto"/>
        </w:rPr>
      </w:pPr>
    </w:p>
    <w:p>
      <w:pPr>
        <w:jc w:val="both"/>
        <w:ind w:left="980" w:hanging="798"/>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26">
        <w:r>
          <w:rPr>
            <w:rFonts w:ascii="Arial" w:cs="Arial" w:eastAsia="Arial" w:hAnsi="Arial"/>
            <w:sz w:val="18"/>
            <w:szCs w:val="18"/>
            <w:u w:val="single" w:color="auto"/>
            <w:color w:val="0000EE"/>
          </w:rPr>
          <w:t>Form of Stock Option Agreement under the Orion Energy Systems, Inc. 2004 Equity Incentive Plan, filed as Exhibit 10.10 to the Registrant’s</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Form S-1 filed August 20, 2007, is hereby incorporated by reference.*</w:t>
        </w:r>
      </w:hyperlink>
    </w:p>
    <w:p>
      <w:pPr>
        <w:spacing w:after="0" w:line="76" w:lineRule="exact"/>
        <w:rPr>
          <w:sz w:val="20"/>
          <w:szCs w:val="20"/>
          <w:color w:val="auto"/>
        </w:rPr>
      </w:pPr>
    </w:p>
    <w:p>
      <w:pPr>
        <w:jc w:val="both"/>
        <w:ind w:left="980" w:hanging="798"/>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27">
        <w:r>
          <w:rPr>
            <w:rFonts w:ascii="Arial" w:cs="Arial" w:eastAsia="Arial" w:hAnsi="Arial"/>
            <w:sz w:val="18"/>
            <w:szCs w:val="18"/>
            <w:u w:val="single" w:color="auto"/>
            <w:color w:val="0000EE"/>
          </w:rPr>
          <w:t>Form of Stock Option Agreement as of May 14, 2013 under the Orion Energy Systems, Inc. 2004 Stock and Incentive Awards Plan, filed as</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Exhibit 10.7 to the Registrant’s Form 10-K filed on June 13, 2014, is hereby incorporated by reference.*</w:t>
        </w:r>
      </w:hyperlink>
    </w:p>
    <w:p>
      <w:pPr>
        <w:spacing w:after="0" w:line="76" w:lineRule="exact"/>
        <w:rPr>
          <w:sz w:val="20"/>
          <w:szCs w:val="20"/>
          <w:color w:val="auto"/>
        </w:rPr>
      </w:pPr>
    </w:p>
    <w:p>
      <w:pPr>
        <w:ind w:left="980" w:hanging="825"/>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28">
        <w:r>
          <w:rPr>
            <w:rFonts w:ascii="Arial" w:cs="Arial" w:eastAsia="Arial" w:hAnsi="Arial"/>
            <w:sz w:val="18"/>
            <w:szCs w:val="18"/>
            <w:u w:val="single" w:color="auto"/>
            <w:color w:val="0000EE"/>
          </w:rPr>
          <w:t>Orion Energy Systems, Inc. 2016 Omnibus Incentive Plan, as amended and restated, filed as Annex A to the Registrant’s Definitive Proxy</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Statement on Schedule 14A filed on June 21, 2019, is hereby incorporated by reference.*</w:t>
        </w:r>
      </w:hyperlink>
    </w:p>
    <w:p>
      <w:pPr>
        <w:spacing w:after="0" w:line="76" w:lineRule="exact"/>
        <w:rPr>
          <w:sz w:val="20"/>
          <w:szCs w:val="20"/>
          <w:color w:val="auto"/>
        </w:rPr>
      </w:pPr>
    </w:p>
    <w:p>
      <w:pPr>
        <w:ind w:left="980" w:hanging="821"/>
        <w:spacing w:after="0" w:line="308"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29">
        <w:r>
          <w:rPr>
            <w:rFonts w:ascii="Arial" w:cs="Arial" w:eastAsia="Arial" w:hAnsi="Arial"/>
            <w:sz w:val="17"/>
            <w:szCs w:val="17"/>
            <w:u w:val="single" w:color="auto"/>
            <w:color w:val="0000EE"/>
          </w:rPr>
          <w:t>Form of Non-Employee Director Tandem Restricted Stock and Cash Award Agreement under the Orion Energy Systems, Inc. 2016 Omnibus</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Incentive Plan, filed as Exhibit 4.5 to the Registrant’s Form S-8 filed August 10, 2016, is hereby incorporated by reference.*</w:t>
        </w:r>
      </w:hyperlink>
    </w:p>
    <w:p>
      <w:pPr>
        <w:spacing w:after="0" w:line="52" w:lineRule="exact"/>
        <w:rPr>
          <w:sz w:val="20"/>
          <w:szCs w:val="20"/>
          <w:color w:val="auto"/>
        </w:rPr>
      </w:pPr>
    </w:p>
    <w:p>
      <w:pPr>
        <w:ind w:left="980" w:hanging="82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0">
        <w:r>
          <w:rPr>
            <w:rFonts w:ascii="Arial" w:cs="Arial" w:eastAsia="Arial" w:hAnsi="Arial"/>
            <w:sz w:val="18"/>
            <w:szCs w:val="18"/>
            <w:u w:val="single" w:color="auto"/>
            <w:color w:val="0000EE"/>
          </w:rPr>
          <w:t>Form of Non-Employee Director Restricted Stock Award Agreement under the Orion Energy Systems, Inc. 2016 Omnibus Incentive Plan,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filed as Exhibit 4.6 to the Registrant’s Form S-8 filed August 10, 2016, is hereby incorporated by reference.*</w:t>
        </w:r>
      </w:hyperlink>
    </w:p>
    <w:p>
      <w:pPr>
        <w:spacing w:after="0" w:line="76" w:lineRule="exact"/>
        <w:rPr>
          <w:sz w:val="20"/>
          <w:szCs w:val="20"/>
          <w:color w:val="auto"/>
        </w:rPr>
      </w:pPr>
    </w:p>
    <w:p>
      <w:pPr>
        <w:ind w:left="980" w:hanging="82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1">
        <w:r>
          <w:rPr>
            <w:rFonts w:ascii="Arial" w:cs="Arial" w:eastAsia="Arial" w:hAnsi="Arial"/>
            <w:sz w:val="18"/>
            <w:szCs w:val="18"/>
            <w:u w:val="single" w:color="auto"/>
            <w:color w:val="0000EE"/>
          </w:rPr>
          <w:t>Form of Executive Tandem Restricted Stock and Cash Award Agreement under the Orion Energy Systems, Inc. 2016 Omnibus Incentive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Plan, filed as Exhibit 4.7 to the Registrant’s Form S-8 filed August 10, 2016, is hereby incorporated by reference.*</w:t>
        </w:r>
      </w:hyperlink>
    </w:p>
    <w:p>
      <w:pPr>
        <w:spacing w:after="0" w:line="76" w:lineRule="exact"/>
        <w:rPr>
          <w:sz w:val="20"/>
          <w:szCs w:val="20"/>
          <w:color w:val="auto"/>
        </w:rPr>
      </w:pPr>
    </w:p>
    <w:p>
      <w:pPr>
        <w:ind w:left="1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32">
        <w:r>
          <w:rPr>
            <w:rFonts w:ascii="Arial" w:cs="Arial" w:eastAsia="Arial" w:hAnsi="Arial"/>
            <w:sz w:val="16"/>
            <w:szCs w:val="16"/>
            <w:u w:val="single" w:color="auto"/>
            <w:color w:val="0000EE"/>
          </w:rPr>
          <w:t>Form of Executive Restricted Stock Award Agreement under the Orion Energy Systems, Inc. 2016 Omnibus Incentive Plan, filed as Exhibit</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4.8 to the Registrant’s Form S-8 filed August 10, 2016, is hereby incorporated by reference.*</w:t>
        </w:r>
      </w:hyperlink>
    </w:p>
    <w:p>
      <w:pPr>
        <w:spacing w:after="0" w:line="116" w:lineRule="exact"/>
        <w:rPr>
          <w:sz w:val="20"/>
          <w:szCs w:val="20"/>
          <w:color w:val="auto"/>
        </w:rPr>
      </w:pPr>
    </w:p>
    <w:p>
      <w:pPr>
        <w:ind w:left="980" w:hanging="836"/>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3">
        <w:r>
          <w:rPr>
            <w:rFonts w:ascii="Arial" w:cs="Arial" w:eastAsia="Arial" w:hAnsi="Arial"/>
            <w:sz w:val="18"/>
            <w:szCs w:val="18"/>
            <w:u w:val="single" w:color="auto"/>
            <w:color w:val="0000EE"/>
          </w:rPr>
          <w:t>Orion Energy Systems, Inc. Non-Employee Director Compensation Plan, updated and effective as of February 7, 2020, filed as Exhibit 10.14</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to the Registrant’s Form 10-K filed on June 5, 2020, is hereby incorporated by reference.*</w:t>
        </w:r>
      </w:hyperlink>
    </w:p>
    <w:p>
      <w:pPr>
        <w:spacing w:after="0" w:line="76" w:lineRule="exact"/>
        <w:rPr>
          <w:sz w:val="20"/>
          <w:szCs w:val="20"/>
          <w:color w:val="auto"/>
        </w:rPr>
      </w:pPr>
    </w:p>
    <w:p>
      <w:pPr>
        <w:ind w:left="980" w:right="100" w:hanging="866"/>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4">
        <w:r>
          <w:rPr>
            <w:rFonts w:ascii="Arial" w:cs="Arial" w:eastAsia="Arial" w:hAnsi="Arial"/>
            <w:sz w:val="18"/>
            <w:szCs w:val="18"/>
            <w:u w:val="single" w:color="auto"/>
            <w:color w:val="0000EE"/>
          </w:rPr>
          <w:t>Amended and Restated Executive Employment and Severance Agreement, dated as of June 1, 2020, by and between Orion Energy Systems,</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Inc. and Michael W. Altschaefl, filed as Exhibit 10.15 to the Registrant’s Form 10-K filed on June 5, 2020, is hereby incorporated by</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reference.*</w:t>
        </w:r>
      </w:hyperlink>
    </w:p>
    <w:p>
      <w:pPr>
        <w:spacing w:after="0" w:line="89" w:lineRule="exact"/>
        <w:rPr>
          <w:rFonts w:ascii="Arial" w:cs="Arial" w:eastAsia="Arial" w:hAnsi="Arial"/>
          <w:sz w:val="18"/>
          <w:szCs w:val="18"/>
          <w:u w:val="single" w:color="auto"/>
          <w:color w:val="0000EE"/>
        </w:rPr>
      </w:pPr>
    </w:p>
    <w:p>
      <w:pPr>
        <w:ind w:left="980" w:hanging="840"/>
        <w:spacing w:after="0" w:line="34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35">
        <w:r>
          <w:rPr>
            <w:rFonts w:ascii="Arial" w:cs="Arial" w:eastAsia="Arial" w:hAnsi="Arial"/>
            <w:sz w:val="16"/>
            <w:szCs w:val="16"/>
            <w:u w:val="single" w:color="auto"/>
            <w:color w:val="0000EE"/>
          </w:rPr>
          <w:t>Amended and Restated Executive Employment and Severance Agreement, dated as of June 1, 2020, by and between Orion Energy Systems,</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Inc. and William T. Hull, filed as Exhibit 10.16 to the Registrant’s Form 10-K filed on June 5, 2020, is hereby incorporated by reference.*</w:t>
        </w:r>
      </w:hyperlink>
    </w:p>
    <w:p>
      <w:pPr>
        <w:spacing w:after="0" w:line="29" w:lineRule="exact"/>
        <w:rPr>
          <w:sz w:val="20"/>
          <w:szCs w:val="20"/>
          <w:color w:val="auto"/>
        </w:rPr>
      </w:pPr>
    </w:p>
    <w:p>
      <w:pPr>
        <w:ind w:left="980" w:hanging="840"/>
        <w:spacing w:after="0" w:line="308"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136">
        <w:r>
          <w:rPr>
            <w:rFonts w:ascii="Arial" w:cs="Arial" w:eastAsia="Arial" w:hAnsi="Arial"/>
            <w:sz w:val="17"/>
            <w:szCs w:val="17"/>
            <w:u w:val="single" w:color="auto"/>
            <w:color w:val="0000EE"/>
          </w:rPr>
          <w:t>Voluntary Retirement Agreement and Release, dated as of September 21, 2020, between Orion Energy Systems, Inc. and William T. Hull,</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filed as Exhibit 10.1 to the Registrant's Form 8-K filed on September 23, 2020, is hereby incorporated by reference.*</w:t>
        </w:r>
      </w:hyperlink>
    </w:p>
    <w:p>
      <w:pPr>
        <w:spacing w:after="0" w:line="52" w:lineRule="exact"/>
        <w:rPr>
          <w:sz w:val="20"/>
          <w:szCs w:val="20"/>
          <w:color w:val="auto"/>
        </w:rPr>
      </w:pPr>
    </w:p>
    <w:p>
      <w:pPr>
        <w:ind w:left="980" w:hanging="840"/>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37">
        <w:r>
          <w:rPr>
            <w:rFonts w:ascii="Arial" w:cs="Arial" w:eastAsia="Arial" w:hAnsi="Arial"/>
            <w:sz w:val="18"/>
            <w:szCs w:val="18"/>
            <w:u w:val="single" w:color="auto"/>
            <w:color w:val="0000EE"/>
          </w:rPr>
          <w:t>Executive Employment and Severance Agreement, effective as of October 19, 2020, between Orion Energy Systems, Inc. and J. Per Brodin,</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filed as Exhibit 10.1 to the Registrant's Form 8-K filed on October 15, 2020, is hereby incorporated by reference.*</w:t>
        </w:r>
      </w:hyperlink>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80" w:top="553" w:right="339" w:bottom="1440" w:gutter="0" w:footer="0" w:header="0"/>
        </w:sectPr>
      </w:pPr>
    </w:p>
    <w:bookmarkStart w:id="87" w:name="page88"/>
    <w:bookmarkEnd w:id="87"/>
    <w:p>
      <w:pPr>
        <w:ind w:left="1040" w:hanging="840"/>
        <w:spacing w:after="0" w:line="342"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39">
        <w:r>
          <w:rPr>
            <w:rFonts w:ascii="Arial" w:cs="Arial" w:eastAsia="Arial" w:hAnsi="Arial"/>
            <w:sz w:val="16"/>
            <w:szCs w:val="16"/>
            <w:u w:val="single" w:color="auto"/>
            <w:color w:val="0000EE"/>
          </w:rPr>
          <w:t>Amended and Restated Executive Employment and Severance Agreement, dated as of June 1, 2020, by and between Orion Energy Systems,</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Inc. and Scott A. Green, filed as Exhibit 10.17 to the Registrant's Form 10-K filed on June 5, 2020, is hereby incorporated by reference*</w:t>
        </w:r>
      </w:hyperlink>
    </w:p>
    <w:p>
      <w:pPr>
        <w:spacing w:after="0" w:line="29" w:lineRule="exact"/>
        <w:rPr>
          <w:sz w:val="20"/>
          <w:szCs w:val="20"/>
          <w:color w:val="auto"/>
        </w:rPr>
      </w:pPr>
    </w:p>
    <w:p>
      <w:pPr>
        <w:ind w:left="1040" w:right="180" w:hanging="866"/>
        <w:spacing w:after="0" w:line="308" w:lineRule="auto"/>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10.17</w:t>
      </w:r>
      <w:r>
        <w:rPr>
          <w:sz w:val="20"/>
          <w:szCs w:val="20"/>
          <w:color w:val="auto"/>
        </w:rPr>
        <w:tab/>
      </w:r>
      <w:hyperlink r:id="rId140">
        <w:r>
          <w:rPr>
            <w:rFonts w:ascii="Arial" w:cs="Arial" w:eastAsia="Arial" w:hAnsi="Arial"/>
            <w:sz w:val="17"/>
            <w:szCs w:val="17"/>
            <w:u w:val="single" w:color="auto"/>
            <w:color w:val="0000EE"/>
          </w:rPr>
          <w:t>Mutual Retirement and Severance Agreement, dated as of June 30, 2017, by and between Orion Energy Systems, Inc. and Michael J. Potts,</w:t>
        </w:r>
      </w:hyperlink>
      <w:r>
        <w:rPr>
          <w:rFonts w:ascii="Arial" w:cs="Arial" w:eastAsia="Arial" w:hAnsi="Arial"/>
          <w:sz w:val="17"/>
          <w:szCs w:val="17"/>
          <w:u w:val="single" w:color="auto"/>
          <w:color w:val="0000EE"/>
        </w:rPr>
        <w:t xml:space="preserve"> </w:t>
      </w:r>
      <w:hyperlink r:id="rId140">
        <w:r>
          <w:rPr>
            <w:rFonts w:ascii="Arial" w:cs="Arial" w:eastAsia="Arial" w:hAnsi="Arial"/>
            <w:sz w:val="17"/>
            <w:szCs w:val="17"/>
            <w:u w:val="single" w:color="auto"/>
            <w:color w:val="0000EE"/>
          </w:rPr>
          <w:t>filed as Exhibit 10.1 to the Registrant's Form 8-K filed on June 30, 2017, is hereby incorporated by reference. *</w:t>
        </w:r>
      </w:hyperlink>
    </w:p>
    <w:p>
      <w:pPr>
        <w:spacing w:after="0" w:line="52" w:lineRule="exact"/>
        <w:rPr>
          <w:sz w:val="20"/>
          <w:szCs w:val="20"/>
          <w:color w:val="auto"/>
        </w:rPr>
      </w:pPr>
    </w:p>
    <w:p>
      <w:pPr>
        <w:ind w:left="1040" w:right="500" w:hanging="866"/>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41">
        <w:r>
          <w:rPr>
            <w:rFonts w:ascii="Arial" w:cs="Arial" w:eastAsia="Arial" w:hAnsi="Arial"/>
            <w:sz w:val="18"/>
            <w:szCs w:val="18"/>
            <w:u w:val="single" w:color="auto"/>
            <w:color w:val="0000EE"/>
          </w:rPr>
          <w:t>At Market Issuance Sales Agreement between Orion Energy Systems, Inc. and B. Riley Securities, Inc., dated March 26, 2021, filed as</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Exhibit 10.1 to the Registrant's Form 8-K filed on March 26, 2021, is hereby incorporated by reference.</w:t>
        </w:r>
      </w:hyperlink>
    </w:p>
    <w:p>
      <w:pPr>
        <w:spacing w:after="0" w:line="76"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90">
        <w:r>
          <w:rPr>
            <w:rFonts w:ascii="Arial" w:cs="Arial" w:eastAsia="Arial" w:hAnsi="Arial"/>
            <w:sz w:val="16"/>
            <w:szCs w:val="16"/>
            <w:u w:val="single" w:color="auto"/>
            <w:color w:val="0000EE"/>
          </w:rPr>
          <w:t>Subsidiaries of Orion Energy Systems, Inc.+</w:t>
        </w:r>
      </w:hyperlink>
    </w:p>
    <w:p>
      <w:pPr>
        <w:spacing w:after="0" w:line="131"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1">
        <w:r>
          <w:rPr>
            <w:rFonts w:ascii="Arial" w:cs="Arial" w:eastAsia="Arial" w:hAnsi="Arial"/>
            <w:sz w:val="16"/>
            <w:szCs w:val="16"/>
            <w:u w:val="single" w:color="auto"/>
            <w:color w:val="0000EE"/>
          </w:rPr>
          <w:t>Consent of Independent Registered Public Accounting Firm. +</w:t>
        </w:r>
      </w:hyperlink>
    </w:p>
    <w:p>
      <w:pPr>
        <w:spacing w:after="0" w:line="131" w:lineRule="exact"/>
        <w:rPr>
          <w:sz w:val="20"/>
          <w:szCs w:val="20"/>
          <w:color w:val="auto"/>
        </w:rPr>
      </w:pPr>
    </w:p>
    <w:p>
      <w:pPr>
        <w:jc w:val="both"/>
        <w:ind w:left="1040" w:hanging="798"/>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92">
        <w:r>
          <w:rPr>
            <w:rFonts w:ascii="Arial" w:cs="Arial" w:eastAsia="Arial" w:hAnsi="Arial"/>
            <w:sz w:val="18"/>
            <w:szCs w:val="18"/>
            <w:u w:val="single" w:color="auto"/>
            <w:color w:val="0000EE"/>
          </w:rPr>
          <w:t>Certification of Chief Executive Officer of Orion Energy Systems, Inc. pursuant to Rule 13a-14(a) or Rule 15d-14(a) promulgated under the</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Securities Exchange Act of 1934, as amended. +</w:t>
        </w:r>
      </w:hyperlink>
    </w:p>
    <w:p>
      <w:pPr>
        <w:spacing w:after="0" w:line="76" w:lineRule="exact"/>
        <w:rPr>
          <w:sz w:val="20"/>
          <w:szCs w:val="20"/>
          <w:color w:val="auto"/>
        </w:rPr>
      </w:pPr>
    </w:p>
    <w:p>
      <w:pPr>
        <w:jc w:val="both"/>
        <w:ind w:left="1040" w:hanging="798"/>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93">
        <w:r>
          <w:rPr>
            <w:rFonts w:ascii="Arial" w:cs="Arial" w:eastAsia="Arial" w:hAnsi="Arial"/>
            <w:sz w:val="18"/>
            <w:szCs w:val="18"/>
            <w:u w:val="single" w:color="auto"/>
            <w:color w:val="0000EE"/>
          </w:rPr>
          <w:t>Certification of Chief Financial Officer of Orion Energy Systems, Inc. pursuant to Rule 13a-14(a) or Rule 15d-14(a) promulgated under the</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Securities Exchange Act of 1934, as amended. +</w:t>
        </w:r>
      </w:hyperlink>
    </w:p>
    <w:p>
      <w:pPr>
        <w:spacing w:after="0" w:line="76" w:lineRule="exact"/>
        <w:rPr>
          <w:sz w:val="20"/>
          <w:szCs w:val="20"/>
          <w:color w:val="auto"/>
        </w:rPr>
      </w:pPr>
    </w:p>
    <w:p>
      <w:pPr>
        <w:jc w:val="both"/>
        <w:ind w:left="1040" w:hanging="798"/>
        <w:spacing w:after="0" w:line="263"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94">
        <w:r>
          <w:rPr>
            <w:rFonts w:ascii="Arial" w:cs="Arial" w:eastAsia="Arial" w:hAnsi="Arial"/>
            <w:sz w:val="18"/>
            <w:szCs w:val="18"/>
            <w:u w:val="single" w:color="auto"/>
            <w:color w:val="0000EE"/>
          </w:rPr>
          <w:t>Certification of Chief Executive Officer and Chief Financial Officer of Orion Energy Systems, Inc. pursuant to Rule 13a-14(b) promulgated</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under the Securities Exchange Act of 1934, as amended, and 18 U.S.C. Section 1350, as adopted pursuant to Section 906 of the Sarbanes-</w:t>
        </w:r>
      </w:hyperlink>
      <w:hyperlink w:anchor="page94">
        <w:r>
          <w:rPr>
            <w:rFonts w:ascii="Arial" w:cs="Arial" w:eastAsia="Arial" w:hAnsi="Arial"/>
            <w:sz w:val="18"/>
            <w:szCs w:val="18"/>
            <w:u w:val="single" w:color="auto"/>
            <w:color w:val="0000EE"/>
          </w:rPr>
          <w:t>Oxley Act of 2002. +</w:t>
        </w:r>
      </w:hyperlink>
    </w:p>
    <w:p>
      <w:pPr>
        <w:spacing w:after="0" w:line="89" w:lineRule="exact"/>
        <w:rPr>
          <w:rFonts w:ascii="Arial" w:cs="Arial" w:eastAsia="Arial" w:hAnsi="Arial"/>
          <w:sz w:val="18"/>
          <w:szCs w:val="18"/>
          <w:u w:val="single" w:color="auto"/>
          <w:color w:val="0000EE"/>
        </w:rPr>
      </w:pPr>
    </w:p>
    <w:p>
      <w:pPr>
        <w:ind w:left="1040" w:hanging="776"/>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101.INS XBRL Instance Document+</w:t>
      </w:r>
    </w:p>
    <w:p>
      <w:pPr>
        <w:spacing w:after="0" w:line="13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101.SCH Taxonomy extension schema document+</w:t>
      </w:r>
    </w:p>
    <w:p>
      <w:pPr>
        <w:spacing w:after="0" w:line="13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101.CAL Taxonomy extension calculation linkbase document+</w:t>
      </w:r>
    </w:p>
    <w:p>
      <w:pPr>
        <w:spacing w:after="0" w:line="13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101.DEF Taxonomy extension definition linkbase document+</w:t>
      </w:r>
    </w:p>
    <w:p>
      <w:pPr>
        <w:spacing w:after="0" w:line="13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101.LAB Taxonomy extension label linkbase document+</w:t>
      </w:r>
    </w:p>
    <w:p>
      <w:pPr>
        <w:spacing w:after="0" w:line="13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101.PRE Taxonomy extension presentation linkbase document+</w:t>
      </w:r>
    </w:p>
    <w:p>
      <w:pPr>
        <w:spacing w:after="0" w:line="252" w:lineRule="exact"/>
        <w:rPr>
          <w:rFonts w:ascii="Arial" w:cs="Arial" w:eastAsia="Arial" w:hAnsi="Arial"/>
          <w:sz w:val="18"/>
          <w:szCs w:val="18"/>
          <w:u w:val="single" w:color="auto"/>
          <w:color w:val="0000EE"/>
        </w:rPr>
      </w:pPr>
    </w:p>
    <w:p>
      <w:pPr>
        <w:ind w:left="500"/>
        <w:spacing w:after="0"/>
        <w:rPr>
          <w:sz w:val="20"/>
          <w:szCs w:val="20"/>
          <w:color w:val="auto"/>
        </w:rPr>
      </w:pPr>
      <w:r>
        <w:rPr>
          <w:rFonts w:ascii="Arial" w:cs="Arial" w:eastAsia="Arial" w:hAnsi="Arial"/>
          <w:sz w:val="16"/>
          <w:szCs w:val="16"/>
          <w:color w:val="auto"/>
        </w:rPr>
        <w:t>Documents incorporated by reference by Orion Energy Systems, Inc. are filed with the Securities and Exchange Commission under File No. 001-</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33887.</w:t>
      </w:r>
    </w:p>
    <w:p>
      <w:pPr>
        <w:spacing w:after="0" w:line="157" w:lineRule="exact"/>
        <w:rPr>
          <w:rFonts w:ascii="Arial" w:cs="Arial" w:eastAsia="Arial" w:hAnsi="Arial"/>
          <w:sz w:val="18"/>
          <w:szCs w:val="18"/>
          <w:u w:val="single" w:color="auto"/>
          <w:color w:val="0000EE"/>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31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121" w:lineRule="exact"/>
        <w:rPr>
          <w:rFonts w:ascii="Arial" w:cs="Arial" w:eastAsia="Arial" w:hAnsi="Arial"/>
          <w:sz w:val="18"/>
          <w:szCs w:val="18"/>
          <w:u w:val="single" w:color="auto"/>
          <w:color w:val="0000EE"/>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June 1, 2021.</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ORION ENERGY SYSTEMS, INC.</w:t>
      </w:r>
    </w:p>
    <w:p>
      <w:pPr>
        <w:spacing w:after="0" w:line="131" w:lineRule="exact"/>
        <w:rPr>
          <w:sz w:val="20"/>
          <w:szCs w:val="20"/>
          <w:color w:val="auto"/>
        </w:rPr>
      </w:pPr>
    </w:p>
    <w:tbl>
      <w:tblPr>
        <w:tblLayout w:type="fixed"/>
        <w:tblInd w:w="72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 ALTSCHAEFL</w:t>
            </w:r>
          </w:p>
        </w:tc>
      </w:tr>
      <w:tr>
        <w:trPr>
          <w:trHeight w:val="195"/>
        </w:trPr>
        <w:tc>
          <w:tcPr>
            <w:tcW w:w="6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Michael W. Altschaefl</w:t>
            </w:r>
          </w:p>
        </w:tc>
      </w:tr>
      <w:tr>
        <w:trPr>
          <w:trHeight w:val="230"/>
        </w:trPr>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Executive Officer and Board Chair</w:t>
            </w:r>
          </w:p>
        </w:tc>
      </w:tr>
    </w:tbl>
    <w:p>
      <w:pPr>
        <w:spacing w:after="0" w:line="229"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indicated on June 1,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4"/>
                <w:szCs w:val="14"/>
                <w:color w:val="auto"/>
              </w:rPr>
            </w:pPr>
          </w:p>
        </w:tc>
        <w:tc>
          <w:tcPr>
            <w:tcW w:w="550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Title</w:t>
            </w:r>
          </w:p>
        </w:tc>
      </w:tr>
      <w:tr>
        <w:trPr>
          <w:trHeight w:val="33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W. Altschaefl</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Chief Executive Officer and Board Chair (Principal</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4"/>
              </w:rPr>
              <w:t>Michael W. Altschaefl</w:t>
            </w: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Executive Officer)</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 Per Brodin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Chief Financial Officer, Chief Accounting Officer and</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0"/>
              </w:rPr>
              <w:t>J. Per Brodin</w:t>
            </w: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Treasurer (Principal Financial Officer)</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Anthony L. Otten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Lead Independent 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Anthony L. Otten</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Alan B. Howe</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5"/>
              </w:rPr>
              <w:t>Alan B. Howe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Potts</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89"/>
              </w:rPr>
              <w:t>Michael J. Potts</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Ellen B. Richstone</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1"/>
              </w:rPr>
              <w:t>Ellen B. Richstone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C. Williamson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4"/>
              </w:rPr>
              <w:t>Mark C. Williamson</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4"/>
        </w:trPr>
        <w:tc>
          <w:tcPr>
            <w:tcW w:w="55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90</w:t>
            </w:r>
          </w:p>
        </w:tc>
        <w:tc>
          <w:tcPr>
            <w:tcW w:w="55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220" w:type="dxa"/>
            <w:vAlign w:val="bottom"/>
            <w:gridSpan w:val="3"/>
          </w:tcPr>
          <w:p>
            <w:pPr>
              <w:ind w:left="1140"/>
              <w:spacing w:after="0"/>
              <w:rPr>
                <w:sz w:val="20"/>
                <w:szCs w:val="20"/>
                <w:color w:val="auto"/>
              </w:rPr>
            </w:pPr>
            <w:r>
              <w:rPr>
                <w:rFonts w:ascii="Arial" w:cs="Arial" w:eastAsia="Arial" w:hAnsi="Arial"/>
                <w:sz w:val="18"/>
                <w:szCs w:val="18"/>
                <w:b w:val="1"/>
                <w:bCs w:val="1"/>
                <w:color w:val="auto"/>
              </w:rPr>
              <w:t>Subsidiaries</w:t>
            </w:r>
          </w:p>
        </w:tc>
      </w:tr>
      <w:tr>
        <w:trPr>
          <w:trHeight w:val="459"/>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1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Jurisdiction of Organization</w:t>
            </w:r>
          </w:p>
        </w:tc>
      </w:tr>
      <w:tr>
        <w:trPr>
          <w:trHeight w:val="195"/>
        </w:trPr>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Great Lakes Energy Technologies, LLC</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ind w:left="40"/>
              <w:spacing w:after="0" w:line="195" w:lineRule="exact"/>
              <w:rPr>
                <w:sz w:val="20"/>
                <w:szCs w:val="20"/>
                <w:color w:val="auto"/>
              </w:rPr>
            </w:pPr>
            <w:r>
              <w:rPr>
                <w:rFonts w:ascii="Arial" w:cs="Arial" w:eastAsia="Arial" w:hAnsi="Arial"/>
                <w:sz w:val="18"/>
                <w:szCs w:val="18"/>
                <w:color w:val="auto"/>
              </w:rPr>
              <w:t>Wisconsin</w:t>
            </w:r>
          </w:p>
        </w:tc>
      </w:tr>
      <w:tr>
        <w:trPr>
          <w:trHeight w:val="216"/>
        </w:trPr>
        <w:tc>
          <w:tcPr>
            <w:tcW w:w="4020" w:type="dxa"/>
            <w:vAlign w:val="bottom"/>
          </w:tcPr>
          <w:p>
            <w:pPr>
              <w:ind w:left="40"/>
              <w:spacing w:after="0"/>
              <w:rPr>
                <w:sz w:val="20"/>
                <w:szCs w:val="20"/>
                <w:color w:val="auto"/>
              </w:rPr>
            </w:pPr>
            <w:r>
              <w:rPr>
                <w:rFonts w:ascii="Arial" w:cs="Arial" w:eastAsia="Arial" w:hAnsi="Arial"/>
                <w:sz w:val="18"/>
                <w:szCs w:val="18"/>
                <w:color w:val="auto"/>
              </w:rPr>
              <w:t>Clean Energy Solutions, LLC</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Wisconsin</w:t>
            </w:r>
          </w:p>
        </w:tc>
      </w:tr>
      <w:tr>
        <w:trPr>
          <w:trHeight w:val="216"/>
        </w:trPr>
        <w:tc>
          <w:tcPr>
            <w:tcW w:w="4020" w:type="dxa"/>
            <w:vAlign w:val="bottom"/>
          </w:tcPr>
          <w:p>
            <w:pPr>
              <w:ind w:left="40"/>
              <w:spacing w:after="0"/>
              <w:rPr>
                <w:sz w:val="20"/>
                <w:szCs w:val="20"/>
                <w:color w:val="auto"/>
              </w:rPr>
            </w:pPr>
            <w:r>
              <w:rPr>
                <w:rFonts w:ascii="Arial" w:cs="Arial" w:eastAsia="Arial" w:hAnsi="Arial"/>
                <w:sz w:val="18"/>
                <w:szCs w:val="18"/>
                <w:color w:val="auto"/>
              </w:rPr>
              <w:t>Orion Asset Management, LLC</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Wisconsin</w:t>
            </w:r>
          </w:p>
        </w:tc>
      </w:tr>
      <w:tr>
        <w:trPr>
          <w:trHeight w:val="230"/>
        </w:trPr>
        <w:tc>
          <w:tcPr>
            <w:tcW w:w="4020" w:type="dxa"/>
            <w:vAlign w:val="bottom"/>
          </w:tcPr>
          <w:p>
            <w:pPr>
              <w:ind w:left="40"/>
              <w:spacing w:after="0"/>
              <w:rPr>
                <w:sz w:val="20"/>
                <w:szCs w:val="20"/>
                <w:color w:val="auto"/>
              </w:rPr>
            </w:pPr>
            <w:r>
              <w:rPr>
                <w:rFonts w:ascii="Arial" w:cs="Arial" w:eastAsia="Arial" w:hAnsi="Arial"/>
                <w:sz w:val="18"/>
                <w:szCs w:val="18"/>
                <w:color w:val="auto"/>
              </w:rPr>
              <w:t>Orion LED Canada, Inc.</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British Columbia, Canada</w:t>
            </w:r>
          </w:p>
        </w:tc>
      </w:tr>
    </w:tbl>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333-236837) and Form S-8 (333-169611, 333-176176, 333-213042 and 333-233180) of Orion Energy Systems, Inc. of our reports dated June 1, 2021, relating to the consolidated financial statements and the effectiveness of Orion Energy Systems, Inc. internal control over financial reporting, which appears in this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 2021</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25"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452"/>
        <w:spacing w:after="0" w:line="26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20" w:hanging="447"/>
        <w:spacing w:after="0" w:line="263"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540" w:hanging="447"/>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2021</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2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25"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452"/>
        <w:spacing w:after="0" w:line="26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20" w:hanging="447"/>
        <w:spacing w:after="0" w:line="263"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540" w:hanging="447"/>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2021</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2021 ,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Michael W. Altschaefl</w:t>
      </w:r>
    </w:p>
    <w:p>
      <w:pPr>
        <w:spacing w:after="0" w:line="26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J. Per Brodin</w:t>
      </w:r>
    </w:p>
    <w:p>
      <w:pPr>
        <w:spacing w:after="0" w:line="26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20"/>
        <w:spacing w:after="0"/>
        <w:tabs>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decimal"/>
      <w:start w:val="4"/>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lvl w:ilvl="1">
      <w:lvlJc w:val="left"/>
      <w:lvlText w:val="(%2)"/>
      <w:numFmt w:val="lowerRoman"/>
      <w:start w:val="1"/>
    </w:lvl>
  </w:abstractNum>
  <w:abstractNum w:abstractNumId="21">
    <w:nsid w:val="4353D0CD"/>
    <w:multiLevelType w:val="hybridMultilevel"/>
    <w:lvl w:ilvl="0">
      <w:lvlJc w:val="left"/>
      <w:lvlText w:val="(%1)"/>
      <w:numFmt w:val="lowerLetter"/>
      <w:start w:val="3"/>
    </w:lvl>
    <w:lvl w:ilvl="1">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Roman"/>
      <w:start w:val="1"/>
    </w:lvl>
  </w:abstractNum>
  <w:abstractNum w:abstractNumId="25">
    <w:nsid w:val="71F32454"/>
    <w:multiLevelType w:val="hybridMultilevel"/>
    <w:lvl w:ilvl="0">
      <w:lvlJc w:val="left"/>
      <w:lvlText w:val="%1"/>
      <w:numFmt w:val="decimal"/>
      <w:start w:val="10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8"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18" Type="http://schemas.openxmlformats.org/officeDocument/2006/relationships/hyperlink" Target="http://www.sec.gov/Archives/edgar/data/1409375/000095013407018504/c17612exv3w3.htm" TargetMode="External"/><Relationship Id="rId119" Type="http://schemas.openxmlformats.org/officeDocument/2006/relationships/hyperlink" Target="http://www.sec.gov/Archives/edgar/data/1409375/000119312520150150/d895611dex31.htm" TargetMode="External"/><Relationship Id="rId120" Type="http://schemas.openxmlformats.org/officeDocument/2006/relationships/hyperlink" Target="http://www.sec.gov/Archives/edgar/data/1409375/000089706909000027/cmw3946a.htm" TargetMode="External"/><Relationship Id="rId121" Type="http://schemas.openxmlformats.org/officeDocument/2006/relationships/hyperlink" Target="http://www.sec.gov/Archives/edgar/data/1409375/000119312519001606/d684103dex41.htm" TargetMode="External"/><Relationship Id="rId122" Type="http://schemas.openxmlformats.org/officeDocument/2006/relationships/hyperlink" Target="http://www.sec.gov/Archives/edgar/data/1409375/000156459019021688/oesx-ex43_264.htm" TargetMode="External"/><Relationship Id="rId123" Type="http://schemas.openxmlformats.org/officeDocument/2006/relationships/hyperlink" Target="http://www.sec.gov/Archives/edgar/data/0001409375/000119312521001520/d104429dex101.htm" TargetMode="External"/><Relationship Id="rId124" Type="http://schemas.openxmlformats.org/officeDocument/2006/relationships/hyperlink" Target="http://www.sec.gov/Archives/edgar/data/1409375/000095013407018504/c17612exv10w9.htm" TargetMode="External"/><Relationship Id="rId125" Type="http://schemas.openxmlformats.org/officeDocument/2006/relationships/hyperlink" Target="http://www.sec.gov/Archives/edgar/data/1409375/000095012311083696/c66008ddef14a.htm" TargetMode="External"/><Relationship Id="rId126" Type="http://schemas.openxmlformats.org/officeDocument/2006/relationships/hyperlink" Target="http://www.sec.gov/Archives/edgar/data/1409375/000095013407018504/c17612exv10w10.htm" TargetMode="External"/><Relationship Id="rId127" Type="http://schemas.openxmlformats.org/officeDocument/2006/relationships/hyperlink" Target="http://www.sec.gov/Archives/edgar/data/1409375/000140937514000014/oesx-20140331xex107.htm" TargetMode="External"/><Relationship Id="rId128" Type="http://schemas.openxmlformats.org/officeDocument/2006/relationships/hyperlink" Target="http://www.sec.gov/Archives/edgar/data/1409375/000119312519178044/d769736ddef14a.htm" TargetMode="External"/><Relationship Id="rId129" Type="http://schemas.openxmlformats.org/officeDocument/2006/relationships/hyperlink" Target="http://www.sec.gov/Archives/edgar/data/1409375/000119312516677067/d208453dex45.htm" TargetMode="External"/><Relationship Id="rId130" Type="http://schemas.openxmlformats.org/officeDocument/2006/relationships/hyperlink" Target="http://www.sec.gov/Archives/edgar/data/1409375/000119312516677067/d208453dex46.htm" TargetMode="External"/><Relationship Id="rId131" Type="http://schemas.openxmlformats.org/officeDocument/2006/relationships/hyperlink" Target="http://www.sec.gov/Archives/edgar/data/1409375/000119312516677067/d208453dex47.htm" TargetMode="External"/><Relationship Id="rId132" Type="http://schemas.openxmlformats.org/officeDocument/2006/relationships/hyperlink" Target="http://www.sec.gov/Archives/edgar/data/1409375/000119312516677067/d208453dex48.htm" TargetMode="External"/><Relationship Id="rId133" Type="http://schemas.openxmlformats.org/officeDocument/2006/relationships/hyperlink" Target="http://www.sec.gov/Archives/edgar/data/1409375/000156459020028509/oesx-ex1014_206.htm" TargetMode="External"/><Relationship Id="rId134" Type="http://schemas.openxmlformats.org/officeDocument/2006/relationships/hyperlink" Target="http://www.sec.gov/Archives/edgar/data/1409375/000156459020028509/oesx-ex1015_209.htm" TargetMode="External"/><Relationship Id="rId135" Type="http://schemas.openxmlformats.org/officeDocument/2006/relationships/hyperlink" Target="http://www.sec.gov/Archives/edgar/data/1409375/000156459020028509/oesx-ex1016_208.htm" TargetMode="External"/><Relationship Id="rId136" Type="http://schemas.openxmlformats.org/officeDocument/2006/relationships/hyperlink" Target="http://www.sec.gov/Archives/edgar/data/0001409375/000119312520252341/d36004dex101.htm" TargetMode="External"/><Relationship Id="rId137" Type="http://schemas.openxmlformats.org/officeDocument/2006/relationships/hyperlink" Target="http://www.sec.gov/Archives/edgar/data/0001409375/000119312520270310/d43679dex101.htm" TargetMode="External"/><Relationship Id="rId139" Type="http://schemas.openxmlformats.org/officeDocument/2006/relationships/hyperlink" Target="http://www.sec.gov/Archives/edgar/data/1409375/000156459020028509/oesx-ex1017_207.htm" TargetMode="External"/><Relationship Id="rId140" Type="http://schemas.openxmlformats.org/officeDocument/2006/relationships/hyperlink" Target="http://www.sec.gov/Archives/edgar/data/1409375/000119312517219117/d418918dex101.htm" TargetMode="External"/><Relationship Id="rId141" Type="http://schemas.openxmlformats.org/officeDocument/2006/relationships/hyperlink" Target="http://www.sec.gov/Archives/edgar/data/0001409375/000119312521096717/d1569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2021-06-01T15:52:00Z</dcterms:created>
  <dcterms:modified xsi:type="dcterms:W3CDTF">2021-06-01T15:52:00Z</dcterms:modified>
</cp:coreProperties>
</file>