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90170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109855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99060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60" w:type="dxa"/>
            <w:vAlign w:val="bottom"/>
            <w:gridSpan w:val="3"/>
          </w:tcPr>
          <w:p>
            <w:pPr>
              <w:jc w:val="center"/>
              <w:ind w:left="681"/>
              <w:spacing w:after="0"/>
              <w:rPr>
                <w:sz w:val="20"/>
                <w:szCs w:val="20"/>
                <w:color w:val="auto"/>
              </w:rPr>
            </w:pPr>
            <w:r>
              <w:rPr>
                <w:rFonts w:ascii="Arial" w:cs="Arial" w:eastAsia="Arial" w:hAnsi="Arial"/>
                <w:sz w:val="18"/>
                <w:szCs w:val="18"/>
                <w:b w:val="1"/>
                <w:bCs w:val="1"/>
                <w:color w:val="auto"/>
                <w:w w:val="86"/>
              </w:rPr>
              <w:t>Wisconsin</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ind w:right="228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9"/>
        </w:trPr>
        <w:tc>
          <w:tcPr>
            <w:tcW w:w="4860" w:type="dxa"/>
            <w:vAlign w:val="bottom"/>
            <w:gridSpan w:val="3"/>
          </w:tcPr>
          <w:p>
            <w:pPr>
              <w:jc w:val="center"/>
              <w:ind w:left="68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jc w:val="center"/>
              <w:ind w:right="20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6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93"/>
              </w:rPr>
              <w:t>incorporation or organization)</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20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60" w:type="dxa"/>
            <w:vAlign w:val="bottom"/>
            <w:gridSpan w:val="3"/>
          </w:tcPr>
          <w:p>
            <w:pPr>
              <w:jc w:val="center"/>
              <w:ind w:left="68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right"/>
              <w:ind w:right="250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1"/>
        </w:trPr>
        <w:tc>
          <w:tcPr>
            <w:tcW w:w="486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198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4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7900" w:type="dxa"/>
            <w:vAlign w:val="bottom"/>
            <w:gridSpan w:val="6"/>
          </w:tcPr>
          <w:p>
            <w:pPr>
              <w:jc w:val="center"/>
              <w:ind w:left="3461"/>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948"/>
              <w:spacing w:after="0"/>
              <w:rPr>
                <w:sz w:val="20"/>
                <w:szCs w:val="20"/>
                <w:color w:val="auto"/>
              </w:rPr>
            </w:pPr>
            <w:r>
              <w:rPr>
                <w:rFonts w:ascii="Arial" w:cs="Arial" w:eastAsia="Arial" w:hAnsi="Arial"/>
                <w:sz w:val="14"/>
                <w:szCs w:val="14"/>
                <w:b w:val="1"/>
                <w:bCs w:val="1"/>
                <w:color w:val="auto"/>
                <w:w w:val="93"/>
              </w:rPr>
              <w:t>Trading Symbol (s)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40" w:type="dxa"/>
            <w:vAlign w:val="bottom"/>
            <w:gridSpan w:val="3"/>
            <w:vMerge w:val="restart"/>
          </w:tcPr>
          <w:p>
            <w:pPr>
              <w:jc w:val="center"/>
              <w:ind w:right="1240"/>
              <w:spacing w:after="0"/>
              <w:rPr>
                <w:sz w:val="20"/>
                <w:szCs w:val="20"/>
                <w:color w:val="auto"/>
              </w:rPr>
            </w:pPr>
            <w:r>
              <w:rPr>
                <w:rFonts w:ascii="Arial" w:cs="Arial" w:eastAsia="Arial" w:hAnsi="Arial"/>
                <w:sz w:val="14"/>
                <w:szCs w:val="14"/>
                <w:b w:val="1"/>
                <w:bCs w:val="1"/>
                <w:color w:val="auto"/>
              </w:rPr>
              <w:t>OESX</w:t>
            </w:r>
          </w:p>
        </w:tc>
        <w:tc>
          <w:tcPr>
            <w:tcW w:w="3520" w:type="dxa"/>
            <w:vAlign w:val="bottom"/>
          </w:tcPr>
          <w:p>
            <w:pPr>
              <w:jc w:val="center"/>
              <w:ind w:right="64"/>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60" w:type="dxa"/>
            <w:vAlign w:val="bottom"/>
            <w:gridSpan w:val="3"/>
          </w:tcPr>
          <w:p>
            <w:pPr>
              <w:jc w:val="center"/>
              <w:ind w:right="1200"/>
              <w:spacing w:after="0"/>
              <w:rPr>
                <w:sz w:val="20"/>
                <w:szCs w:val="20"/>
                <w:color w:val="auto"/>
              </w:rPr>
            </w:pPr>
            <w:r>
              <w:rPr>
                <w:rFonts w:ascii="Arial" w:cs="Arial" w:eastAsia="Arial" w:hAnsi="Arial"/>
                <w:sz w:val="14"/>
                <w:szCs w:val="14"/>
                <w:color w:val="auto"/>
                <w:w w:val="93"/>
              </w:rPr>
              <w:t>Common stock, no par value</w:t>
            </w:r>
          </w:p>
        </w:tc>
        <w:tc>
          <w:tcPr>
            <w:tcW w:w="3040" w:type="dxa"/>
            <w:vAlign w:val="bottom"/>
            <w:gridSpan w:val="3"/>
            <w:vMerge w:val="continue"/>
          </w:tcPr>
          <w:p>
            <w:pPr>
              <w:spacing w:after="0"/>
              <w:rPr>
                <w:sz w:val="15"/>
                <w:szCs w:val="15"/>
                <w:color w:val="auto"/>
              </w:rPr>
            </w:pPr>
          </w:p>
        </w:tc>
        <w:tc>
          <w:tcPr>
            <w:tcW w:w="3520" w:type="dxa"/>
            <w:vAlign w:val="bottom"/>
          </w:tcPr>
          <w:p>
            <w:pPr>
              <w:jc w:val="center"/>
              <w:ind w:right="44"/>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jc w:val="center"/>
              <w:ind w:right="64"/>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6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purchase rights</w:t>
            </w: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jc w:val="center"/>
              <w:ind w:right="44"/>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76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30,121,487 shares of the Registrant’s common stock outstanding on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132715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 w:name="page2"/>
    <w:bookmarkEnd w:id="1"/>
    <w:p>
      <w:pPr>
        <w:jc w:val="center"/>
        <w:ind w:left="132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FOR THE QUARTER ENDED JUNE 30, 2019</w:t>
      </w:r>
    </w:p>
    <w:p>
      <w:pPr>
        <w:spacing w:after="0" w:line="104"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March 31, 2019</w:t>
              </w:r>
            </w:hyperlink>
          </w:p>
        </w:tc>
        <w:tc>
          <w:tcPr>
            <w:tcW w:w="3000" w:type="dxa"/>
            <w:vAlign w:val="bottom"/>
            <w:gridSpan w:val="4"/>
          </w:tcPr>
          <w:p>
            <w:pPr>
              <w:spacing w:after="0"/>
              <w:rPr>
                <w:sz w:val="22"/>
                <w:szCs w:val="22"/>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June 30, 2019 and June 30, 2018</w:t>
              </w:r>
            </w:hyperlink>
          </w:p>
        </w:tc>
        <w:tc>
          <w:tcPr>
            <w:tcW w:w="720" w:type="dxa"/>
            <w:vAlign w:val="bottom"/>
            <w:gridSpan w:val="2"/>
          </w:tcPr>
          <w:p>
            <w:pPr>
              <w:spacing w:after="0"/>
              <w:rPr>
                <w:sz w:val="22"/>
                <w:szCs w:val="22"/>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Shareholders’ Equity for the Three Months Ended June 30, 2019 and June 30, 2018</w:t>
              </w:r>
            </w:hyperlink>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80" w:type="dxa"/>
            <w:vAlign w:val="bottom"/>
            <w:gridSpan w:val="15"/>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June 30, 2019 and June 30, 2018</w:t>
              </w:r>
            </w:hyperlink>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68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2"/>
                <w:szCs w:val="22"/>
                <w:color w:val="auto"/>
              </w:rPr>
            </w:pPr>
          </w:p>
        </w:tc>
        <w:tc>
          <w:tcPr>
            <w:tcW w:w="2420" w:type="dxa"/>
            <w:vAlign w:val="bottom"/>
            <w:gridSpan w:val="3"/>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7100" w:type="dxa"/>
            <w:vAlign w:val="bottom"/>
            <w:gridSpan w:val="9"/>
          </w:tcPr>
          <w:p>
            <w:pPr>
              <w:spacing w:after="0"/>
              <w:rPr>
                <w:sz w:val="22"/>
                <w:szCs w:val="22"/>
                <w:color w:val="auto"/>
              </w:rPr>
            </w:pPr>
          </w:p>
        </w:tc>
      </w:tr>
      <w:tr>
        <w:trPr>
          <w:trHeight w:val="264"/>
        </w:trPr>
        <w:tc>
          <w:tcPr>
            <w:tcW w:w="25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OTHER INFORMATION</w:t>
              </w:r>
            </w:hyperlink>
          </w:p>
        </w:tc>
        <w:tc>
          <w:tcPr>
            <w:tcW w:w="7440" w:type="dxa"/>
            <w:vAlign w:val="bottom"/>
            <w:gridSpan w:val="10"/>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540" w:type="dxa"/>
            <w:vAlign w:val="bottom"/>
            <w:gridSpan w:val="11"/>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 of Equity Securities and Use of Proceeds</w:t>
              </w:r>
            </w:hyperlink>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2960" w:type="dxa"/>
            <w:vAlign w:val="bottom"/>
            <w:tcBorders>
              <w:top w:val="single" w:sz="8" w:color="0000EE"/>
            </w:tcBorders>
            <w:gridSpan w:val="6"/>
          </w:tcPr>
          <w:p>
            <w:pPr>
              <w:spacing w:after="0"/>
              <w:rPr>
                <w:sz w:val="22"/>
                <w:szCs w:val="22"/>
                <w:color w:val="auto"/>
              </w:rPr>
            </w:pPr>
          </w:p>
        </w:tc>
        <w:tc>
          <w:tcPr>
            <w:tcW w:w="4600" w:type="dxa"/>
            <w:vAlign w:val="bottom"/>
            <w:gridSpan w:val="6"/>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r>
      <w:tr>
        <w:trPr>
          <w:trHeight w:val="264"/>
        </w:trPr>
        <w:tc>
          <w:tcPr>
            <w:tcW w:w="110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Exhibit 10.2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23495</wp:posOffset>
            </wp:positionV>
            <wp:extent cx="471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10100" w:space="720"/>
            <w:col w:w="60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10,230</w:t>
            </w:r>
          </w:p>
        </w:tc>
        <w:tc>
          <w:tcPr>
            <w:tcW w:w="160" w:type="dxa"/>
            <w:vAlign w:val="bottom"/>
          </w:tcPr>
          <w:p>
            <w:pPr>
              <w:spacing w:after="0"/>
              <w:rPr>
                <w:sz w:val="19"/>
                <w:szCs w:val="19"/>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26,862</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maturities of long-term debt</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Shares authorized: 30,000,000 at June 30,</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and March 31, 2019; no shares issued and outstanding at June 30, 2019</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March 31, 2019</w:t>
            </w: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Common stock, no par value: Shares authorized: 200,000,000 at June 30, 2019</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40"/>
              <w:spacing w:after="0"/>
              <w:rPr>
                <w:sz w:val="20"/>
                <w:szCs w:val="20"/>
                <w:color w:val="auto"/>
              </w:rPr>
            </w:pPr>
            <w:r>
              <w:rPr>
                <w:rFonts w:ascii="Arial" w:cs="Arial" w:eastAsia="Arial" w:hAnsi="Arial"/>
                <w:sz w:val="18"/>
                <w:szCs w:val="18"/>
                <w:color w:val="auto"/>
              </w:rPr>
              <w:t>and March 31, 2019; shares issued: 39,583,313 at June 30, 2019 and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40"/>
              <w:spacing w:after="0"/>
              <w:rPr>
                <w:sz w:val="20"/>
                <w:szCs w:val="20"/>
                <w:color w:val="auto"/>
              </w:rPr>
            </w:pPr>
            <w:r>
              <w:rPr>
                <w:rFonts w:ascii="Arial" w:cs="Arial" w:eastAsia="Arial" w:hAnsi="Arial"/>
                <w:sz w:val="18"/>
                <w:szCs w:val="18"/>
                <w:color w:val="auto"/>
              </w:rPr>
              <w:t>39,037,969 at March 31, 2019; shares outstanding: 30,121,487 at June 30,</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2019 and 29,600,158 at March 31, 2019</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Treasury stock, common shares: 9,461,826 at June 30, 2019 and 9,437,811 at</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March 31, 2019</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(36,153)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(36,091)</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Retained deficit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(97,799)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(101,767)</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shareholders’ equity</w:t>
            </w:r>
          </w:p>
        </w:tc>
        <w:tc>
          <w:tcPr>
            <w:tcW w:w="1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 June 30,</w:t>
            </w:r>
          </w:p>
        </w:tc>
      </w:tr>
      <w:tr>
        <w:trPr>
          <w:trHeight w:val="156"/>
        </w:trPr>
        <w:tc>
          <w:tcPr>
            <w:tcW w:w="646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FF0FC"/>
            </w:tcBorders>
          </w:tcPr>
          <w:p>
            <w:pPr>
              <w:spacing w:after="0"/>
              <w:rPr>
                <w:sz w:val="19"/>
                <w:szCs w:val="19"/>
                <w:color w:val="auto"/>
              </w:rPr>
            </w:pPr>
          </w:p>
        </w:tc>
      </w:tr>
      <w:tr>
        <w:trPr>
          <w:trHeight w:val="223"/>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13,822</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9"/>
                <w:szCs w:val="19"/>
                <w:color w:val="auto"/>
              </w:rPr>
            </w:pPr>
          </w:p>
        </w:tc>
      </w:tr>
      <w:tr>
        <w:trPr>
          <w:trHeight w:val="223"/>
        </w:trPr>
        <w:tc>
          <w:tcPr>
            <w:tcW w:w="6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Borders>
              <w:bottom w:val="single" w:sz="8" w:color="CFF0FC"/>
            </w:tcBorders>
          </w:tcPr>
          <w:p>
            <w:pPr>
              <w:spacing w:after="0"/>
              <w:rPr>
                <w:sz w:val="19"/>
                <w:szCs w:val="19"/>
                <w:color w:val="auto"/>
              </w:rPr>
            </w:pPr>
          </w:p>
        </w:tc>
      </w:tr>
      <w:tr>
        <w:trPr>
          <w:trHeight w:val="223"/>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9"/>
                <w:szCs w:val="19"/>
                <w:color w:val="auto"/>
              </w:rPr>
            </w:pPr>
          </w:p>
        </w:tc>
      </w:tr>
      <w:tr>
        <w:trPr>
          <w:trHeight w:val="223"/>
        </w:trPr>
        <w:tc>
          <w:tcPr>
            <w:tcW w:w="6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w:t>
            </w:r>
          </w:p>
        </w:tc>
        <w:tc>
          <w:tcPr>
            <w:tcW w:w="120" w:type="dxa"/>
            <w:vAlign w:val="bottom"/>
            <w:tcBorders>
              <w:bottom w:val="single" w:sz="8" w:color="CFF0FC"/>
            </w:tcBorders>
          </w:tcPr>
          <w:p>
            <w:pPr>
              <w:spacing w:after="0"/>
              <w:rPr>
                <w:sz w:val="19"/>
                <w:szCs w:val="19"/>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63"/>
        </w:trPr>
        <w:tc>
          <w:tcPr>
            <w:tcW w:w="6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w:t>
            </w:r>
          </w:p>
        </w:tc>
        <w:tc>
          <w:tcPr>
            <w:tcW w:w="14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FF0FC"/>
            </w:tcBorders>
          </w:tcPr>
          <w:p>
            <w:pPr>
              <w:spacing w:after="0"/>
              <w:rPr>
                <w:sz w:val="22"/>
                <w:szCs w:val="22"/>
                <w:color w:val="auto"/>
              </w:rPr>
            </w:pPr>
          </w:p>
        </w:tc>
      </w:tr>
      <w:tr>
        <w:trPr>
          <w:trHeight w:val="21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 attributable to common shareholders</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29,723,472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29,070,193</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17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(0.09)</w:t>
            </w:r>
          </w:p>
        </w:tc>
      </w:t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Weighted-average common shares and share equivalents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30,550,892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29,070,193</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Shareholders’ Equity</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678"/>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29,600,158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155,828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(101,767)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535,344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(24,628)</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30,121,487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(97,799)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Shareholders’ Equity</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678"/>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28,953,183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(95,494)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Plan</w:t>
            </w: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of accounting change due to</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adoption of ASC 606</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29,403,485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3,968</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(2,692)</w:t>
            </w:r>
          </w:p>
        </w:tc>
      </w:tr>
      <w:tr>
        <w:trPr>
          <w:trHeight w:val="215"/>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bad debts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(9,199)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earned but not billed</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(553)</w:t>
            </w: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Deferred revenue, current and long-term</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68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r>
      <w:tr>
        <w:trPr>
          <w:trHeight w:val="223"/>
        </w:trPr>
        <w:tc>
          <w:tcPr>
            <w:tcW w:w="682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0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17,188</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Payments of revolving credit facility</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(31,329)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(18,794)</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10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10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9,424</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right="20" w:firstLine="501"/>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firstLine="501"/>
        <w:spacing w:after="0" w:line="342" w:lineRule="auto"/>
        <w:rPr>
          <w:sz w:val="20"/>
          <w:szCs w:val="20"/>
          <w:color w:val="auto"/>
        </w:rPr>
      </w:pPr>
      <w:r>
        <w:rPr>
          <w:rFonts w:ascii="Arial" w:cs="Arial" w:eastAsia="Arial" w:hAnsi="Arial"/>
          <w:sz w:val="16"/>
          <w:szCs w:val="16"/>
          <w:color w:val="auto"/>
        </w:rPr>
        <w:t>Orion’s corporate offices and leased primary manufacturing operations are located in Manitowoc, Wisconsin. Orion leases office space in Jacksonville, Florida. Orion had leased office space in Chicago, Illinois, and Houston, Texas, but as of June 30, 2018, Orion had vacated these locations.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Condensed Consolidated Financial Statements include the accounts of Orion Energy Systems, Inc. and its wholly-owned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501"/>
        <w:spacing w:after="0" w:line="297"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2020 or other interim periods.</w:t>
      </w:r>
    </w:p>
    <w:p>
      <w:pPr>
        <w:spacing w:after="0" w:line="104"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Condensed Consolidated Balance Sheet at March 31, 2019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2019 filed with the SEC on June 5, 2019.</w:t>
      </w:r>
    </w:p>
    <w:p>
      <w:pPr>
        <w:spacing w:after="0" w:line="127"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In the warranty rollforward in Note 10 – Accrued Expenses and Other, certain prior period balances have been reclassified to conform to current period presentation. The reclassifications were immaterial to the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ind w:firstLine="501"/>
        <w:spacing w:after="0" w:line="264"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months ended June 30, 2019, one supplier accounted for 13.7% of total cost of revenue. For the three months ended June 30, 2018, one supplier accounted for 11.4% of total cost of revenue.</w:t>
      </w:r>
    </w:p>
    <w:p>
      <w:pPr>
        <w:spacing w:after="0" w:line="12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For the three months ended June 30, 2019, one customer accounted for 77.0% of total revenue. For the three months ended June 30, 2018, no customer accounted for more than 10.0% of total revenue.</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June 30, 2019, one customer accounted for 74.3% of Accounts receivable. As of March 31, 2019, one customer accounted for 56.2% of Accounts receivable.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On April 1, 2019, Orion adopted Accounting Standards Update 2016-02, and subsequent amendments, which is included in the Accounting Standards Codification (“ASC”) as Topic 842, Leases (“ASC 842”), retrospectively through a cumulative-effect adjustment. Orion elected the package of practical expedients provided for in ASU 842, which among other things, allows companies to carry forward their historical lease classification. Previously, Orion followed the guidance set forth in ASC 840, Leases.</w:t>
      </w:r>
    </w:p>
    <w:p>
      <w:pPr>
        <w:spacing w:after="0" w:line="133"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For Orion, the most significant difference between ASC 840 and ASC 842 is the requirement that lessees recognize right-of-use assets and liabilities on the balance sheet for the rights and obligations created by long-term operating leases. Previously, the financial impact associated with operating leases was recorded only in Orion’s statement of operations. Determining whether a contract includes a lease, and assessing whether the lease should be accounted for as a finance lease or an operating lease, is a matter of judgment based on whether the risks and rewards, as well as substantive control of the associated assets specified in the contract, have been transferred from the lessor to the lessee.</w:t>
      </w:r>
    </w:p>
    <w:p>
      <w:pPr>
        <w:spacing w:after="0" w:line="119"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Adoption of ASC 842 resulted in the recording of additional lease assets and lease liabilities of approximately $0.2 million as of April 1, 2019. There was no impact to retained earnings. The adoption of ASC 842 did not materially impact Orion’s consolidated results of operations and had no impact on Orion’s cash flows. Orion has updated its processes and controls necessary for implementing ASC 842, including the increased footnote disclosure requirements.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71"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the opening balance of retained deficit within Orion’s Condensed Consolidated Statement of Shareholders’ Equity.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71" w:lineRule="exact"/>
        <w:rPr>
          <w:sz w:val="20"/>
          <w:szCs w:val="20"/>
          <w:color w:val="auto"/>
        </w:rPr>
      </w:pPr>
    </w:p>
    <w:p>
      <w:pPr>
        <w:jc w:val="both"/>
        <w:ind w:firstLine="501"/>
        <w:spacing w:after="0" w:line="273" w:lineRule="auto"/>
        <w:rPr>
          <w:sz w:val="20"/>
          <w:szCs w:val="20"/>
          <w:color w:val="auto"/>
        </w:rPr>
      </w:pPr>
      <w:r>
        <w:rPr>
          <w:rFonts w:ascii="Arial" w:cs="Arial" w:eastAsia="Arial" w:hAnsi="Arial"/>
          <w:sz w:val="17"/>
          <w:szCs w:val="17"/>
          <w:color w:val="auto"/>
        </w:rPr>
        <w:t>Orion generates revenues primarily by selling commercial lighting fixtures and components and by installing these fixtures in its customer’s facilities.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jc w:val="both"/>
        <w:ind w:firstLine="501"/>
        <w:spacing w:after="0" w:line="257" w:lineRule="auto"/>
        <w:rPr>
          <w:sz w:val="20"/>
          <w:szCs w:val="20"/>
          <w:color w:val="auto"/>
        </w:rPr>
      </w:pPr>
      <w:r>
        <w:rPr>
          <w:rFonts w:ascii="Arial" w:cs="Arial" w:eastAsia="Arial" w:hAnsi="Arial"/>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34"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the sale of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4"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93" w:lineRule="exact"/>
        <w:rPr>
          <w:sz w:val="20"/>
          <w:szCs w:val="20"/>
          <w:color w:val="auto"/>
        </w:rPr>
      </w:pPr>
    </w:p>
    <w:p>
      <w:pPr>
        <w:jc w:val="both"/>
        <w:ind w:firstLine="501"/>
        <w:spacing w:after="0" w:line="254"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38" w:lineRule="exact"/>
        <w:rPr>
          <w:sz w:val="20"/>
          <w:szCs w:val="20"/>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23"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9" w:lineRule="exact"/>
        <w:rPr>
          <w:rFonts w:ascii="Arial" w:cs="Arial" w:eastAsia="Arial" w:hAnsi="Arial"/>
          <w:sz w:val="18"/>
          <w:szCs w:val="18"/>
          <w:color w:val="auto"/>
        </w:rPr>
      </w:pPr>
    </w:p>
    <w:p>
      <w:pPr>
        <w:ind w:left="900" w:hanging="392"/>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duration of physical control that Orion maintains on the products after they are shipped to, and received at, the customer’s facility;</w:t>
      </w:r>
    </w:p>
    <w:p>
      <w:pPr>
        <w:ind w:left="900" w:hanging="392"/>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15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completely installed as of the measurement date in comparison to the total number of light fixtures to be installed under the contract.</w:t>
      </w:r>
    </w:p>
    <w:p>
      <w:pPr>
        <w:spacing w:after="0" w:line="133"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months ended June 30, 2019 or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 w:name="page10"/>
    <w:bookmarkEnd w:id="9"/>
    <w:p>
      <w:pPr>
        <w:jc w:val="both"/>
        <w:ind w:firstLine="501"/>
        <w:spacing w:after="0" w:line="291" w:lineRule="auto"/>
        <w:rPr>
          <w:sz w:val="20"/>
          <w:szCs w:val="20"/>
          <w:color w:val="auto"/>
        </w:rPr>
      </w:pPr>
      <w:r>
        <w:rPr>
          <w:rFonts w:ascii="Arial" w:cs="Arial" w:eastAsia="Arial" w:hAnsi="Arial"/>
          <w:sz w:val="16"/>
          <w:szCs w:val="16"/>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13"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3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See Note 10, Accrued Expenses and Other for a discussion of Orion’s accounting for the warranty it provides to customers for its products and services.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jc w:val="both"/>
        <w:ind w:firstLine="501"/>
        <w:spacing w:after="0" w:line="297"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the three months ended June 30, 2019, Product revenue included $0.4 million derived from sales-type leases for light fixtures, $64 thousand derived from the sale of tax credits generated from Orion’s legacy operation for distributing solar energy, and $19 thousand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end-users of Orion’s lighting products and services are (a) the federal government, and (b) commercial or industrial companies.</w:t>
      </w:r>
    </w:p>
    <w:p>
      <w:pPr>
        <w:spacing w:after="0" w:line="183"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2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17, Segments, for additional discussion concerning Orion’s reportable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The following table provides detail of Orion’s total revenues for the three months ended June 30, 2019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3"/>
              </w:rPr>
              <w:t>Three Months Ended June 30, 2019</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2"/>
              <w:spacing w:after="0" w:line="155" w:lineRule="exact"/>
              <w:rPr>
                <w:sz w:val="20"/>
                <w:szCs w:val="20"/>
                <w:color w:val="auto"/>
              </w:rPr>
            </w:pPr>
            <w:r>
              <w:rPr>
                <w:rFonts w:ascii="Arial" w:cs="Arial" w:eastAsia="Arial" w:hAnsi="Arial"/>
                <w:sz w:val="14"/>
                <w:szCs w:val="14"/>
                <w:b w:val="1"/>
                <w:bCs w:val="1"/>
                <w:color w:val="auto"/>
                <w:w w:val="86"/>
              </w:rPr>
              <w:t>Services</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2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5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1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40,977</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41,881</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1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1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41,900</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1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7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3"/>
              </w:rPr>
              <w:t>Three Months Ended June 30, 2018</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2"/>
              <w:spacing w:after="0" w:line="155" w:lineRule="exact"/>
              <w:rPr>
                <w:sz w:val="20"/>
                <w:szCs w:val="20"/>
                <w:color w:val="auto"/>
              </w:rPr>
            </w:pPr>
            <w:r>
              <w:rPr>
                <w:rFonts w:ascii="Arial" w:cs="Arial" w:eastAsia="Arial" w:hAnsi="Arial"/>
                <w:sz w:val="14"/>
                <w:szCs w:val="14"/>
                <w:b w:val="1"/>
                <w:bCs w:val="1"/>
                <w:color w:val="auto"/>
                <w:w w:val="86"/>
              </w:rPr>
              <w:t>Services</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2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1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12,915</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1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1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13,032</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1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7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Considerations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payments for material-only orders are due shortly after shipment.</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Turnkey projects where the end-user is a commercial or industrial company typically span between two weeks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7"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2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June 30, 2019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jc w:val="both"/>
        <w:ind w:firstLine="501"/>
        <w:spacing w:after="0" w:line="297"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04"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The total amount received from the sales of these receivables during the three months ended June 30, 2019, and June 30, 2018, was $2.8 million and $2.0 million, respectively. Orion’s losses on these sales were $47 thousand and $54 thousand for the three months ended June 30, 2019, and June 30, 2018, respectively and are included in Interest expense in the Condensed Consolidated Statements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2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has also adopted the practical expedient that provides an exemption to the disclosure requirement of the value assigned to performance obligations associated with contracts that were not complete as of April 1, 2018.</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16" w:lineRule="exact"/>
        <w:rPr>
          <w:sz w:val="20"/>
          <w:szCs w:val="20"/>
          <w:color w:val="auto"/>
        </w:rPr>
      </w:pPr>
    </w:p>
    <w:p>
      <w:pPr>
        <w:jc w:val="both"/>
        <w:ind w:firstLine="501"/>
        <w:spacing w:after="0" w:line="302" w:lineRule="auto"/>
        <w:rPr>
          <w:sz w:val="20"/>
          <w:szCs w:val="20"/>
          <w:color w:val="auto"/>
        </w:rPr>
      </w:pPr>
      <w:r>
        <w:rPr>
          <w:rFonts w:ascii="Arial" w:cs="Arial" w:eastAsia="Arial" w:hAnsi="Arial"/>
          <w:sz w:val="16"/>
          <w:szCs w:val="16"/>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June 30, 2019 and March 31, 2019 includes $53 thousand and $0.7 million, respectively, which was not derived from contracts with customers and therefore not classified as a contract asset as defined by the new standards.</w:t>
      </w:r>
    </w:p>
    <w:p>
      <w:pPr>
        <w:spacing w:after="0" w:line="100"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Deferred revenue, current as of June 30, 2019, and March 31, 2019 includes $46 thousand and $48 thousand, respectively, of contract liabilities which represented consideration received from customers prior to the point that Orion has fulfilled the promises included in a performance obligation and recorded revenue.</w:t>
      </w:r>
    </w:p>
    <w:p>
      <w:pPr>
        <w:spacing w:after="0" w:line="12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 w:name="page13"/>
    <w:bookmarkEnd w:id="12"/>
    <w:p>
      <w:pPr>
        <w:ind w:firstLine="501"/>
        <w:spacing w:after="0" w:line="277" w:lineRule="auto"/>
        <w:rPr>
          <w:sz w:val="20"/>
          <w:szCs w:val="20"/>
          <w:color w:val="auto"/>
        </w:rPr>
      </w:pPr>
      <w:r>
        <w:rPr>
          <w:rFonts w:ascii="Arial" w:cs="Arial" w:eastAsia="Arial" w:hAnsi="Arial"/>
          <w:sz w:val="18"/>
          <w:szCs w:val="18"/>
          <w:color w:val="auto"/>
        </w:rPr>
        <w:t>The following chart shows the balance of Orion’s receivables arising from contracts with customers, contract assets and contract liabilities as of June 30, 2019 and March 31, 2019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82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0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Contract assets</w:t>
            </w:r>
          </w:p>
        </w:tc>
        <w:tc>
          <w:tcPr>
            <w:tcW w:w="3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3,455</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As of June 30, 2019, and March 31, 2019,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120" w:type="dxa"/>
            <w:vAlign w:val="bottom"/>
          </w:tcPr>
          <w:p>
            <w:pPr>
              <w:spacing w:after="0"/>
              <w:rPr>
                <w:sz w:val="14"/>
                <w:szCs w:val="14"/>
                <w:color w:val="auto"/>
              </w:rPr>
            </w:pPr>
          </w:p>
        </w:tc>
        <w:tc>
          <w:tcPr>
            <w:tcW w:w="38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7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24,119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24,003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2019, and March 31, 2019,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Excess and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June 30, 2019</w:t>
            </w:r>
          </w:p>
        </w:tc>
        <w:tc>
          <w:tcPr>
            <w:tcW w:w="2140" w:type="dxa"/>
            <w:vAlign w:val="bottom"/>
            <w:tcBorders>
              <w:top w:val="single" w:sz="8" w:color="CFF0FC"/>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10,501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17,788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2019</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9,161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16,227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Prepaid expenses and other current assets consist primarily of deferred financing costs, prepaid insurance premiums, sales tax receivable, prepaid license fees, purchase deposits, and advance payments to contractors.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2019, and March 31, 2019,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8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Plant equipment</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Gross property and equipment</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34,491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(22,787)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(22,481)</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4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12,010</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recorded depreciation expense of $0.3 million for the three months ended June 30, 2019 and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From time to time, Orion leases assets from third parties. Orion also leases certain assets to third parties. Effective April 1, 2019, leases are accounted for, and reported upon, following the requirements of ASC 842, Leases. Previously, leases were accounted for, and reported upon, following the requirements of ASC 840, Leases.</w:t>
      </w:r>
    </w:p>
    <w:p>
      <w:pPr>
        <w:spacing w:after="0" w:line="12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For Orion, the most significant difference between ASC 840 and ASC 842 is the requirement that it recognize right-of-use (“ROU”) assets and lease liabilities on the balance sheet whenever it leases assets from a third party. Previously, under ASC 840, only assets leased from third parties that meet certain requirements, referred to as finance leases, were recorded on Orion’s balance sheet. Previously, the financial impact of all other leases, referred to as operating leases, was limited to Orion’s results of operations.</w:t>
      </w:r>
    </w:p>
    <w:p>
      <w:pPr>
        <w:spacing w:after="0" w:line="133"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6"/>
          <w:szCs w:val="16"/>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judgement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judgement are the lease term when the agreement includes renewal or termination options and the interest rate used when initially determining the ROU asset and lease liability.</w:t>
      </w:r>
    </w:p>
    <w:p>
      <w:pPr>
        <w:spacing w:after="0" w:line="111" w:lineRule="exact"/>
        <w:rPr>
          <w:sz w:val="20"/>
          <w:szCs w:val="20"/>
          <w:color w:val="auto"/>
        </w:rPr>
      </w:pPr>
    </w:p>
    <w:p>
      <w:pPr>
        <w:jc w:val="both"/>
        <w:ind w:firstLine="501"/>
        <w:spacing w:after="0" w:line="254" w:lineRule="auto"/>
        <w:rPr>
          <w:sz w:val="20"/>
          <w:szCs w:val="20"/>
          <w:color w:val="auto"/>
        </w:rPr>
      </w:pPr>
      <w:r>
        <w:rPr>
          <w:rFonts w:ascii="Arial" w:cs="Arial" w:eastAsia="Arial" w:hAnsi="Arial"/>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38"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recognizes lease expense for leases with an initial term of 12 months or less, referred to as short term leases, on a straight-line basis over the lease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4" w:name="page15"/>
    <w:bookmarkEnd w:id="14"/>
    <w:p>
      <w:pPr>
        <w:jc w:val="both"/>
        <w:ind w:firstLine="501"/>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from Other Parties</w:t>
      </w:r>
    </w:p>
    <w:p>
      <w:pPr>
        <w:spacing w:after="0" w:line="171" w:lineRule="exact"/>
        <w:rPr>
          <w:sz w:val="20"/>
          <w:szCs w:val="20"/>
          <w:color w:val="auto"/>
        </w:rPr>
      </w:pPr>
    </w:p>
    <w:p>
      <w:pPr>
        <w:jc w:val="both"/>
        <w:ind w:firstLine="501"/>
        <w:spacing w:after="0" w:line="297" w:lineRule="auto"/>
        <w:rPr>
          <w:sz w:val="20"/>
          <w:szCs w:val="20"/>
          <w:color w:val="auto"/>
        </w:rPr>
      </w:pPr>
      <w:r>
        <w:rPr>
          <w:rFonts w:ascii="Arial" w:cs="Arial" w:eastAsia="Arial" w:hAnsi="Arial"/>
          <w:sz w:val="16"/>
          <w:szCs w:val="16"/>
          <w:color w:val="auto"/>
        </w:rPr>
        <w:t>On March 31, 2016, Orion entered into a purchase and sale agreement with a third party to sell and leaseback Orion's primary manufacturing and distribution facility in Manitowoc, WI for gross cash proceeds of $2.6 million. The transaction closed on June 30, 2016. Pursuant to the Lease Agreement, Orion is leasing approximately 196,000 square feet with rent at $2.00 per square foot per annum. Orion's monthly payment under this lease is approximately $38 thousand. Orion is responsible for the costs of insurance and utilities for its portion of the facility. These costs are considered variable lease costs in the quantitative disclosures below. On March 22, 2018, both parties agreed to extend the lease until December 31, 2020 with no change in payment terms.</w:t>
      </w:r>
    </w:p>
    <w:p>
      <w:pPr>
        <w:spacing w:after="0" w:line="104"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lease agreement provides the lessor the right to terminate the lease agreement at any time with twelve months’ notice to Orion. As a result, the agreement is classified as a short-term lease.</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In February 2014, Orion entered into a multi-year lease agreement for use of approximately 10,500 square feet of office space in a multi-use office building in Jacksonville Florida. The lease has since been extended and presently terminates at June 30, 2020. The agreement was classified as an operating lease and represents the single largest operating asset established upon the adoption of ASC 842.</w:t>
      </w:r>
    </w:p>
    <w:p>
      <w:pPr>
        <w:spacing w:after="0" w:line="12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has leased other assets from third parties, principally office and production equipment. The terms of our other leases vary from contract to contract and expire at various dates through 2020.</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28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86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4660" w:type="dxa"/>
            <w:vAlign w:val="bottom"/>
          </w:tcPr>
          <w:p>
            <w:pPr>
              <w:ind w:left="260"/>
              <w:spacing w:after="0"/>
              <w:rPr>
                <w:sz w:val="20"/>
                <w:szCs w:val="20"/>
                <w:color w:val="auto"/>
              </w:rPr>
            </w:pPr>
            <w:r>
              <w:rPr>
                <w:rFonts w:ascii="Arial" w:cs="Arial" w:eastAsia="Arial" w:hAnsi="Arial"/>
                <w:sz w:val="18"/>
                <w:szCs w:val="18"/>
                <w:color w:val="auto"/>
              </w:rPr>
              <w:t>Total lease liabilities</w:t>
            </w:r>
          </w:p>
        </w:tc>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had operating lease costs of $0.2 million during the first quarter of fiscal 2020 and fiscal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5" w:name="page16"/>
    <w:bookmarkEnd w:id="15"/>
    <w:p>
      <w:pPr>
        <w:jc w:val="both"/>
        <w:ind w:firstLine="501"/>
        <w:spacing w:after="0" w:line="312"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93"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3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months ended June 30, 2019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r>
      <w:tr>
        <w:trPr>
          <w:trHeight w:val="171"/>
        </w:trPr>
        <w:tc>
          <w:tcPr>
            <w:tcW w:w="5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r>
      <w:tr>
        <w:trPr>
          <w:trHeight w:val="156"/>
        </w:trPr>
        <w:tc>
          <w:tcPr>
            <w:tcW w:w="5580" w:type="dxa"/>
            <w:vAlign w:val="bottom"/>
            <w:tcBorders>
              <w:bottom w:val="single" w:sz="8" w:color="CFF0FC"/>
            </w:tcBorders>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center"/>
              <w:ind w:right="221"/>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CFF0FC"/>
            </w:tcBorders>
          </w:tcPr>
          <w:p>
            <w:pPr>
              <w:spacing w:after="0"/>
              <w:rPr>
                <w:sz w:val="13"/>
                <w:szCs w:val="13"/>
                <w:color w:val="auto"/>
              </w:rPr>
            </w:pPr>
          </w:p>
        </w:tc>
      </w:tr>
      <w:tr>
        <w:trPr>
          <w:trHeight w:val="237"/>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4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20"/>
                <w:szCs w:val="20"/>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4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Condensed Consolidated Balance Sheets as of April 1, 2019 or June 30, 2019 do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Agreements where Orion is the Lessor</w:t>
      </w:r>
    </w:p>
    <w:p>
      <w:pPr>
        <w:spacing w:after="0" w:line="171" w:lineRule="exact"/>
        <w:rPr>
          <w:sz w:val="20"/>
          <w:szCs w:val="20"/>
          <w:color w:val="auto"/>
        </w:rPr>
      </w:pPr>
    </w:p>
    <w:p>
      <w:pPr>
        <w:jc w:val="both"/>
        <w:ind w:firstLine="501"/>
        <w:spacing w:after="0" w:line="312" w:lineRule="auto"/>
        <w:rPr>
          <w:sz w:val="20"/>
          <w:szCs w:val="20"/>
          <w:color w:val="auto"/>
        </w:rPr>
      </w:pPr>
      <w:r>
        <w:rPr>
          <w:rFonts w:ascii="Arial" w:cs="Arial" w:eastAsia="Arial" w:hAnsi="Arial"/>
          <w:sz w:val="16"/>
          <w:szCs w:val="16"/>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not material in the three months ended June 30, 2019. Orion accounts for these transactions as operating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INTANGIBLE ASSETS, NET</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June 30, 2019, and March 31, 2019,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112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(3,482)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(3,459)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on intangible assets was $0.1 million for the three months ended June 30, 2019 and 2018.</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2019, the weighted average remaining useful life of intangible assets was 4.86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7"/>
          <w:szCs w:val="17"/>
          <w:color w:val="auto"/>
        </w:rPr>
        <w:t>The estimated amortization expense for the remainder of fiscal 2020, the next five fiscal years and beyond is shown below (dollars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Fiscal 2020 (period remaining)</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Fiscal 2021</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Fiscal 2023</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Fiscal 2025</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NOTE 10 — ACCRUED EXPENSES AND OTHER</w:t>
            </w:r>
          </w:p>
        </w:tc>
        <w:tc>
          <w:tcPr>
            <w:tcW w:w="1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94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80" w:type="dxa"/>
            <w:vAlign w:val="bottom"/>
            <w:gridSpan w:val="3"/>
          </w:tcPr>
          <w:p>
            <w:pPr>
              <w:ind w:left="500"/>
              <w:spacing w:after="0"/>
              <w:rPr>
                <w:sz w:val="20"/>
                <w:szCs w:val="20"/>
                <w:color w:val="auto"/>
              </w:rPr>
            </w:pPr>
            <w:r>
              <w:rPr>
                <w:rFonts w:ascii="Arial" w:cs="Arial" w:eastAsia="Arial" w:hAnsi="Arial"/>
                <w:sz w:val="18"/>
                <w:szCs w:val="18"/>
                <w:color w:val="auto"/>
                <w:w w:val="91"/>
              </w:rPr>
              <w:t>As of June 30, 2019, and March 31, 2019, Accrued expenses and other included the following (dollars in thousands):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30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19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1,638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Sales tax</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1,101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3,209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Sales returns reserve</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19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8,332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501"/>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0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3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Reclassification on adoption of ASC 606</w:t>
            </w:r>
          </w:p>
        </w:tc>
        <w:tc>
          <w:tcPr>
            <w:tcW w:w="3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Accruals</w:t>
            </w:r>
          </w:p>
        </w:tc>
        <w:tc>
          <w:tcPr>
            <w:tcW w:w="3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Warranty claims (net of vendor reimbursements)</w:t>
            </w:r>
          </w:p>
        </w:tc>
        <w:tc>
          <w:tcPr>
            <w:tcW w:w="3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300" w:type="dxa"/>
            <w:vAlign w:val="bottom"/>
            <w:vMerge w:val="restart"/>
          </w:tcPr>
          <w:p>
            <w:pPr>
              <w:jc w:val="right"/>
              <w:ind w:right="1970"/>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 NET INCOME (LOSS) PER COMMON SHARE</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For the three months ended June 30, 2018, Orion was in a net loss position; therefore, the Basic and Diluted weighted-average shares outstanding are equal because any increase to the basic shares would be anti-dilutive. Basic and Diluted net income (loss) per common share was calculated based upon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3,968</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1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29,723,472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29,070,193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1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19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30,550,892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29,070,193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(loss) per common share because their inclusion would have been anti-dilutive. The number of shares are as of the end of each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jc w:val="center"/>
              <w:ind w:left="37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420" w:type="dxa"/>
            <w:vAlign w:val="bottom"/>
            <w:gridSpan w:val="2"/>
          </w:tcPr>
          <w:p>
            <w:pPr>
              <w:jc w:val="center"/>
              <w:ind w:left="1708"/>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shares</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1,523,333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1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5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4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(dollars in thousands):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center"/>
              <w:ind w:left="37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420" w:type="dxa"/>
            <w:vAlign w:val="bottom"/>
            <w:gridSpan w:val="2"/>
          </w:tcPr>
          <w:p>
            <w:pPr>
              <w:jc w:val="center"/>
              <w:ind w:left="1708"/>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8,972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13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9,128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9,031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On October 26, 2018, Orion and its subsidiaries entered into a new secured revolving Business Financing Agreement with Western Alliance Bank, as lender (the “New Credit Agreement”). The New Credit Agreement replaced Orion’s existing Credit Agreement. On June 3, 2019, Orion and certain of its subsidiaries entered into an amendment (the “First Amendment”) to the New Credit Agreement. The First Amendment amended the New Credit Agreement to increase the maximum borrowing base credit available for certain of the customer receivables included in the borrowing base and provide for a borrowing base credit of up to $3.0 million based on inventory, in each case, subject to certain conditions.</w:t>
      </w:r>
    </w:p>
    <w:p>
      <w:pPr>
        <w:spacing w:after="0" w:line="119"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The New Credit Agreement provides for a two-year revolving credit facility (the “New Credit Facility”) that matures on October 26, 2020. Borrowings under the New Credit Facility are currently limited to $20.15 million, subject to a borrowing base requirement based on eligible receivables and inventory. The New Credit Agreement includes a $2.0 million sublimit for the issuance of letters of credit. As of June 30, 2019, Orion’s borrowing base was $20.0 million, and Orion had $9.0 million in borrowings outstanding which were included in non-current liabilities in the accompanying Condensed Consolidated Balance Sheets. Orion had no outstanding letters of credit leaving additional borrowing availability of $11.0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color w:val="auto"/>
        </w:rPr>
        <w:t>The New Credit Agreement is secured by a security interest in substantially all of Orion's and its subsidiaries’ personal property.</w:t>
      </w:r>
    </w:p>
    <w:p>
      <w:pPr>
        <w:spacing w:after="0" w:line="171"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Borrowings under the New Credit Agreement generally bear interest at floating rates based upon the prime rate (but not be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New Credit Agreement). As of June 30, 2019, the interest rate was 6.0%. Among other fees, Orion is required to pay an annual facility fee equal to 0.45% of the credit limit under the New Credit Agreement, which was paid at commencement (October 26, 2018) and is due on each anniversary thereof. With certain exceptions, if the New Credit Agreement is terminated prior to the first anniversary of the closing date of the New Credit Agreement, Orion is required to pay a termination fee equal to 0.50% of the credit limit under the New Credit Agreement.</w:t>
      </w:r>
    </w:p>
    <w:p>
      <w:pPr>
        <w:spacing w:after="0" w:line="124" w:lineRule="exact"/>
        <w:rPr>
          <w:sz w:val="20"/>
          <w:szCs w:val="20"/>
          <w:color w:val="auto"/>
        </w:rPr>
      </w:pPr>
    </w:p>
    <w:p>
      <w:pPr>
        <w:jc w:val="both"/>
        <w:ind w:firstLine="501"/>
        <w:spacing w:after="0" w:line="302" w:lineRule="auto"/>
        <w:rPr>
          <w:sz w:val="20"/>
          <w:szCs w:val="20"/>
          <w:color w:val="auto"/>
        </w:rPr>
      </w:pPr>
      <w:r>
        <w:rPr>
          <w:rFonts w:ascii="Arial" w:cs="Arial" w:eastAsia="Arial" w:hAnsi="Arial"/>
          <w:sz w:val="16"/>
          <w:szCs w:val="16"/>
          <w:color w:val="auto"/>
        </w:rPr>
        <w:t>The New Credit Agreement requires Orion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00" w:lineRule="exact"/>
        <w:rPr>
          <w:sz w:val="20"/>
          <w:szCs w:val="20"/>
          <w:color w:val="auto"/>
        </w:rPr>
      </w:pPr>
    </w:p>
    <w:p>
      <w:pPr>
        <w:jc w:val="both"/>
        <w:ind w:firstLine="501"/>
        <w:spacing w:after="0" w:line="273" w:lineRule="auto"/>
        <w:rPr>
          <w:sz w:val="20"/>
          <w:szCs w:val="20"/>
          <w:color w:val="auto"/>
        </w:rPr>
      </w:pPr>
      <w:r>
        <w:rPr>
          <w:rFonts w:ascii="Arial" w:cs="Arial" w:eastAsia="Arial" w:hAnsi="Arial"/>
          <w:sz w:val="17"/>
          <w:szCs w:val="17"/>
          <w:color w:val="auto"/>
        </w:rPr>
        <w:t>The New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if Orion becomes the subject of voluntary or involuntary proceedings under any bankruptcy or similar law, then any outstanding obligations under the New Credit Agreement will automatically become immediately due and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In June 2015, Orion entered into an agreement with a financing company in the principal amount of $0.4 million to fund the purchase of certain equipment. The debt is secured by the related equipment. The debt bears interest at a rate of 5.94%, and matures in June 2020.</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respectively, and both debts mature in January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Orion Throughput Agreement (“OTA”) finance program that were previously funded under a different OTA credit agreement. The loan amount was secured by the OTA-related equipment and the expected future monthly payments under the supporting 25 individual OTA customer contracts. The borrowing agreement bore an interest rate of 8.36% and matured in April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income/loss before income tax, adjusting for discrete items. Orion’s actual effective tax rate is adjusted each interim period, as appropriate, for changes in facts and circumstances. For the three-month period ended June 30, 2019 and 2018, Orion recorded income tax expense of $8 thousand and $22 thousand, respectively, using this methodology.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9" w:name="page20"/>
    <w:bookmarkEnd w:id="19"/>
    <w:p>
      <w:pPr>
        <w:jc w:val="both"/>
        <w:ind w:firstLine="501"/>
        <w:spacing w:after="0" w:line="312" w:lineRule="auto"/>
        <w:rPr>
          <w:sz w:val="20"/>
          <w:szCs w:val="20"/>
          <w:color w:val="auto"/>
        </w:rPr>
      </w:pPr>
      <w:r>
        <w:rPr>
          <w:rFonts w:ascii="Arial" w:cs="Arial" w:eastAsia="Arial" w:hAnsi="Arial"/>
          <w:sz w:val="16"/>
          <w:szCs w:val="16"/>
          <w:color w:val="auto"/>
        </w:rPr>
        <w:t>As of June 30, 2019, and March 31, 2019,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valuation allowance would increase income in the period such determination is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June 30, 2019, Orion’s balance of gross unrecognized tax benefits was approximately $0.1 million, all of which would reduce Orion’s effective tax rate if recognized.</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based on current information, in the opinion of Orion's management, the ultimate disposition of these matters will not have a material adverse effect on Orion's Condensed Consolidated Balance Sheets, statements of operations, or liquidity.</w:t>
      </w:r>
    </w:p>
    <w:p>
      <w:pPr>
        <w:spacing w:after="0" w:line="133"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During fiscal 2019, Orion was notified of a pending sales and use tax audit by the California Department of Tax and Fee Administration for the period covering April 1, 2015 through March 31, 2018. Although the final resolution of Orion's sales and use tax audit is uncertain, based on current information, in the opinion of Orion's management, the ultimate disposition of these matters will not have a material adverse effect on the Orion's Condensed Consolidated Balance Sheets, statements of operations, or 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On January 3, 2019, Orion entered into Amendment No. 1 to the Rights Agreement, which amends the Rights Agreement dated as of January 7, 2009. Under the amendment, each common share purchase right (a “Right”), if exercisable, will initially represent the right to purchase from Orion, one share of Orion’s common stock, no par value per share, for a purchase price of $7.00 per share.</w:t>
      </w:r>
    </w:p>
    <w:p>
      <w:pPr>
        <w:spacing w:after="0" w:line="127"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0" w:name="page21"/>
    <w:bookmarkEnd w:id="20"/>
    <w:p>
      <w:pPr>
        <w:jc w:val="both"/>
        <w:ind w:right="20" w:firstLine="501"/>
        <w:spacing w:after="0" w:line="273" w:lineRule="auto"/>
        <w:rPr>
          <w:sz w:val="20"/>
          <w:szCs w:val="20"/>
          <w:color w:val="auto"/>
        </w:rPr>
      </w:pPr>
      <w:r>
        <w:rPr>
          <w:rFonts w:ascii="Arial" w:cs="Arial" w:eastAsia="Arial" w:hAnsi="Arial"/>
          <w:sz w:val="17"/>
          <w:szCs w:val="17"/>
          <w:color w:val="auto"/>
        </w:rPr>
        <w:t>If a person becomes an Acquiring Person, holders of Rights (except as otherwise provided in the Rights Agreement)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24" w:lineRule="exact"/>
        <w:rPr>
          <w:sz w:val="20"/>
          <w:szCs w:val="20"/>
          <w:color w:val="auto"/>
        </w:rPr>
      </w:pPr>
    </w:p>
    <w:p>
      <w:pPr>
        <w:jc w:val="both"/>
        <w:ind w:right="20" w:firstLine="501"/>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right="40" w:firstLine="501"/>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June 30, 2019, Orion issued 613 shares under the ESPP plan at a closing market price of $2.97.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75" w:lineRule="exact"/>
        <w:rPr>
          <w:sz w:val="20"/>
          <w:szCs w:val="20"/>
          <w:color w:val="auto"/>
        </w:rPr>
      </w:pPr>
    </w:p>
    <w:p>
      <w:pPr>
        <w:jc w:val="both"/>
        <w:ind w:right="20" w:firstLine="501"/>
        <w:spacing w:after="0" w:line="257"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common stock, restricted stock, restricted stock units, incentive awards or dividend equivalent units. An aggregate of 1,750,000 shares of Common Stock are reserved for issuance under the Plan.</w:t>
      </w:r>
    </w:p>
    <w:p>
      <w:pPr>
        <w:spacing w:after="0" w:line="134" w:lineRule="exact"/>
        <w:rPr>
          <w:sz w:val="20"/>
          <w:szCs w:val="20"/>
          <w:color w:val="auto"/>
        </w:rPr>
      </w:pPr>
    </w:p>
    <w:p>
      <w:pPr>
        <w:jc w:val="both"/>
        <w:ind w:right="20" w:firstLine="501"/>
        <w:spacing w:after="0" w:line="257" w:lineRule="auto"/>
        <w:rPr>
          <w:sz w:val="20"/>
          <w:szCs w:val="20"/>
          <w:color w:val="auto"/>
        </w:rPr>
      </w:pPr>
      <w:r>
        <w:rPr>
          <w:rFonts w:ascii="Arial" w:cs="Arial" w:eastAsia="Arial" w:hAnsi="Arial"/>
          <w:sz w:val="18"/>
          <w:szCs w:val="18"/>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are outstanding will continue to be governed by the Former Plan. Forfeited awards originally issued under the Former Plan are canceled and are not available for subsequent issuance under the Plan. The Plan and the Former Plan also permit accelerated vesting in the event of certain changes of control of Orion as well as under other special circumstances.</w:t>
      </w:r>
    </w:p>
    <w:p>
      <w:pPr>
        <w:spacing w:after="0" w:line="134"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30"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Borders>
              <w:bottom w:val="single" w:sz="8" w:color="CFF0FC"/>
            </w:tcBorders>
          </w:tcPr>
          <w:p>
            <w:pPr>
              <w:spacing w:after="0"/>
              <w:rPr>
                <w:sz w:val="13"/>
                <w:szCs w:val="13"/>
                <w:color w:val="auto"/>
              </w:rPr>
            </w:pPr>
          </w:p>
        </w:tc>
        <w:tc>
          <w:tcPr>
            <w:tcW w:w="40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40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4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Sales and marketing</w:t>
            </w:r>
          </w:p>
        </w:tc>
        <w:tc>
          <w:tcPr>
            <w:tcW w:w="4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0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406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color w:val="auto"/>
        </w:rPr>
        <w:t>During the first three months of fiscal 2020,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Restricted Shares</w:t>
            </w: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1,312,593</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Awards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(535,344)</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Awards forfeited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(10,150)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(12,583)</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2019</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771,099</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158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June 30, 2019, the amount of deferred stock-based compensation expense to be recognized, over a remaining period of 1.6 years, was approximately $0.6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SEGMENTS</w:t>
      </w:r>
    </w:p>
    <w:p>
      <w:pPr>
        <w:spacing w:after="0" w:line="175"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420"/>
          </w:cols>
          <w:pgMar w:left="240" w:top="341" w:right="239" w:bottom="1440" w:gutter="0" w:footer="0" w:header="0"/>
        </w:sectPr>
      </w:pPr>
    </w:p>
    <w:p>
      <w:pPr>
        <w:spacing w:after="0" w:line="243"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16205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6350</wp:posOffset>
            </wp:positionV>
            <wp:extent cx="16294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wp:posOffset>
            </wp:positionV>
            <wp:extent cx="16294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6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8400" w:space="720"/>
            <w:col w:w="23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34,787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3,231</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4,856</w:t>
            </w:r>
          </w:p>
        </w:tc>
        <w:tc>
          <w:tcPr>
            <w:tcW w:w="26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(1,304)</w:t>
            </w:r>
          </w:p>
        </w:tc>
      </w:tr>
      <w:tr>
        <w:trPr>
          <w:trHeight w:val="223"/>
        </w:trPr>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42,378</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13,822</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2" w:name="page23"/>
    <w:bookmarkEnd w:id="22"/>
    <w:p>
      <w:pPr>
        <w:spacing w:after="0"/>
        <w:tabs>
          <w:tab w:leader="none" w:pos="13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501"/>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2019.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We provide state-of-the-art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4"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Our lighting products consist primarily of light emitting diode ("LED") lighting fixtures, many of which include IoT enabled control systems. Our principal customers include large national account end-users, electrical distributors and energy service companies ("ESCOs"). Currently, substantially all of our products are manufactured at our leased production facility located in Manitowoc, Wisconsin, although as the LED market continues to evolve, we are increasingly sourcing products and components from third parties in order to provide versatility in our product development.</w:t>
      </w:r>
    </w:p>
    <w:p>
      <w:pPr>
        <w:spacing w:after="0" w:line="11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2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We believe the market for LED lighting products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27"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jc w:val="both"/>
        <w:ind w:firstLine="501"/>
        <w:spacing w:after="0" w:line="264"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27" w:lineRule="exact"/>
        <w:rPr>
          <w:sz w:val="20"/>
          <w:szCs w:val="20"/>
          <w:color w:val="auto"/>
        </w:rPr>
      </w:pPr>
    </w:p>
    <w:p>
      <w:pPr>
        <w:jc w:val="both"/>
        <w:ind w:firstLine="501"/>
        <w:spacing w:after="0" w:line="342" w:lineRule="auto"/>
        <w:rPr>
          <w:sz w:val="20"/>
          <w:szCs w:val="20"/>
          <w:color w:val="auto"/>
        </w:rPr>
      </w:pPr>
      <w:r>
        <w:rPr>
          <w:rFonts w:ascii="Arial" w:cs="Arial" w:eastAsia="Arial" w:hAnsi="Arial"/>
          <w:sz w:val="16"/>
          <w:szCs w:val="16"/>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70" w:lineRule="exact"/>
        <w:rPr>
          <w:sz w:val="20"/>
          <w:szCs w:val="20"/>
          <w:color w:val="auto"/>
        </w:rPr>
      </w:pPr>
    </w:p>
    <w:p>
      <w:pPr>
        <w:jc w:val="both"/>
        <w:ind w:right="20" w:firstLine="501"/>
        <w:spacing w:after="0" w:line="259" w:lineRule="auto"/>
        <w:rPr>
          <w:sz w:val="20"/>
          <w:szCs w:val="20"/>
          <w:color w:val="auto"/>
        </w:rPr>
      </w:pPr>
      <w:r>
        <w:rPr>
          <w:rFonts w:ascii="Arial" w:cs="Arial" w:eastAsia="Arial" w:hAnsi="Arial"/>
          <w:sz w:val="18"/>
          <w:szCs w:val="18"/>
          <w:color w:val="auto"/>
        </w:rPr>
        <w:t>Our fiscal year ends on March 31. We refer to our current fiscal year which will end on March 31, 2020 as "fiscal 2020". We refer to our most recently completed fiscal year, which ended on March 31, 2019, as “fiscal 2019”, and our prior fiscal year which ended on March 31, 2018 as "fiscal 2018". Our fiscal first quarter of each fiscal year ends on June 30, our fiscal second quarter ends on September 30, our fiscal third quarter ends on December 31, and our fiscal fourth quarter ends on March 31.</w:t>
      </w:r>
    </w:p>
    <w:p>
      <w:pPr>
        <w:spacing w:after="0" w:line="133"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Orion Distribution Services Division ("ODS"), and Orion U.S. Markets Division ("USM").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During fiscal 2019, we signed a series of contracts to retrofit multiple locations for a major national account customer with our state-of-the-art LED lighting systems and wireless IoT enabled control solutions at locations nationwide. We currently expect total revenue from the customer to be approximately $110 million, dependent on purchase orders, a significant amount of which we expect to be recognized during fiscal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Outlook</w:t>
      </w:r>
    </w:p>
    <w:p>
      <w:pPr>
        <w:spacing w:after="0" w:line="175"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We remain optimistic about our near-term and long-term financial performance. Our ability to achieve our desired revenue growth and profitability goals depends on our ability to effectively execute on the following key strategic initiatives:</w:t>
      </w:r>
    </w:p>
    <w:p>
      <w:pPr>
        <w:spacing w:after="0" w:line="116"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i w:val="1"/>
          <w:iCs w:val="1"/>
          <w:color w:val="auto"/>
        </w:rPr>
        <w:t xml:space="preserve">Focus on executing and marketing our turnkey LED retrofit capabilities to large national account customers. </w:t>
      </w:r>
      <w:r>
        <w:rPr>
          <w:rFonts w:ascii="Arial" w:cs="Arial" w:eastAsia="Arial" w:hAnsi="Arial"/>
          <w:sz w:val="18"/>
          <w:szCs w:val="18"/>
          <w:color w:val="auto"/>
        </w:rPr>
        <w:t>We believe one of our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our contract to retrofit multiple locations for a single national account. We believe that this contract will help lead our growth momentum for fiscal 2020 and beyond.</w:t>
      </w:r>
    </w:p>
    <w:p>
      <w:pPr>
        <w:spacing w:after="0" w:line="13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2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i w:val="1"/>
          <w:iCs w:val="1"/>
          <w:color w:val="auto"/>
        </w:rPr>
        <w:t>Continued Product Innovation</w:t>
      </w:r>
      <w:r>
        <w:rPr>
          <w:rFonts w:ascii="Arial" w:cs="Arial" w:eastAsia="Arial" w:hAnsi="Arial"/>
          <w:sz w:val="18"/>
          <w:szCs w:val="18"/>
          <w:color w:val="auto"/>
        </w:rPr>
        <w:t>. 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33"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i w:val="1"/>
          <w:iCs w:val="1"/>
          <w:color w:val="auto"/>
        </w:rPr>
        <w:t>Leveraging of our Smart Lighting Systems to Support Internet of Things Applications</w:t>
      </w:r>
      <w:r>
        <w:rPr>
          <w:rFonts w:ascii="Arial" w:cs="Arial" w:eastAsia="Arial" w:hAnsi="Arial"/>
          <w:sz w:val="17"/>
          <w:szCs w:val="17"/>
          <w:color w:val="auto"/>
        </w:rPr>
        <w:t>. We believe we are ideally positioned to help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efficiently deploy new IoT controls and applications by leveraging the “Smart Ceiling” capabilities of our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jc w:val="both"/>
        <w:ind w:firstLine="501"/>
        <w:spacing w:after="0" w:line="272" w:lineRule="auto"/>
        <w:rPr>
          <w:sz w:val="20"/>
          <w:szCs w:val="20"/>
          <w:color w:val="auto"/>
        </w:rPr>
      </w:pPr>
      <w:r>
        <w:rPr>
          <w:rFonts w:ascii="Arial" w:cs="Arial" w:eastAsia="Arial" w:hAnsi="Arial"/>
          <w:sz w:val="17"/>
          <w:szCs w:val="17"/>
          <w:i w:val="1"/>
          <w:iCs w:val="1"/>
          <w:color w:val="auto"/>
        </w:rPr>
        <w:t xml:space="preserve">Managing Impacts of Tariffs and Trade Policies. </w:t>
      </w:r>
      <w:r>
        <w:rPr>
          <w:rFonts w:ascii="Arial" w:cs="Arial" w:eastAsia="Arial" w:hAnsi="Arial"/>
          <w:sz w:val="17"/>
          <w:szCs w:val="17"/>
          <w:color w:val="auto"/>
        </w:rPr>
        <w:t>There continues to be a great amount of debate regarding a wide range of policy options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monetary, regulatory, and trade, amongst others, that the U.S. federal government has and may pursue, including the imposition of tariffs on certain imports. Certain sourced finished products and certain of the components used in our products are impacted by the imposed tariffs on China imports. Our efforts to mitigate the impact of added costs include a variety of activities, such as sourcing from non-tariff impacted countries and raising prices.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2019 versus Three Months Ended June 30, 2018</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3"/>
              </w:rPr>
              <w:t>Three Months Ended June 30,</w:t>
            </w: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53"/>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Revenue</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890.0%</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9,724</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1188.2%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10,366</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209.6%</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220" w:type="dxa"/>
            <w:vAlign w:val="bottom"/>
            <w:vMerge w:val="continue"/>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NM</w:t>
            </w:r>
          </w:p>
        </w:tc>
        <w:tc>
          <w:tcPr>
            <w:tcW w:w="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vMerge w:val="continue"/>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w w:val="99"/>
              </w:rPr>
              <w:t>NM</w:t>
            </w: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(2,692)</w:t>
            </w:r>
          </w:p>
        </w:tc>
        <w:tc>
          <w:tcPr>
            <w:tcW w:w="220" w:type="dxa"/>
            <w:vAlign w:val="bottom"/>
            <w:vMerge w:val="continue"/>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w w:val="99"/>
              </w:rPr>
              <w:t>NM</w:t>
            </w: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54" w:lineRule="exact"/>
        <w:rPr>
          <w:sz w:val="20"/>
          <w:szCs w:val="20"/>
          <w:color w:val="auto"/>
        </w:rPr>
      </w:pPr>
    </w:p>
    <w:p>
      <w:pPr>
        <w:jc w:val="both"/>
        <w:ind w:firstLine="501"/>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152.5%, or $19.5 million, for the first quarter of fiscal 2020 versus the first quarter of fiscal 2019.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revenue was the result of higher sales volume through our national account channel, and almost exclusively the result of a major retrofit project for multiple locations for one of our national account customers. Service revenue increased 890.0%, or $9.0 million, due to higher sales volume through our national account channel for the major retrofit project for one customer and the timing of those project installations. In the first quarter of fiscal 2020, sales to this one national account customer represented 77.0% of total sales. Total revenue increased by 206.6%, or $28.6 million, due to the items discussed above.</w:t>
      </w:r>
    </w:p>
    <w:p>
      <w:pPr>
        <w:spacing w:after="0" w:line="104"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increased 145.0%, or $14.1 million, in the first quarter of fiscal 2020 versus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 due to the increase in sales. Cost of service revenue increased $7.6 million, in the first quarter of fiscal 2020 versus the first quarter of fiscal 2019 due to the increase in sales. Gross margin decreased from 25.0% of revenue in fiscal 2019 to 24.3% in fiscal 2020, due to our product mix consisting of higher sales of lower margin products to one large national account customer.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 the first quarter of fiscal 2020 were approximately flat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 primarily due to higher bonus costs more than offset by reduced legal expense and consulting expense as a result of our cost reduction plan.</w:t>
      </w:r>
    </w:p>
    <w:p>
      <w:pPr>
        <w:spacing w:after="0" w:line="127"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5.0%, or $0.1 million, in the first quarter of fiscal 2020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The increase quarter over quarter was primarily due to an increase in commission expense on higher sales.</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 the first quarter of fiscal 2020 remained relatively flat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2019.</w:t>
      </w:r>
    </w:p>
    <w:p>
      <w:pPr>
        <w:spacing w:after="0" w:line="116"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the first quarter of fiscal 2020 primarily represented product royalties received from licensing agreements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quarter of fiscal 2020 increased by 52.8%, or $47 thousand, from the first quarter of fiscal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primarily due to increased borrowings on our revolving credit facility.</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Amortization of debt issue costs</w:t>
      </w:r>
      <w:r>
        <w:rPr>
          <w:rFonts w:ascii="Arial" w:cs="Arial" w:eastAsia="Arial" w:hAnsi="Arial"/>
          <w:sz w:val="18"/>
          <w:szCs w:val="18"/>
          <w:color w:val="auto"/>
        </w:rPr>
        <w:t>. Amortization of debt issue costs in the first quarter of fiscal 2020 increased by $0.1 million from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The increase in amortization of debt issue costs was due to the execution of our new credit agreement.</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first quarter of fiscal 2020 remained relatively flat compared to the first quarter of fiscal 2019.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interest earned on sweep bank accounts.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decreased 63.6%, or $14 thousand, in the first quarter of fiscal 2020 compared to the first quarter of fiscal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is due primarily to minimum state tax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42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34,787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2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4,856</w:t>
            </w:r>
          </w:p>
        </w:tc>
        <w:tc>
          <w:tcPr>
            <w:tcW w:w="240" w:type="dxa"/>
            <w:vAlign w:val="bottom"/>
          </w:tcPr>
          <w:p>
            <w:pPr>
              <w:spacing w:after="0"/>
              <w:rPr>
                <w:sz w:val="19"/>
                <w:szCs w:val="19"/>
                <w:color w:val="auto"/>
              </w:rPr>
            </w:pPr>
          </w:p>
        </w:tc>
        <w:tc>
          <w:tcPr>
            <w:tcW w:w="90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(1,253)</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OES segment revenue in the first quarter of fiscal 2020 was $34.8 million, an increase of $31.6 million from the first quarter of fiscal 2019, as a result of the increase in volume of turnkey projects, specifically to one large national account customer.</w:t>
      </w:r>
    </w:p>
    <w:p>
      <w:pPr>
        <w:spacing w:after="0" w:line="116"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OES segment operating income in the first quarter of fiscal 2020 was $4.9 million, an increase of $6.1 million from an operating loss of $1.3 million in the first quarter of fiscal 2019. The increase in the segment’s operating income was the result of higher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w w:val="97"/>
              </w:rPr>
              <w:t>For the Three Months Ended June 30,</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4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tcPr>
          <w:p>
            <w:pPr>
              <w:spacing w:after="0"/>
              <w:rPr>
                <w:sz w:val="14"/>
                <w:szCs w:val="14"/>
                <w:color w:val="auto"/>
              </w:rPr>
            </w:pPr>
          </w:p>
        </w:tc>
        <w:tc>
          <w:tcPr>
            <w:tcW w:w="24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3,704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9,226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4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(337)</w:t>
            </w: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ODS segment revenue decreased in the first quarter of fiscal 2020 by 59.9%, or $5.5 million, compared to the first quarter of fiscal 2019, primarily due to a decrease in sales volume through our distribution channel.</w:t>
      </w:r>
    </w:p>
    <w:p>
      <w:pPr>
        <w:spacing w:after="0" w:line="116"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ODS segment operating loss in the first quarter of fiscal 2020 was ($0.3 million), a decrease of $0.4 million from the operating income of $0.1 million in the first quarter of fiscal 2019. The segment’s operating loss was primarily due to the decrease in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3,887</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1,365</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340" w:type="dxa"/>
            <w:vAlign w:val="bottom"/>
          </w:tcPr>
          <w:p>
            <w:pPr>
              <w:spacing w:after="0"/>
              <w:rPr>
                <w:sz w:val="19"/>
                <w:szCs w:val="19"/>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firstLine="501"/>
        <w:spacing w:after="0" w:line="308" w:lineRule="auto"/>
        <w:rPr>
          <w:sz w:val="20"/>
          <w:szCs w:val="20"/>
          <w:color w:val="auto"/>
        </w:rPr>
      </w:pPr>
      <w:r>
        <w:rPr>
          <w:rFonts w:ascii="Arial" w:cs="Arial" w:eastAsia="Arial" w:hAnsi="Arial"/>
          <w:sz w:val="17"/>
          <w:szCs w:val="17"/>
          <w:color w:val="auto"/>
        </w:rPr>
        <w:t>USM segment revenue increased from the first quarter of fiscal 2019 by 184.8 %, or $2.5 million. The increase in revenue during the first quarter of fiscal 2020 compared to the first quarter of fiscal 2019 was due to an increase in sales volume as a result of our reengagement in the sales channel.</w:t>
      </w:r>
    </w:p>
    <w:p>
      <w:pPr>
        <w:spacing w:after="0" w:line="93"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USM segment operating income for the first quarter of fiscal 2020 was $0.9 million, an improvement of $1.0 million over the first quarter of fiscal 2019. The improvement from the operating loss in the first quarter of fiscal 2019 was due primarily to the increase in sales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firstLine="501"/>
        <w:spacing w:after="0" w:line="308" w:lineRule="auto"/>
        <w:rPr>
          <w:sz w:val="20"/>
          <w:szCs w:val="20"/>
          <w:color w:val="auto"/>
        </w:rPr>
      </w:pPr>
      <w:r>
        <w:rPr>
          <w:rFonts w:ascii="Arial" w:cs="Arial" w:eastAsia="Arial" w:hAnsi="Arial"/>
          <w:sz w:val="17"/>
          <w:szCs w:val="17"/>
          <w:color w:val="auto"/>
        </w:rPr>
        <w:t>We had approximately $10.2 million in cash and cash equivalents as of June 30, 2019, compared to $8.7 million at March 31, 2019. Our cash position increased as a result of our net income, offset by working capital changes and the net repayment of $0.2 million on our revolving credit facility.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7" w:name="page28"/>
    <w:bookmarkEnd w:id="27"/>
    <w:p>
      <w:pPr>
        <w:jc w:val="both"/>
        <w:ind w:firstLine="501"/>
        <w:spacing w:after="0" w:line="259" w:lineRule="auto"/>
        <w:rPr>
          <w:sz w:val="20"/>
          <w:szCs w:val="20"/>
          <w:color w:val="auto"/>
        </w:rPr>
      </w:pPr>
      <w:r>
        <w:rPr>
          <w:rFonts w:ascii="Arial" w:cs="Arial" w:eastAsia="Arial" w:hAnsi="Arial"/>
          <w:sz w:val="18"/>
          <w:szCs w:val="18"/>
          <w:color w:val="auto"/>
        </w:rPr>
        <w:t>During the second quarter of fiscal 2019, we listed our corporate office location in Manitowoc, Wisconsin for sale or lease to increase liquidity from divesting a non-core asset. Because of the uncertainty of a sale of our building in the next twelve months, the building continues to be classified as held and used as of June 30, 2019. However, any sale of our building will likely result in a non-cash impairment charge, as the building is currently listed for below its net book value.</w:t>
      </w:r>
    </w:p>
    <w:p>
      <w:pPr>
        <w:spacing w:after="0" w:line="133"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higher working capital costs when we increase sales from existing levels. Based on our current expectations, while we anticipate realizing improved operating results in the future, we also currently believe that we may experience negative working capital cash flows during some interim periods.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three months ended June 30, 2019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Investing activities</w:t>
            </w:r>
          </w:p>
        </w:tc>
        <w:tc>
          <w:tcPr>
            <w:tcW w:w="2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(1,627)</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(1,589)</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operating activities primarily consisted of a net income (loss) adjusted for certain non-cash items, including depreciation, amortization of intangible assets, stock-based compensation, amortization of debt issue costs, provisions for reserves, and the effect of changes in working capital and other activities.</w:t>
      </w:r>
    </w:p>
    <w:p>
      <w:pPr>
        <w:spacing w:after="0" w:line="127"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Cash provided by operating activities for the first three months of fiscal 2020 was $2.0 million and consisted of a net income adjusted for non-cash expense items of $4.7 million and net cash used by changes in operating assets and liabilities of $2.7 million. Cash used by changes in operating assets and liabilities consisted primarily of an increase of $9.2 million in Accounts receivable due to higher sales and the timing of collections, and an increase in Inventory of $1.6 million on anticipated second quarter sales. Cash provided by changes in operating assets and liabilities consisted primarily of an increase of $7.1 million in Accounts payable and $0.8 million in Accrued expenses other based on timing of payments.</w:t>
      </w:r>
    </w:p>
    <w:p>
      <w:pPr>
        <w:spacing w:after="0" w:line="119" w:lineRule="exact"/>
        <w:rPr>
          <w:sz w:val="20"/>
          <w:szCs w:val="20"/>
          <w:color w:val="auto"/>
        </w:rPr>
      </w:pPr>
    </w:p>
    <w:p>
      <w:pPr>
        <w:jc w:val="both"/>
        <w:ind w:firstLine="501"/>
        <w:spacing w:after="0" w:line="273" w:lineRule="auto"/>
        <w:rPr>
          <w:sz w:val="20"/>
          <w:szCs w:val="20"/>
          <w:color w:val="auto"/>
        </w:rPr>
      </w:pPr>
      <w:r>
        <w:rPr>
          <w:rFonts w:ascii="Arial" w:cs="Arial" w:eastAsia="Arial" w:hAnsi="Arial"/>
          <w:sz w:val="17"/>
          <w:szCs w:val="17"/>
          <w:color w:val="auto"/>
        </w:rPr>
        <w:t>Cash provided by operating activities for the first quarter of fiscal 2019 was $0.1 million and consisted of a net loss adjusted for non-cash expense items of ($1.9 million) and net cash provided by changes in operating assets and liabilities of $2.0 million. Cash used by changes in operating assets and liabilities consisted of a decrease of $0.6 million in Accounts payable due to the timing of payments, a decrease in Accrued expenses and other of $0.6 million due to payment of sales commissions, and a increase in Inventories of $0.1 million as a result of an increased focus on inventory management. Cash provided by changes in operating assets and liabilities included a decrease of $1.8 million in Accounts receivable due to the timing of customer collections and a decrease in Revenue earned but not billed of $1.3 million due to the timing of billing to customers.</w:t>
      </w:r>
    </w:p>
    <w:p>
      <w:pPr>
        <w:spacing w:after="0" w:line="124"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($0.2 million) in the first three months of fiscal 2020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used by investing activities was ($23 thousand) in the first three months of fiscal 2019 which consisted of purchases of property and equipment.</w:t>
      </w:r>
    </w:p>
    <w:p>
      <w:pPr>
        <w:spacing w:after="0" w:line="194"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($0.3 million) for the first three months of fiscal 2020. This use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consisted primarily of net repayments of ($0.2 million) of our new revolving credit facility.</w:t>
      </w:r>
    </w:p>
    <w:p>
      <w:pPr>
        <w:spacing w:after="0" w:line="116"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Cash used in financing activities was ($1.6 million) for the first three months of fiscal 2019 was due primarily to the net repayment of our prior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Our net working capital as of June 30, 2019 was $17.9 million, consisting of $53.4 million in current assets and $35.4 million in current liabilities. Our net working capital as of March 31, 2019 was $14.0 million, consisting of $41.3 million in current assets and $27.3 in current liabilities. Our current Accounts receivable, net balance increased by $9.2 million from the fiscal 2019 year-end primarily due to higher sales to one national account customer and the timing of customer collections. Our Inventories, net increased from the fiscal 2019 year-end by $1.5 million due primarily to the project roll-out for one national account customer and anticipated second quarter sales. Our Accounts payable increased $7.2 million due to the timing of purchases and payments during the quarter. Our Accrued expenses increased from our fiscal 2019 year-end by $0.9 million due primarily to higher accrued commissions, accrued bonus and accrued sales and use tax related to the roll-out for one national account customer.</w:t>
      </w:r>
    </w:p>
    <w:p>
      <w:pPr>
        <w:spacing w:after="0" w:line="12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On October 26, 2018, we entered into a new secured revolving Business Financing Agreement with Western Alliance Bank, as lender (the “New Credit Agreement”). The New Credit Agreement replaced our existing Credit Agreement. On June 3, 2019, we and certain of our subsidiaries entered into an amendment (the “First Amendment”) to the New Credit Agreement. The First Amendment amended the New Credit Agreement to increase the maximum borrowing base credit available for certain of the customer receivables included in the borrowing base and provide for a borrowing base credit of up to $3.0 million based on inventory, in each case, subject to certain conditions.</w:t>
      </w:r>
    </w:p>
    <w:p>
      <w:pPr>
        <w:spacing w:after="0" w:line="134"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 As of June 30, 2019, our borrowing base was $20.0 million, and we had $9.0 million in borrowings outstanding which were included in non-current liabilities in the accompanying Condensed Consolidated Balance Sheets. As of June 30, 2019, we had no outstanding letters of credit leaving additional borrowing availability of $11.0 million.</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New Credit Agreement is secured by a security interest in substantially all of our and our subsidiaries’ personal property.</w:t>
      </w:r>
    </w:p>
    <w:p>
      <w:pPr>
        <w:spacing w:after="0" w:line="171"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Borrowings under the New Credit Agreement generally bear interest at floating rates based upon the prime rate (but not be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New Credit Agreement). As of June 30, 2019, the interest rate was 6.0%. Among other fees, we are required to pay an annual facility fee equal to 0.45% of the credit limit under the New Credit Agreement due on October 26, 2018 and on each anniversary thereof. With certain exceptions, if the New Credit Agreement is terminated prior to the first anniversary of the closing date of the New Credit Agreement, we are required to pay a termination fee equal to 0.50% of the credit limit under the New Credit Agreement.</w:t>
      </w:r>
    </w:p>
    <w:p>
      <w:pPr>
        <w:spacing w:after="0" w:line="135" w:lineRule="exact"/>
        <w:rPr>
          <w:sz w:val="20"/>
          <w:szCs w:val="20"/>
          <w:color w:val="auto"/>
        </w:rPr>
      </w:pPr>
    </w:p>
    <w:p>
      <w:pPr>
        <w:jc w:val="both"/>
        <w:ind w:firstLine="501"/>
        <w:spacing w:after="0" w:line="302" w:lineRule="auto"/>
        <w:rPr>
          <w:sz w:val="20"/>
          <w:szCs w:val="20"/>
          <w:color w:val="auto"/>
        </w:rPr>
      </w:pPr>
      <w:r>
        <w:rPr>
          <w:rFonts w:ascii="Arial" w:cs="Arial" w:eastAsia="Arial" w:hAnsi="Arial"/>
          <w:sz w:val="16"/>
          <w:szCs w:val="16"/>
          <w:color w:val="auto"/>
        </w:rPr>
        <w:t>The New Credit Agreement requires us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jc w:val="both"/>
        <w:ind w:firstLine="501"/>
        <w:spacing w:after="0" w:line="273" w:lineRule="auto"/>
        <w:rPr>
          <w:sz w:val="20"/>
          <w:szCs w:val="20"/>
          <w:color w:val="auto"/>
        </w:rPr>
      </w:pPr>
      <w:r>
        <w:rPr>
          <w:rFonts w:ascii="Arial" w:cs="Arial" w:eastAsia="Arial" w:hAnsi="Arial"/>
          <w:sz w:val="17"/>
          <w:szCs w:val="17"/>
          <w:color w:val="auto"/>
        </w:rPr>
        <w:t>The New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if we become the subject of voluntary or involuntary proceedings under any bankruptcy or similar law, then any outstanding obligations under the New Credit Agreement will automatically become immediately due and payable.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$0.2 million and $23 thousand for the three-month periods ended June 30, 2019, and 2018, respectively. We plan to incur approximately $0.6 million in capital expenditures in fiscal 2020. We expect to finance these capital expenditures primarily through our existing cash, equipment-secured loans and leases, to the extent needed, long-term debt financing, or by using our available capacity under our New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501"/>
        <w:spacing w:after="0" w:line="342"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Backlog totaled $6.4 million and $10.8 million as of June 30, 2019 and March 31, 2019, respectively. We generally expect our backlog to be recognized as revenue within one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501"/>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2019. For the three months ended June 30, 2019, there were no material changes in our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spacing w:after="0"/>
        <w:tabs>
          <w:tab w:leader="none" w:pos="13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2019. There have been no material changes to such exposures since March 31, 2019.</w:t>
      </w:r>
    </w:p>
    <w:p>
      <w:pPr>
        <w:spacing w:after="0" w:line="18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3"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that assessment, our Chief Executive Officer and Chief Financial Officer concluded that our disclosure controls and procedures as of June 30, 2019 are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Effective April 1, 2019, we adopted Topic 842, “Leasing” ("ASC 842"). Although the adoption of this standard did not have a material impact on our financial results, we have implemented changes to our controls related to leases. These changes include enhanced reviews to ensure completeness of the lease population, evaluation of lease classification, and additional ongoing monitoring activities. These enhanced controls are designed to provide reasonable assurance of the fair presentation of our financial statements and related disclosures.</w:t>
      </w:r>
    </w:p>
    <w:p>
      <w:pPr>
        <w:spacing w:after="0" w:line="13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There were no additional changes in our internal control over financial reporting during the quarter ended June 30, 2019,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501"/>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See Note 14, "Commitments and Contingencies - Litigation", to the Condensed Consolidated Financial Statements in Item 1 of this Quarterly Report on Form 10-Q.</w:t>
      </w:r>
    </w:p>
    <w:p>
      <w:pPr>
        <w:spacing w:after="0" w:line="20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right="20" w:firstLine="501"/>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2019, which we filed with the SEC on June 5, 2019 and in Part 1 - Item 2 under the heading "Management's Discussion and Analysis of Financial Condition and Results of Operations" in this Form 10-Q.</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On August 2, 2019, we and certain of our subsidiaries entered into an amendment (the “Second Amendment”) to the New Credit Agreement. The Second Amendment amended the New Credit Agreement to establish a rent reserve in an amount equal to three months’ rent payable at any leased location where we maintain inventory included in our borrowing base and to provide for a reduction of the borrowing base credit that we may receive for inventory if we default under the lease for any such location. As of the date of the Second Amendment, this rent reserve equaled $0.1 million, and our borrowing base after giving effect to this rent reserve was $20 million.</w:t>
      </w:r>
    </w:p>
    <w:p>
      <w:pPr>
        <w:spacing w:after="0" w:line="134"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foregoing is a summary of the Second Amendment and is qualified in its entirety by reference to the full text of the Second Amendment, a copy of which is filed herewith as Exhibit 10.2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610"/>
              <w:spacing w:after="0"/>
              <w:rPr>
                <w:sz w:val="20"/>
                <w:szCs w:val="20"/>
                <w:color w:val="auto"/>
              </w:rPr>
            </w:pPr>
            <w:r>
              <w:rPr>
                <w:rFonts w:ascii="Arial" w:cs="Arial" w:eastAsia="Arial" w:hAnsi="Arial"/>
                <w:sz w:val="18"/>
                <w:szCs w:val="18"/>
                <w:color w:val="auto"/>
              </w:rPr>
              <w:t>10.1</w:t>
            </w:r>
          </w:p>
        </w:tc>
        <w:tc>
          <w:tcPr>
            <w:tcW w:w="10220" w:type="dxa"/>
            <w:vAlign w:val="bottom"/>
            <w:tcBorders>
              <w:bottom w:val="single" w:sz="8" w:color="0000EE"/>
            </w:tcBorders>
            <w:gridSpan w:val="10"/>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Amendment No. 1 to Business Financing Agreement, dated as of June 3, 2019 among Orion Energy Systems, Inc., Western Alliance Bank, as</w:t>
              </w:r>
            </w:hyperlink>
          </w:p>
        </w:tc>
      </w:tr>
      <w:tr>
        <w:trPr>
          <w:trHeight w:val="196"/>
        </w:trPr>
        <w:tc>
          <w:tcPr>
            <w:tcW w:w="1120" w:type="dxa"/>
            <w:vAlign w:val="bottom"/>
          </w:tcPr>
          <w:p>
            <w:pPr>
              <w:spacing w:after="0"/>
              <w:rPr>
                <w:sz w:val="17"/>
                <w:szCs w:val="17"/>
                <w:color w:val="auto"/>
              </w:rPr>
            </w:pPr>
          </w:p>
        </w:tc>
        <w:tc>
          <w:tcPr>
            <w:tcW w:w="10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lender, and the subsidiary borrowers party thereto [Incorporated by reference to Exhibit 10.2 to the Registrant's Annual Report on Form 10-K</w:t>
              </w:r>
            </w:hyperlink>
          </w:p>
        </w:tc>
      </w:tr>
      <w:tr>
        <w:trPr>
          <w:trHeight w:val="196"/>
        </w:trPr>
        <w:tc>
          <w:tcPr>
            <w:tcW w:w="1120" w:type="dxa"/>
            <w:vAlign w:val="bottom"/>
          </w:tcPr>
          <w:p>
            <w:pPr>
              <w:spacing w:after="0"/>
              <w:rPr>
                <w:sz w:val="17"/>
                <w:szCs w:val="17"/>
                <w:color w:val="auto"/>
              </w:rPr>
            </w:pPr>
          </w:p>
        </w:tc>
        <w:tc>
          <w:tcPr>
            <w:tcW w:w="64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filed with the Securities and Exchange Commission on June 5, 2019 (File No. 001-3887)]</w:t>
              </w:r>
            </w:hyperlink>
          </w:p>
        </w:tc>
        <w:tc>
          <w:tcPr>
            <w:tcW w:w="3760" w:type="dxa"/>
            <w:vAlign w:val="bottom"/>
            <w:gridSpan w:val="7"/>
          </w:tcPr>
          <w:p>
            <w:pPr>
              <w:spacing w:after="0"/>
              <w:rPr>
                <w:sz w:val="17"/>
                <w:szCs w:val="17"/>
                <w:color w:val="auto"/>
              </w:rPr>
            </w:pPr>
          </w:p>
        </w:tc>
      </w:tr>
      <w:tr>
        <w:trPr>
          <w:trHeight w:val="277"/>
        </w:trPr>
        <w:tc>
          <w:tcPr>
            <w:tcW w:w="1120" w:type="dxa"/>
            <w:vAlign w:val="bottom"/>
          </w:tcPr>
          <w:p>
            <w:pPr>
              <w:jc w:val="right"/>
              <w:ind w:right="610"/>
              <w:spacing w:after="0"/>
              <w:rPr>
                <w:sz w:val="20"/>
                <w:szCs w:val="20"/>
                <w:color w:val="auto"/>
              </w:rPr>
            </w:pPr>
            <w:r>
              <w:rPr>
                <w:rFonts w:ascii="Arial" w:cs="Arial" w:eastAsia="Arial" w:hAnsi="Arial"/>
                <w:sz w:val="18"/>
                <w:szCs w:val="18"/>
                <w:color w:val="auto"/>
              </w:rPr>
              <w:t>10.2</w:t>
            </w:r>
          </w:p>
        </w:tc>
        <w:tc>
          <w:tcPr>
            <w:tcW w:w="10220" w:type="dxa"/>
            <w:vAlign w:val="bottom"/>
            <w:gridSpan w:val="10"/>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Amendment No. 2 to Business Financing Agreement, dated as of August 2, 2019 among Orion Energy Systems, Inc., Western Alliance Bank,</w:t>
              </w:r>
            </w:hyperlink>
          </w:p>
        </w:tc>
      </w:tr>
      <w:tr>
        <w:trPr>
          <w:trHeight w:val="196"/>
        </w:trPr>
        <w:tc>
          <w:tcPr>
            <w:tcW w:w="11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as lender, and the subsidiary borrowers party thereto.+</w:t>
              </w:r>
            </w:hyperlink>
          </w:p>
        </w:tc>
        <w:tc>
          <w:tcPr>
            <w:tcW w:w="62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1120" w:type="dxa"/>
            <w:vAlign w:val="bottom"/>
          </w:tcPr>
          <w:p>
            <w:pPr>
              <w:jc w:val="right"/>
              <w:ind w:right="61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Executive Officer of Orion Energy Systems, Inc. pursuant to Rule 13a-14(a) or Rule 15d-14(a) promulgated under the</w:t>
              </w:r>
            </w:hyperlink>
          </w:p>
        </w:tc>
        <w:tc>
          <w:tcPr>
            <w:tcW w:w="1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Securities Exchange Act of 1934, as amended.+</w:t>
              </w:r>
            </w:hyperlink>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77"/>
        </w:trPr>
        <w:tc>
          <w:tcPr>
            <w:tcW w:w="1120" w:type="dxa"/>
            <w:vAlign w:val="bottom"/>
          </w:tcPr>
          <w:p>
            <w:pPr>
              <w:jc w:val="right"/>
              <w:ind w:right="61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Certification of Chief Financial Officer of Orion Energy Systems, Inc. pursuant to Rule 13a-14(a) or Rule 15d-14(a) promulgated under the</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Securities Exchange Act of 1934, as amended.+</w:t>
              </w:r>
            </w:hyperlink>
          </w:p>
        </w:tc>
        <w:tc>
          <w:tcPr>
            <w:tcW w:w="18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77"/>
        </w:trPr>
        <w:tc>
          <w:tcPr>
            <w:tcW w:w="1120" w:type="dxa"/>
            <w:vAlign w:val="bottom"/>
          </w:tcPr>
          <w:p>
            <w:pPr>
              <w:jc w:val="right"/>
              <w:ind w:right="61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Certification of Chief Executive Officer of Orion Energy Systems, Inc. pursuant to Rule 13a-14(b) promulgated under the Securities</w:t>
              </w:r>
            </w:hyperlink>
          </w:p>
        </w:tc>
      </w:tr>
      <w:tr>
        <w:trPr>
          <w:trHeight w:val="20"/>
        </w:trPr>
        <w:tc>
          <w:tcPr>
            <w:tcW w:w="1120" w:type="dxa"/>
            <w:vAlign w:val="bottom"/>
          </w:tcPr>
          <w:p>
            <w:pPr>
              <w:spacing w:after="0" w:line="20" w:lineRule="exact"/>
              <w:rPr>
                <w:sz w:val="1"/>
                <w:szCs w:val="1"/>
                <w:color w:val="auto"/>
              </w:rPr>
            </w:pPr>
          </w:p>
        </w:tc>
        <w:tc>
          <w:tcPr>
            <w:tcW w:w="92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Exchange Act of 1934, as amended, and 18 U.S.C. Section 1350, as adopted pursuant to Section 906 of the Sarbanes-Oxley Act of 2002.+</w:t>
              </w:r>
            </w:hyperlink>
          </w:p>
        </w:tc>
      </w:tr>
      <w:tr>
        <w:trPr>
          <w:trHeight w:val="20"/>
        </w:trPr>
        <w:tc>
          <w:tcPr>
            <w:tcW w:w="1120" w:type="dxa"/>
            <w:vAlign w:val="bottom"/>
          </w:tcPr>
          <w:p>
            <w:pPr>
              <w:spacing w:after="0" w:line="20" w:lineRule="exact"/>
              <w:rPr>
                <w:sz w:val="1"/>
                <w:szCs w:val="1"/>
                <w:color w:val="auto"/>
              </w:rPr>
            </w:pPr>
          </w:p>
        </w:tc>
        <w:tc>
          <w:tcPr>
            <w:tcW w:w="920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77"/>
        </w:trPr>
        <w:tc>
          <w:tcPr>
            <w:tcW w:w="1120" w:type="dxa"/>
            <w:vAlign w:val="bottom"/>
          </w:tcPr>
          <w:p>
            <w:pPr>
              <w:jc w:val="right"/>
              <w:ind w:right="610"/>
              <w:spacing w:after="0"/>
              <w:rPr>
                <w:sz w:val="20"/>
                <w:szCs w:val="20"/>
                <w:color w:val="auto"/>
              </w:rPr>
            </w:pPr>
            <w:r>
              <w:rPr>
                <w:rFonts w:ascii="Arial" w:cs="Arial" w:eastAsia="Arial" w:hAnsi="Arial"/>
                <w:sz w:val="18"/>
                <w:szCs w:val="18"/>
                <w:color w:val="auto"/>
              </w:rPr>
              <w:t>32.2</w:t>
            </w:r>
          </w:p>
        </w:tc>
        <w:tc>
          <w:tcPr>
            <w:tcW w:w="102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Chief Financial Officer of Orion Energy Systems, Inc. pursuant to Rule 13a-14(b) promulgated under the Securities Exchange</w:t>
              </w:r>
            </w:hyperlink>
          </w:p>
        </w:tc>
      </w:tr>
      <w:tr>
        <w:trPr>
          <w:trHeight w:val="196"/>
        </w:trPr>
        <w:tc>
          <w:tcPr>
            <w:tcW w:w="1120" w:type="dxa"/>
            <w:vAlign w:val="bottom"/>
          </w:tcPr>
          <w:p>
            <w:pPr>
              <w:spacing w:after="0"/>
              <w:rPr>
                <w:sz w:val="17"/>
                <w:szCs w:val="17"/>
                <w:color w:val="auto"/>
              </w:rPr>
            </w:pPr>
          </w:p>
        </w:tc>
        <w:tc>
          <w:tcPr>
            <w:tcW w:w="92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Act of 1934, as amended, and 18 U.S.C. Section 1350, as adopted pursuant to Section 906 of the Sarbanes-Oxley Act of 2002.+</w:t>
              </w:r>
            </w:hyperlink>
          </w:p>
        </w:tc>
        <w:tc>
          <w:tcPr>
            <w:tcW w:w="1020" w:type="dxa"/>
            <w:vAlign w:val="bottom"/>
            <w:gridSpan w:val="6"/>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schema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5, 2019.</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19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T. Hull</w:t>
            </w: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r>
        <w:trPr>
          <w:trHeight w:val="648"/>
        </w:trPr>
        <w:tc>
          <w:tcPr>
            <w:tcW w:w="340" w:type="dxa"/>
            <w:vAlign w:val="bottom"/>
          </w:tcPr>
          <w:p>
            <w:pPr>
              <w:spacing w:after="0"/>
              <w:rPr>
                <w:sz w:val="24"/>
                <w:szCs w:val="24"/>
                <w:color w:val="auto"/>
              </w:rPr>
            </w:pPr>
          </w:p>
        </w:tc>
        <w:tc>
          <w:tcPr>
            <w:tcW w:w="5920" w:type="dxa"/>
            <w:vAlign w:val="bottom"/>
            <w:gridSpan w:val="2"/>
          </w:tcPr>
          <w:p>
            <w:pPr>
              <w:jc w:val="right"/>
              <w:ind w:right="553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TWO TO BUSINESS FINANCING AGREEMENT</w:t>
      </w:r>
    </w:p>
    <w:p>
      <w:pPr>
        <w:spacing w:after="0" w:line="200" w:lineRule="exact"/>
        <w:rPr>
          <w:sz w:val="20"/>
          <w:szCs w:val="20"/>
          <w:color w:val="auto"/>
        </w:rPr>
      </w:pPr>
    </w:p>
    <w:p>
      <w:pPr>
        <w:spacing w:after="0" w:line="228"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18"/>
          <w:szCs w:val="18"/>
          <w:color w:val="auto"/>
        </w:rPr>
        <w:t>This AMENDMENT NUMBER TWO TO BUSINESS FINANCING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xml:space="preserve">”), dated as of August 2, 2019, is entered into by and between WESTERN ALLIANCE BANK, an Arizona corporation </w:t>
      </w:r>
      <w:r>
        <w:rPr>
          <w:rFonts w:ascii="Arial" w:cs="Arial" w:eastAsia="Arial" w:hAnsi="Arial"/>
          <w:sz w:val="18"/>
          <w:szCs w:val="18"/>
          <w:b w:val="1"/>
          <w:bCs w:val="1"/>
          <w:u w:val="single" w:color="auto"/>
          <w:color w:val="auto"/>
        </w:rPr>
        <w:t>Lender</w:t>
      </w:r>
      <w:r>
        <w:rPr>
          <w:rFonts w:ascii="Arial" w:cs="Arial" w:eastAsia="Arial" w:hAnsi="Arial"/>
          <w:sz w:val="18"/>
          <w:szCs w:val="18"/>
          <w:color w:val="auto"/>
        </w:rPr>
        <w:t>”), one the one hand, and, ORION ENERGY SYSTEMS, INC., a Wisconsin corporation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the Subsidiaries of Parent listed on Schedule 1 attached to the Agreement defined below, and such other direct or indirect Subsidiaries of Parent that may hereafter become parties hereto (collectively with Parent, “</w:t>
      </w: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on the other hand, with reference to the following facts:</w:t>
      </w:r>
    </w:p>
    <w:p>
      <w:pPr>
        <w:spacing w:after="0" w:line="199" w:lineRule="exact"/>
        <w:rPr>
          <w:sz w:val="20"/>
          <w:szCs w:val="20"/>
          <w:color w:val="auto"/>
        </w:rPr>
      </w:pPr>
    </w:p>
    <w:p>
      <w:pPr>
        <w:jc w:val="both"/>
        <w:ind w:firstLine="885"/>
        <w:spacing w:after="0"/>
        <w:tabs>
          <w:tab w:leader="none" w:pos="16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Borrowers and Lender previously entered into that certain Business Financing Agreement, dated as of October 26, 2018, as amended by that certain Amendment Number One to Business Financing Agreement, dated as of June 3, 2019 (as so amended,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880" w:right="520" w:firstLine="5"/>
        <w:spacing w:after="0" w:line="472" w:lineRule="auto"/>
        <w:tabs>
          <w:tab w:leader="none" w:pos="1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Borrowers and Lender desire to amend the Agreement in accordance with the terms and conditions set forth herein. NOW, THEREFORE, in consideration of the foregoing, the parties hereto hereby agree as follows:</w:t>
      </w:r>
    </w:p>
    <w:p>
      <w:pPr>
        <w:spacing w:after="0" w:line="1" w:lineRule="exact"/>
        <w:rPr>
          <w:sz w:val="20"/>
          <w:szCs w:val="20"/>
          <w:color w:val="auto"/>
        </w:rPr>
      </w:pPr>
    </w:p>
    <w:p>
      <w:pPr>
        <w:ind w:left="1680" w:hanging="795"/>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All initially capitalized terms used but not defined herein shall have the meanings assigned to such terms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the Agreement.</w:t>
      </w:r>
    </w:p>
    <w:p>
      <w:pPr>
        <w:spacing w:after="0" w:line="189" w:lineRule="exact"/>
        <w:rPr>
          <w:rFonts w:ascii="Arial" w:cs="Arial" w:eastAsia="Arial" w:hAnsi="Arial"/>
          <w:sz w:val="18"/>
          <w:szCs w:val="18"/>
          <w:color w:val="auto"/>
        </w:rPr>
      </w:pPr>
    </w:p>
    <w:p>
      <w:pPr>
        <w:ind w:left="1680" w:hanging="795"/>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4.8(g)</w:t>
      </w:r>
      <w:r>
        <w:rPr>
          <w:rFonts w:ascii="Arial" w:cs="Arial" w:eastAsia="Arial" w:hAnsi="Arial"/>
          <w:sz w:val="18"/>
          <w:szCs w:val="18"/>
          <w:color w:val="auto"/>
        </w:rPr>
        <w:t>. Section 4.8(g) of the Agreement is hereby amended in its entirety as follows:</w:t>
      </w:r>
    </w:p>
    <w:p>
      <w:pPr>
        <w:spacing w:after="0" w:line="233" w:lineRule="exact"/>
        <w:rPr>
          <w:rFonts w:ascii="Arial" w:cs="Arial" w:eastAsia="Arial" w:hAnsi="Arial"/>
          <w:sz w:val="18"/>
          <w:szCs w:val="18"/>
          <w:color w:val="auto"/>
        </w:rPr>
      </w:pPr>
    </w:p>
    <w:p>
      <w:pPr>
        <w:jc w:val="both"/>
        <w:ind w:left="3500" w:right="860" w:hanging="858"/>
        <w:spacing w:after="0" w:line="236" w:lineRule="auto"/>
        <w:tabs>
          <w:tab w:leader="none" w:pos="35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Within 30 days of the end of each month, a Compliance Certificate of Borrowers, signed by an authorized financial officer and setting forth (i) the information and computations (in sufficient detail) to calculate the financial covenants at the end of the period covered by the financial statements then being furnished, (ii) whether there existed as of the date of such financial statements and whether there exists as of the date of the certificate, any Event of Default under this Agreement and, if any such Event of Default exists, specifying the nature thereof and the action Borrowers are taking and proposes to take with respect thereto, and (iii) a certification as to whether a default exists under any of Borrowers’ premises leases and, if any default exists, the location of the leased premises and a description of the default(s).</w:t>
      </w:r>
    </w:p>
    <w:p>
      <w:pPr>
        <w:spacing w:after="0" w:line="184" w:lineRule="exact"/>
        <w:rPr>
          <w:rFonts w:ascii="Arial" w:cs="Arial" w:eastAsia="Arial" w:hAnsi="Arial"/>
          <w:sz w:val="18"/>
          <w:szCs w:val="18"/>
          <w:color w:val="auto"/>
        </w:rPr>
      </w:pPr>
    </w:p>
    <w:p>
      <w:pPr>
        <w:ind w:left="1680" w:hanging="795"/>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Section 12.1</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640" w:hanging="877"/>
        <w:spacing w:after="0"/>
        <w:tabs>
          <w:tab w:leader="none" w:pos="2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Clause (i) of the definition of Eligible Inventory set forth in Section 12.1 of the Agreement is hereby amended</w:t>
      </w:r>
    </w:p>
    <w:p>
      <w:pPr>
        <w:spacing w:after="0"/>
        <w:rPr>
          <w:rFonts w:ascii="Arial" w:cs="Arial" w:eastAsia="Arial" w:hAnsi="Arial"/>
          <w:sz w:val="18"/>
          <w:szCs w:val="18"/>
          <w:color w:val="auto"/>
        </w:rPr>
      </w:pPr>
      <w:r>
        <w:rPr>
          <w:rFonts w:ascii="Arial" w:cs="Arial" w:eastAsia="Arial" w:hAnsi="Arial"/>
          <w:sz w:val="18"/>
          <w:szCs w:val="18"/>
          <w:color w:val="auto"/>
        </w:rPr>
        <w:t>in its entirety as follows:</w:t>
      </w:r>
    </w:p>
    <w:p>
      <w:pPr>
        <w:spacing w:after="0" w:line="211" w:lineRule="exact"/>
        <w:rPr>
          <w:rFonts w:ascii="Arial" w:cs="Arial" w:eastAsia="Arial" w:hAnsi="Arial"/>
          <w:sz w:val="18"/>
          <w:szCs w:val="18"/>
          <w:color w:val="auto"/>
        </w:rPr>
      </w:pPr>
    </w:p>
    <w:p>
      <w:pPr>
        <w:jc w:val="both"/>
        <w:ind w:left="3500" w:right="860" w:hanging="858"/>
        <w:spacing w:after="0" w:line="239" w:lineRule="auto"/>
        <w:tabs>
          <w:tab w:leader="none" w:pos="35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Inventory is located at one of Borrowers’ locations within the United States, and for each such location, a rent reserve under the Borrowing Base and the Credit Limit has been established in an amount equal to 3 months future rent due to the landlord for such location;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BN 36835865v1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 w:name="page36"/>
    <w:bookmarkEnd w:id="35"/>
    <w:p>
      <w:pPr>
        <w:ind w:left="1760"/>
        <w:spacing w:after="0"/>
        <w:tabs>
          <w:tab w:leader="none" w:pos="2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following defined term set forth in Section 12.1 of the Agreement is hereby amended in its entirety as</w:t>
      </w: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p>
      <w:pPr>
        <w:jc w:val="both"/>
        <w:ind w:left="2640" w:right="88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Inventory Sublimit</w:t>
      </w:r>
      <w:r>
        <w:rPr>
          <w:rFonts w:ascii="Arial" w:cs="Arial" w:eastAsia="Arial" w:hAnsi="Arial"/>
          <w:sz w:val="18"/>
          <w:szCs w:val="18"/>
          <w:color w:val="auto"/>
        </w:rPr>
        <w:t>” means $3,000,000; provided that in the event that Borrower shall be in default under any premises lease where any Eligible Inventory is maintained, then the Inventory Sublimit shall reduce monthly each time by an amount equal to $1,000,000, commencing on the date of Lender’s notice to Borrowers of such reduction and continuing on the same day of each month thereafter until the Inventory Sublimit is reduced to $0.</w:t>
      </w:r>
    </w:p>
    <w:p>
      <w:pPr>
        <w:spacing w:after="0" w:line="177" w:lineRule="exact"/>
        <w:rPr>
          <w:sz w:val="20"/>
          <w:szCs w:val="20"/>
          <w:color w:val="auto"/>
        </w:rPr>
      </w:pPr>
    </w:p>
    <w:p>
      <w:pPr>
        <w:ind w:left="1680" w:hanging="795"/>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Exhibit A</w:t>
      </w:r>
      <w:r>
        <w:rPr>
          <w:rFonts w:ascii="Arial" w:cs="Arial" w:eastAsia="Arial" w:hAnsi="Arial"/>
          <w:sz w:val="18"/>
          <w:szCs w:val="18"/>
          <w:color w:val="auto"/>
        </w:rPr>
        <w:t>.  Exhibit A attached to the Agreement is hereby replaced with Exhibit A attached to this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Amendment.</w:t>
      </w:r>
    </w:p>
    <w:p>
      <w:pPr>
        <w:spacing w:after="0" w:line="189" w:lineRule="exact"/>
        <w:rPr>
          <w:rFonts w:ascii="Arial" w:cs="Arial" w:eastAsia="Arial" w:hAnsi="Arial"/>
          <w:sz w:val="18"/>
          <w:szCs w:val="18"/>
          <w:color w:val="auto"/>
        </w:rPr>
      </w:pPr>
    </w:p>
    <w:p>
      <w:pPr>
        <w:ind w:firstLine="885"/>
        <w:spacing w:after="0" w:line="271" w:lineRule="auto"/>
        <w:tabs>
          <w:tab w:leader="none" w:pos="1676"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 to Effectiveness of Amendment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effectiveness of this Amendment is subject to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the fulfillment of each and every one of the following conditions to the satisfaction of Lender:</w:t>
      </w:r>
    </w:p>
    <w:p>
      <w:pPr>
        <w:spacing w:after="0" w:line="175" w:lineRule="exact"/>
        <w:rPr>
          <w:rFonts w:ascii="Arial" w:cs="Arial" w:eastAsia="Arial" w:hAnsi="Arial"/>
          <w:sz w:val="18"/>
          <w:szCs w:val="18"/>
          <w:color w:val="auto"/>
        </w:rPr>
      </w:pPr>
    </w:p>
    <w:p>
      <w:pPr>
        <w:ind w:left="2640" w:hanging="877"/>
        <w:spacing w:after="0"/>
        <w:tabs>
          <w:tab w:leader="none" w:pos="2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Lender shall have received this Amendment, duly executed by Borrowers;</w:t>
      </w:r>
    </w:p>
    <w:p>
      <w:pPr>
        <w:spacing w:after="0" w:line="211" w:lineRule="exact"/>
        <w:rPr>
          <w:rFonts w:ascii="Arial" w:cs="Arial" w:eastAsia="Arial" w:hAnsi="Arial"/>
          <w:sz w:val="18"/>
          <w:szCs w:val="18"/>
          <w:color w:val="auto"/>
        </w:rPr>
      </w:pPr>
    </w:p>
    <w:p>
      <w:pPr>
        <w:ind w:left="2640" w:hanging="877"/>
        <w:spacing w:after="0"/>
        <w:tabs>
          <w:tab w:leader="none" w:pos="2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Event of Default or Default shall have occurred and be continuing; and</w:t>
      </w:r>
    </w:p>
    <w:p>
      <w:pPr>
        <w:spacing w:after="0" w:line="211" w:lineRule="exact"/>
        <w:rPr>
          <w:rFonts w:ascii="Arial" w:cs="Arial" w:eastAsia="Arial" w:hAnsi="Arial"/>
          <w:sz w:val="18"/>
          <w:szCs w:val="18"/>
          <w:color w:val="auto"/>
        </w:rPr>
      </w:pPr>
    </w:p>
    <w:p>
      <w:pPr>
        <w:jc w:val="both"/>
        <w:ind w:firstLine="1763"/>
        <w:spacing w:after="0"/>
        <w:tabs>
          <w:tab w:leader="none" w:pos="26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of the representations and warranties set forth herein and in the Agreement shall be true, complete and accurate in all respects as of the date hereof (except for representations and warranties which are expressly stated to be true and correct as of the date of the Agreement).</w:t>
      </w:r>
    </w:p>
    <w:p>
      <w:pPr>
        <w:spacing w:after="0" w:line="180" w:lineRule="exact"/>
        <w:rPr>
          <w:rFonts w:ascii="Arial" w:cs="Arial" w:eastAsia="Arial" w:hAnsi="Arial"/>
          <w:sz w:val="18"/>
          <w:szCs w:val="18"/>
          <w:color w:val="auto"/>
        </w:rPr>
      </w:pPr>
    </w:p>
    <w:p>
      <w:pPr>
        <w:ind w:firstLine="885"/>
        <w:spacing w:after="0" w:line="271" w:lineRule="auto"/>
        <w:tabs>
          <w:tab w:leader="none" w:pos="1676"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In order to induce Lender to enter into this Amendment, each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Lender that:</w:t>
      </w:r>
    </w:p>
    <w:p>
      <w:pPr>
        <w:spacing w:after="0" w:line="175" w:lineRule="exact"/>
        <w:rPr>
          <w:rFonts w:ascii="Arial" w:cs="Arial" w:eastAsia="Arial" w:hAnsi="Arial"/>
          <w:sz w:val="18"/>
          <w:szCs w:val="18"/>
          <w:color w:val="auto"/>
        </w:rPr>
      </w:pPr>
    </w:p>
    <w:p>
      <w:pPr>
        <w:ind w:left="2640" w:hanging="877"/>
        <w:spacing w:after="0"/>
        <w:tabs>
          <w:tab w:leader="none" w:pos="2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Event of Default or Default is continuing;</w:t>
      </w:r>
    </w:p>
    <w:p>
      <w:pPr>
        <w:spacing w:after="0" w:line="211" w:lineRule="exact"/>
        <w:rPr>
          <w:rFonts w:ascii="Arial" w:cs="Arial" w:eastAsia="Arial" w:hAnsi="Arial"/>
          <w:sz w:val="18"/>
          <w:szCs w:val="18"/>
          <w:color w:val="auto"/>
        </w:rPr>
      </w:pPr>
    </w:p>
    <w:p>
      <w:pPr>
        <w:jc w:val="both"/>
        <w:ind w:firstLine="1763"/>
        <w:spacing w:after="0"/>
        <w:tabs>
          <w:tab w:leader="none" w:pos="262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of the representations and warranties set forth in the Agreement and in the Agreement are true, complete and accurate in all respects (except for representations and warranties which are expressly stated to be true and correct as of the date of the Agreement); and</w:t>
      </w:r>
    </w:p>
    <w:p>
      <w:pPr>
        <w:spacing w:after="0" w:line="202" w:lineRule="exact"/>
        <w:rPr>
          <w:rFonts w:ascii="Arial" w:cs="Arial" w:eastAsia="Arial" w:hAnsi="Arial"/>
          <w:sz w:val="18"/>
          <w:szCs w:val="18"/>
          <w:color w:val="auto"/>
        </w:rPr>
      </w:pPr>
    </w:p>
    <w:p>
      <w:pPr>
        <w:jc w:val="both"/>
        <w:ind w:firstLine="1763"/>
        <w:spacing w:after="0" w:line="239" w:lineRule="auto"/>
        <w:tabs>
          <w:tab w:leader="none" w:pos="26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Borrowers, and the Agreement continues to constitute the legal, valid and binding agreements and obligations of Borrowers, enforceable in accordance with its terms, except as enforceability may be limited by bankruptcy, insolvency, and similar laws and equitable principles affecting the enforcement of creditors’ rights generally.</w:t>
      </w:r>
    </w:p>
    <w:p>
      <w:pPr>
        <w:spacing w:after="0" w:line="179" w:lineRule="exact"/>
        <w:rPr>
          <w:rFonts w:ascii="Arial" w:cs="Arial" w:eastAsia="Arial" w:hAnsi="Arial"/>
          <w:sz w:val="18"/>
          <w:szCs w:val="18"/>
          <w:color w:val="auto"/>
        </w:rPr>
      </w:pPr>
    </w:p>
    <w:p>
      <w:pPr>
        <w:jc w:val="both"/>
        <w:ind w:firstLine="885"/>
        <w:spacing w:after="0" w:line="241" w:lineRule="auto"/>
        <w:tabs>
          <w:tab w:leader="none" w:pos="1676"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and by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on separate counterparts, each of which, when executed and delivered, shall be deemed to be an original, and all of which, when taken together, shall constitute but one and the same Amendment. Delivery of an executed counterpart of this Amendment electronically (including by e-mail delivery of a “.pdf” format data file) shall be equally as effective as delivery of a manually executed counterpart of this Amendment. Any party delivering an executed counterpart of this Amendment electronically also shall deliver a manually executed counterpart of this Amendment but the failure to deliver a manually executed counterpart shall not affect the validity, enforceability, and binding effect of this Amendment.</w:t>
      </w:r>
    </w:p>
    <w:p>
      <w:pPr>
        <w:spacing w:after="0" w:line="179" w:lineRule="exact"/>
        <w:rPr>
          <w:rFonts w:ascii="Arial" w:cs="Arial" w:eastAsia="Arial" w:hAnsi="Arial"/>
          <w:sz w:val="18"/>
          <w:szCs w:val="18"/>
          <w:color w:val="auto"/>
        </w:rPr>
      </w:pPr>
    </w:p>
    <w:p>
      <w:pPr>
        <w:jc w:val="both"/>
        <w:ind w:firstLine="885"/>
        <w:spacing w:after="0" w:line="253" w:lineRule="auto"/>
        <w:tabs>
          <w:tab w:leader="none" w:pos="1676"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The Agreement as amended by this Amendment constitutes the entire agreement and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hereto with respect to the subject matter hereof and thereof, and supersedes any and all prior agreements and understandings, oral or written, relating to the subject matter hereof and thereof.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BN 36835865v1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6" w:name="page37"/>
    <w:bookmarkEnd w:id="36"/>
    <w:p>
      <w:pPr>
        <w:jc w:val="both"/>
        <w:ind w:firstLine="885"/>
        <w:spacing w:after="0" w:line="253" w:lineRule="auto"/>
        <w:tabs>
          <w:tab w:leader="none" w:pos="1676"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The execution of this Amendment and the acceptance of all other agreements and instruments related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a waiver of any Default or Event of Default, whether or not known to Lender and whether or not existing on the date of this Amendment.</w:t>
      </w:r>
    </w:p>
    <w:p>
      <w:pPr>
        <w:spacing w:after="0" w:line="169" w:lineRule="exact"/>
        <w:rPr>
          <w:rFonts w:ascii="Arial" w:cs="Arial" w:eastAsia="Arial" w:hAnsi="Arial"/>
          <w:sz w:val="18"/>
          <w:szCs w:val="18"/>
          <w:color w:val="auto"/>
        </w:rPr>
      </w:pPr>
    </w:p>
    <w:p>
      <w:pPr>
        <w:ind w:left="1780" w:hanging="895"/>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jc w:val="both"/>
        <w:ind w:firstLine="1763"/>
        <w:spacing w:after="0" w:line="236" w:lineRule="auto"/>
        <w:tabs>
          <w:tab w:leader="none" w:pos="26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Borrower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such Borrower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Each Borrower hereto certifies that it has read the following provisions of California Civil Code Section 1542:</w:t>
      </w:r>
    </w:p>
    <w:p>
      <w:pPr>
        <w:spacing w:after="0" w:line="208" w:lineRule="exact"/>
        <w:rPr>
          <w:sz w:val="20"/>
          <w:szCs w:val="20"/>
          <w:color w:val="auto"/>
        </w:rPr>
      </w:pPr>
    </w:p>
    <w:p>
      <w:pPr>
        <w:jc w:val="both"/>
        <w:ind w:left="2640" w:right="880"/>
        <w:spacing w:after="0"/>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3" w:lineRule="exact"/>
        <w:rPr>
          <w:sz w:val="20"/>
          <w:szCs w:val="20"/>
          <w:color w:val="auto"/>
        </w:rPr>
      </w:pPr>
    </w:p>
    <w:p>
      <w:pPr>
        <w:jc w:val="both"/>
        <w:ind w:firstLine="1763"/>
        <w:spacing w:after="0" w:line="237" w:lineRule="auto"/>
        <w:tabs>
          <w:tab w:leader="none" w:pos="26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Borrower understands and acknowledges that the significance and consequence of this waiver of California Civil Code Section 1542 is that even if it should eventually suffer additional damages arising out of the facts referred to above, it will not be able to make any claim for those damages. Furthermore, each Borrower acknowledges that it intends these consequences even as to claims for damages that may exist as of the date of this release but which it does not know exist, and which, if known, would materially affect its decision to execute this Agreement, regardless of whether its lack of knowledge is the result of ignorance, oversight, error, negligence, or any other cause.</w:t>
      </w:r>
    </w:p>
    <w:p>
      <w:pPr>
        <w:spacing w:after="0" w:line="183" w:lineRule="exact"/>
        <w:rPr>
          <w:rFonts w:ascii="Arial" w:cs="Arial" w:eastAsia="Arial" w:hAnsi="Arial"/>
          <w:sz w:val="18"/>
          <w:szCs w:val="18"/>
          <w:color w:val="auto"/>
        </w:rPr>
      </w:pPr>
    </w:p>
    <w:p>
      <w:pPr>
        <w:ind w:left="1780" w:hanging="895"/>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Reaffirmation of the Agreement</w:t>
      </w:r>
      <w:r>
        <w:rPr>
          <w:rFonts w:ascii="Arial" w:cs="Arial" w:eastAsia="Arial" w:hAnsi="Arial"/>
          <w:sz w:val="18"/>
          <w:szCs w:val="18"/>
          <w:color w:val="auto"/>
        </w:rPr>
        <w:t>.  The Agreement as amended hereby and the Loan Documents remain in full force</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effect.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BN 36835865v1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ind w:left="880"/>
        <w:spacing w:after="0"/>
        <w:rPr>
          <w:sz w:val="20"/>
          <w:szCs w:val="20"/>
          <w:color w:val="auto"/>
        </w:rPr>
      </w:pPr>
      <w:r>
        <w:rPr>
          <w:rFonts w:ascii="Arial" w:cs="Arial" w:eastAsia="Arial" w:hAnsi="Arial"/>
          <w:sz w:val="18"/>
          <w:szCs w:val="18"/>
          <w:color w:val="auto"/>
        </w:rPr>
        <w:t>IN WITNESS WHEREOF, the parties hereto have duly executed and delivered this Amendment as of the date first hereinabove</w:t>
      </w:r>
    </w:p>
    <w:p>
      <w:pPr>
        <w:spacing w:after="0"/>
        <w:rPr>
          <w:sz w:val="20"/>
          <w:szCs w:val="20"/>
          <w:color w:val="auto"/>
        </w:rPr>
      </w:pPr>
      <w:r>
        <w:rPr>
          <w:rFonts w:ascii="Arial" w:cs="Arial" w:eastAsia="Arial" w:hAnsi="Arial"/>
          <w:sz w:val="18"/>
          <w:szCs w:val="18"/>
          <w:color w:val="auto"/>
        </w:rPr>
        <w:t>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20"/>
                <w:szCs w:val="20"/>
                <w:color w:val="auto"/>
              </w:rPr>
            </w:pPr>
            <w:r>
              <w:rPr>
                <w:rFonts w:ascii="Arial" w:cs="Arial" w:eastAsia="Arial" w:hAnsi="Arial"/>
                <w:sz w:val="18"/>
                <w:szCs w:val="18"/>
                <w:color w:val="auto"/>
              </w:rPr>
              <w:t>BORROWERS:</w:t>
            </w:r>
          </w:p>
        </w:tc>
        <w:tc>
          <w:tcPr>
            <w:tcW w:w="7940" w:type="dxa"/>
            <w:vAlign w:val="bottom"/>
            <w:gridSpan w:val="2"/>
          </w:tcPr>
          <w:p>
            <w:pPr>
              <w:ind w:left="2240"/>
              <w:spacing w:after="0"/>
              <w:rPr>
                <w:sz w:val="20"/>
                <w:szCs w:val="20"/>
                <w:color w:val="auto"/>
              </w:rPr>
            </w:pPr>
            <w:r>
              <w:rPr>
                <w:rFonts w:ascii="Arial" w:cs="Arial" w:eastAsia="Arial" w:hAnsi="Arial"/>
                <w:sz w:val="18"/>
                <w:szCs w:val="18"/>
                <w:b w:val="1"/>
                <w:bCs w:val="1"/>
                <w:color w:val="auto"/>
              </w:rPr>
              <w:t>ORION ENERGY SYSTEMS, INC.</w:t>
            </w:r>
            <w:r>
              <w:rPr>
                <w:rFonts w:ascii="Arial" w:cs="Arial" w:eastAsia="Arial" w:hAnsi="Arial"/>
                <w:sz w:val="18"/>
                <w:szCs w:val="18"/>
                <w:color w:val="auto"/>
              </w:rPr>
              <w:t>,</w:t>
            </w:r>
          </w:p>
        </w:tc>
      </w:tr>
      <w:tr>
        <w:trPr>
          <w:trHeight w:val="217"/>
        </w:trPr>
        <w:tc>
          <w:tcPr>
            <w:tcW w:w="3480" w:type="dxa"/>
            <w:vAlign w:val="bottom"/>
          </w:tcPr>
          <w:p>
            <w:pPr>
              <w:spacing w:after="0"/>
              <w:rPr>
                <w:sz w:val="18"/>
                <w:szCs w:val="18"/>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color w:val="auto"/>
              </w:rPr>
              <w:t>a Wisconsin corporation</w:t>
            </w:r>
          </w:p>
        </w:tc>
      </w:tr>
      <w:tr>
        <w:trPr>
          <w:trHeight w:val="459"/>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480" w:type="dxa"/>
            <w:vAlign w:val="bottom"/>
          </w:tcPr>
          <w:p>
            <w:pPr>
              <w:spacing w:after="0"/>
              <w:rPr>
                <w:sz w:val="23"/>
                <w:szCs w:val="23"/>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480" w:type="dxa"/>
            <w:vAlign w:val="bottom"/>
          </w:tcPr>
          <w:p>
            <w:pPr>
              <w:spacing w:after="0"/>
              <w:rPr>
                <w:sz w:val="24"/>
                <w:szCs w:val="24"/>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CLEAN ENERGY SOLUTIONS, LLC</w:t>
            </w:r>
            <w:r>
              <w:rPr>
                <w:rFonts w:ascii="Arial" w:cs="Arial" w:eastAsia="Arial" w:hAnsi="Arial"/>
                <w:sz w:val="18"/>
                <w:szCs w:val="18"/>
                <w:color w:val="auto"/>
              </w:rPr>
              <w:t>,</w:t>
            </w:r>
          </w:p>
        </w:tc>
      </w:tr>
      <w:tr>
        <w:trPr>
          <w:trHeight w:val="217"/>
        </w:trPr>
        <w:tc>
          <w:tcPr>
            <w:tcW w:w="3480" w:type="dxa"/>
            <w:vAlign w:val="bottom"/>
          </w:tcPr>
          <w:p>
            <w:pPr>
              <w:spacing w:after="0"/>
              <w:rPr>
                <w:sz w:val="18"/>
                <w:szCs w:val="18"/>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color w:val="auto"/>
              </w:rPr>
              <w:t>a Wisconsin limited liability company</w:t>
            </w:r>
          </w:p>
        </w:tc>
      </w:tr>
      <w:tr>
        <w:trPr>
          <w:trHeight w:val="459"/>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480" w:type="dxa"/>
            <w:vAlign w:val="bottom"/>
          </w:tcPr>
          <w:p>
            <w:pPr>
              <w:spacing w:after="0"/>
              <w:rPr>
                <w:sz w:val="23"/>
                <w:szCs w:val="23"/>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480" w:type="dxa"/>
            <w:vAlign w:val="bottom"/>
          </w:tcPr>
          <w:p>
            <w:pPr>
              <w:spacing w:after="0"/>
              <w:rPr>
                <w:sz w:val="24"/>
                <w:szCs w:val="24"/>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b w:val="1"/>
                <w:bCs w:val="1"/>
                <w:color w:val="auto"/>
              </w:rPr>
              <w:t>GREAT LAKES ENERGY TECHNOLOGIES, LLC</w:t>
            </w:r>
            <w:r>
              <w:rPr>
                <w:rFonts w:ascii="Arial" w:cs="Arial" w:eastAsia="Arial" w:hAnsi="Arial"/>
                <w:sz w:val="18"/>
                <w:szCs w:val="18"/>
                <w:color w:val="auto"/>
              </w:rPr>
              <w:t>,</w:t>
            </w:r>
          </w:p>
        </w:tc>
      </w:tr>
      <w:tr>
        <w:trPr>
          <w:trHeight w:val="217"/>
        </w:trPr>
        <w:tc>
          <w:tcPr>
            <w:tcW w:w="3480" w:type="dxa"/>
            <w:vAlign w:val="bottom"/>
          </w:tcPr>
          <w:p>
            <w:pPr>
              <w:spacing w:after="0"/>
              <w:rPr>
                <w:sz w:val="18"/>
                <w:szCs w:val="18"/>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color w:val="auto"/>
              </w:rPr>
              <w:t>a Wisconsin limited liability company</w:t>
            </w:r>
          </w:p>
        </w:tc>
      </w:tr>
      <w:tr>
        <w:trPr>
          <w:trHeight w:val="459"/>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480" w:type="dxa"/>
            <w:vAlign w:val="bottom"/>
          </w:tcPr>
          <w:p>
            <w:pPr>
              <w:spacing w:after="0"/>
              <w:rPr>
                <w:sz w:val="23"/>
                <w:szCs w:val="23"/>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480" w:type="dxa"/>
            <w:vAlign w:val="bottom"/>
          </w:tcPr>
          <w:p>
            <w:pPr>
              <w:spacing w:after="0"/>
              <w:rPr>
                <w:sz w:val="24"/>
                <w:szCs w:val="24"/>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b w:val="1"/>
                <w:bCs w:val="1"/>
                <w:color w:val="auto"/>
              </w:rPr>
              <w:t>ORION SHARED SERVICES, LLC</w:t>
            </w:r>
            <w:r>
              <w:rPr>
                <w:rFonts w:ascii="Arial" w:cs="Arial" w:eastAsia="Arial" w:hAnsi="Arial"/>
                <w:sz w:val="18"/>
                <w:szCs w:val="18"/>
                <w:color w:val="auto"/>
              </w:rPr>
              <w:t>,</w:t>
            </w:r>
          </w:p>
        </w:tc>
      </w:tr>
      <w:tr>
        <w:trPr>
          <w:trHeight w:val="217"/>
        </w:trPr>
        <w:tc>
          <w:tcPr>
            <w:tcW w:w="3480" w:type="dxa"/>
            <w:vAlign w:val="bottom"/>
          </w:tcPr>
          <w:p>
            <w:pPr>
              <w:spacing w:after="0"/>
              <w:rPr>
                <w:sz w:val="18"/>
                <w:szCs w:val="18"/>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color w:val="auto"/>
              </w:rPr>
              <w:t>a Wisconsin limited liability company</w:t>
            </w:r>
          </w:p>
        </w:tc>
      </w:tr>
      <w:tr>
        <w:trPr>
          <w:trHeight w:val="459"/>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480" w:type="dxa"/>
            <w:vAlign w:val="bottom"/>
          </w:tcPr>
          <w:p>
            <w:pPr>
              <w:spacing w:after="0"/>
              <w:rPr>
                <w:sz w:val="23"/>
                <w:szCs w:val="23"/>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480" w:type="dxa"/>
            <w:vAlign w:val="bottom"/>
          </w:tcPr>
          <w:p>
            <w:pPr>
              <w:spacing w:after="0"/>
              <w:rPr>
                <w:sz w:val="24"/>
                <w:szCs w:val="24"/>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b w:val="1"/>
                <w:bCs w:val="1"/>
                <w:color w:val="auto"/>
              </w:rPr>
              <w:t>ORION AVIATION, LLC</w:t>
            </w:r>
            <w:r>
              <w:rPr>
                <w:rFonts w:ascii="Arial" w:cs="Arial" w:eastAsia="Arial" w:hAnsi="Arial"/>
                <w:sz w:val="18"/>
                <w:szCs w:val="18"/>
                <w:color w:val="auto"/>
              </w:rPr>
              <w:t>,</w:t>
            </w:r>
          </w:p>
        </w:tc>
      </w:tr>
      <w:tr>
        <w:trPr>
          <w:trHeight w:val="217"/>
        </w:trPr>
        <w:tc>
          <w:tcPr>
            <w:tcW w:w="3480" w:type="dxa"/>
            <w:vAlign w:val="bottom"/>
          </w:tcPr>
          <w:p>
            <w:pPr>
              <w:spacing w:after="0"/>
              <w:rPr>
                <w:sz w:val="18"/>
                <w:szCs w:val="18"/>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color w:val="auto"/>
              </w:rPr>
              <w:t>a Wisconsin limited liability company</w:t>
            </w:r>
          </w:p>
        </w:tc>
      </w:tr>
      <w:tr>
        <w:trPr>
          <w:trHeight w:val="459"/>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480" w:type="dxa"/>
            <w:vAlign w:val="bottom"/>
          </w:tcPr>
          <w:p>
            <w:pPr>
              <w:spacing w:after="0"/>
              <w:rPr>
                <w:sz w:val="23"/>
                <w:szCs w:val="23"/>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480" w:type="dxa"/>
            <w:vAlign w:val="bottom"/>
          </w:tcPr>
          <w:p>
            <w:pPr>
              <w:spacing w:after="0"/>
              <w:rPr>
                <w:sz w:val="24"/>
                <w:szCs w:val="24"/>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b w:val="1"/>
                <w:bCs w:val="1"/>
                <w:color w:val="auto"/>
              </w:rPr>
              <w:t>ORION TECHNOLOGY VENTURES, LLC</w:t>
            </w:r>
            <w:r>
              <w:rPr>
                <w:rFonts w:ascii="Arial" w:cs="Arial" w:eastAsia="Arial" w:hAnsi="Arial"/>
                <w:sz w:val="18"/>
                <w:szCs w:val="18"/>
                <w:color w:val="auto"/>
              </w:rPr>
              <w:t>,</w:t>
            </w:r>
          </w:p>
        </w:tc>
      </w:tr>
      <w:tr>
        <w:trPr>
          <w:trHeight w:val="217"/>
        </w:trPr>
        <w:tc>
          <w:tcPr>
            <w:tcW w:w="3480" w:type="dxa"/>
            <w:vAlign w:val="bottom"/>
          </w:tcPr>
          <w:p>
            <w:pPr>
              <w:spacing w:after="0"/>
              <w:rPr>
                <w:sz w:val="18"/>
                <w:szCs w:val="18"/>
                <w:color w:val="auto"/>
              </w:rPr>
            </w:pPr>
          </w:p>
        </w:tc>
        <w:tc>
          <w:tcPr>
            <w:tcW w:w="7940" w:type="dxa"/>
            <w:vAlign w:val="bottom"/>
            <w:gridSpan w:val="2"/>
          </w:tcPr>
          <w:p>
            <w:pPr>
              <w:ind w:left="2240"/>
              <w:spacing w:after="0"/>
              <w:rPr>
                <w:sz w:val="20"/>
                <w:szCs w:val="20"/>
                <w:color w:val="auto"/>
              </w:rPr>
            </w:pPr>
            <w:r>
              <w:rPr>
                <w:rFonts w:ascii="Arial" w:cs="Arial" w:eastAsia="Arial" w:hAnsi="Arial"/>
                <w:sz w:val="18"/>
                <w:szCs w:val="18"/>
                <w:color w:val="auto"/>
              </w:rPr>
              <w:t>a Wisconsin limited liability company</w:t>
            </w:r>
          </w:p>
        </w:tc>
      </w:tr>
      <w:tr>
        <w:trPr>
          <w:trHeight w:val="459"/>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480" w:type="dxa"/>
            <w:vAlign w:val="bottom"/>
          </w:tcPr>
          <w:p>
            <w:pPr>
              <w:spacing w:after="0"/>
              <w:rPr>
                <w:sz w:val="24"/>
                <w:szCs w:val="24"/>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480" w:type="dxa"/>
            <w:vAlign w:val="bottom"/>
          </w:tcPr>
          <w:p>
            <w:pPr>
              <w:spacing w:after="0"/>
              <w:rPr>
                <w:sz w:val="23"/>
                <w:szCs w:val="23"/>
                <w:color w:val="auto"/>
              </w:rPr>
            </w:pPr>
          </w:p>
        </w:tc>
        <w:tc>
          <w:tcPr>
            <w:tcW w:w="3160" w:type="dxa"/>
            <w:vAlign w:val="bottom"/>
          </w:tcPr>
          <w:p>
            <w:pPr>
              <w:ind w:left="22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Number Two to Business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8" w:name="page39"/>
    <w:bookmarkEnd w:id="38"/>
    <w:p>
      <w:pPr>
        <w:ind w:left="5720"/>
        <w:spacing w:after="0"/>
        <w:rPr>
          <w:sz w:val="20"/>
          <w:szCs w:val="20"/>
          <w:color w:val="auto"/>
        </w:rPr>
      </w:pPr>
      <w:r>
        <w:rPr>
          <w:rFonts w:ascii="Arial" w:cs="Arial" w:eastAsia="Arial" w:hAnsi="Arial"/>
          <w:sz w:val="18"/>
          <w:szCs w:val="18"/>
          <w:b w:val="1"/>
          <w:bCs w:val="1"/>
          <w:color w:val="auto"/>
        </w:rPr>
        <w:t>ORION ASSET MANAGEMENT, LLC</w:t>
      </w:r>
      <w:r>
        <w:rPr>
          <w:rFonts w:ascii="Arial" w:cs="Arial" w:eastAsia="Arial" w:hAnsi="Arial"/>
          <w:sz w:val="18"/>
          <w:szCs w:val="18"/>
          <w:color w:val="auto"/>
        </w:rPr>
        <w:t>,</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Wisconsin limited liability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260" w:type="dxa"/>
            <w:vAlign w:val="bottom"/>
          </w:tcPr>
          <w:p>
            <w:pPr>
              <w:spacing w:after="0"/>
              <w:rPr>
                <w:sz w:val="24"/>
                <w:szCs w:val="24"/>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260" w:type="dxa"/>
            <w:vAlign w:val="bottom"/>
          </w:tcPr>
          <w:p>
            <w:pPr>
              <w:spacing w:after="0"/>
              <w:rPr>
                <w:sz w:val="23"/>
                <w:szCs w:val="23"/>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260" w:type="dxa"/>
            <w:vAlign w:val="bottom"/>
          </w:tcPr>
          <w:p>
            <w:pPr>
              <w:spacing w:after="0"/>
              <w:rPr>
                <w:sz w:val="24"/>
                <w:szCs w:val="24"/>
                <w:color w:val="auto"/>
              </w:rPr>
            </w:pPr>
          </w:p>
        </w:tc>
        <w:tc>
          <w:tcPr>
            <w:tcW w:w="8160" w:type="dxa"/>
            <w:vAlign w:val="bottom"/>
            <w:gridSpan w:val="2"/>
          </w:tcPr>
          <w:p>
            <w:pPr>
              <w:ind w:left="2460"/>
              <w:spacing w:after="0"/>
              <w:rPr>
                <w:sz w:val="20"/>
                <w:szCs w:val="20"/>
                <w:color w:val="auto"/>
              </w:rPr>
            </w:pPr>
            <w:r>
              <w:rPr>
                <w:rFonts w:ascii="Arial" w:cs="Arial" w:eastAsia="Arial" w:hAnsi="Arial"/>
                <w:sz w:val="18"/>
                <w:szCs w:val="18"/>
                <w:b w:val="1"/>
                <w:bCs w:val="1"/>
                <w:color w:val="auto"/>
              </w:rPr>
              <w:t>ORION OPERATIONS, LLC</w:t>
            </w:r>
            <w:r>
              <w:rPr>
                <w:rFonts w:ascii="Arial" w:cs="Arial" w:eastAsia="Arial" w:hAnsi="Arial"/>
                <w:sz w:val="18"/>
                <w:szCs w:val="18"/>
                <w:color w:val="auto"/>
              </w:rPr>
              <w:t>,</w:t>
            </w:r>
          </w:p>
        </w:tc>
      </w:tr>
      <w:tr>
        <w:trPr>
          <w:trHeight w:val="217"/>
        </w:trPr>
        <w:tc>
          <w:tcPr>
            <w:tcW w:w="3260" w:type="dxa"/>
            <w:vAlign w:val="bottom"/>
          </w:tcPr>
          <w:p>
            <w:pPr>
              <w:spacing w:after="0"/>
              <w:rPr>
                <w:sz w:val="18"/>
                <w:szCs w:val="18"/>
                <w:color w:val="auto"/>
              </w:rPr>
            </w:pPr>
          </w:p>
        </w:tc>
        <w:tc>
          <w:tcPr>
            <w:tcW w:w="8160" w:type="dxa"/>
            <w:vAlign w:val="bottom"/>
            <w:gridSpan w:val="2"/>
          </w:tcPr>
          <w:p>
            <w:pPr>
              <w:ind w:left="2460"/>
              <w:spacing w:after="0"/>
              <w:rPr>
                <w:sz w:val="20"/>
                <w:szCs w:val="20"/>
                <w:color w:val="auto"/>
              </w:rPr>
            </w:pPr>
            <w:r>
              <w:rPr>
                <w:rFonts w:ascii="Arial" w:cs="Arial" w:eastAsia="Arial" w:hAnsi="Arial"/>
                <w:sz w:val="18"/>
                <w:szCs w:val="18"/>
                <w:color w:val="auto"/>
              </w:rPr>
              <w:t>a Wisconsin limited liability company</w:t>
            </w:r>
          </w:p>
        </w:tc>
      </w:tr>
      <w:tr>
        <w:trPr>
          <w:trHeight w:val="459"/>
        </w:trPr>
        <w:tc>
          <w:tcPr>
            <w:tcW w:w="3260" w:type="dxa"/>
            <w:vAlign w:val="bottom"/>
          </w:tcPr>
          <w:p>
            <w:pPr>
              <w:spacing w:after="0"/>
              <w:rPr>
                <w:sz w:val="24"/>
                <w:szCs w:val="24"/>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277"/>
        </w:trPr>
        <w:tc>
          <w:tcPr>
            <w:tcW w:w="3260" w:type="dxa"/>
            <w:vAlign w:val="bottom"/>
          </w:tcPr>
          <w:p>
            <w:pPr>
              <w:spacing w:after="0"/>
              <w:rPr>
                <w:sz w:val="24"/>
                <w:szCs w:val="24"/>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William T. Hull</w:t>
            </w:r>
          </w:p>
        </w:tc>
      </w:tr>
      <w:tr>
        <w:trPr>
          <w:trHeight w:val="270"/>
        </w:trPr>
        <w:tc>
          <w:tcPr>
            <w:tcW w:w="3260" w:type="dxa"/>
            <w:vAlign w:val="bottom"/>
          </w:tcPr>
          <w:p>
            <w:pPr>
              <w:spacing w:after="0"/>
              <w:rPr>
                <w:sz w:val="23"/>
                <w:szCs w:val="23"/>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4"/>
        </w:trPr>
        <w:tc>
          <w:tcPr>
            <w:tcW w:w="3260" w:type="dxa"/>
            <w:vAlign w:val="bottom"/>
          </w:tcPr>
          <w:p>
            <w:pPr>
              <w:spacing w:after="0"/>
              <w:rPr>
                <w:sz w:val="20"/>
                <w:szCs w:val="20"/>
                <w:color w:val="auto"/>
              </w:rPr>
            </w:pPr>
            <w:r>
              <w:rPr>
                <w:rFonts w:ascii="Arial" w:cs="Arial" w:eastAsia="Arial" w:hAnsi="Arial"/>
                <w:sz w:val="18"/>
                <w:szCs w:val="18"/>
                <w:color w:val="auto"/>
              </w:rPr>
              <w:t>LENDER:</w:t>
            </w:r>
          </w:p>
        </w:tc>
        <w:tc>
          <w:tcPr>
            <w:tcW w:w="8160" w:type="dxa"/>
            <w:vAlign w:val="bottom"/>
            <w:gridSpan w:val="2"/>
          </w:tcPr>
          <w:p>
            <w:pPr>
              <w:ind w:left="2460"/>
              <w:spacing w:after="0"/>
              <w:rPr>
                <w:sz w:val="20"/>
                <w:szCs w:val="20"/>
                <w:color w:val="auto"/>
              </w:rPr>
            </w:pPr>
            <w:r>
              <w:rPr>
                <w:rFonts w:ascii="Arial" w:cs="Arial" w:eastAsia="Arial" w:hAnsi="Arial"/>
                <w:sz w:val="18"/>
                <w:szCs w:val="18"/>
                <w:b w:val="1"/>
                <w:bCs w:val="1"/>
                <w:color w:val="auto"/>
              </w:rPr>
              <w:t>WESTERN ALLIANCE BANK</w:t>
            </w:r>
            <w:r>
              <w:rPr>
                <w:rFonts w:ascii="Arial" w:cs="Arial" w:eastAsia="Arial" w:hAnsi="Arial"/>
                <w:sz w:val="18"/>
                <w:szCs w:val="18"/>
                <w:color w:val="auto"/>
              </w:rPr>
              <w:t>,</w:t>
            </w:r>
          </w:p>
        </w:tc>
      </w:tr>
      <w:tr>
        <w:trPr>
          <w:trHeight w:val="217"/>
        </w:trPr>
        <w:tc>
          <w:tcPr>
            <w:tcW w:w="3260" w:type="dxa"/>
            <w:vAlign w:val="bottom"/>
          </w:tcPr>
          <w:p>
            <w:pPr>
              <w:spacing w:after="0"/>
              <w:rPr>
                <w:sz w:val="18"/>
                <w:szCs w:val="18"/>
                <w:color w:val="auto"/>
              </w:rPr>
            </w:pPr>
          </w:p>
        </w:tc>
        <w:tc>
          <w:tcPr>
            <w:tcW w:w="8160" w:type="dxa"/>
            <w:vAlign w:val="bottom"/>
            <w:gridSpan w:val="2"/>
          </w:tcPr>
          <w:p>
            <w:pPr>
              <w:ind w:left="2460"/>
              <w:spacing w:after="0"/>
              <w:rPr>
                <w:sz w:val="20"/>
                <w:szCs w:val="20"/>
                <w:color w:val="auto"/>
              </w:rPr>
            </w:pPr>
            <w:r>
              <w:rPr>
                <w:rFonts w:ascii="Arial" w:cs="Arial" w:eastAsia="Arial" w:hAnsi="Arial"/>
                <w:sz w:val="18"/>
                <w:szCs w:val="18"/>
                <w:color w:val="auto"/>
              </w:rPr>
              <w:t>an Arizona corporation</w:t>
            </w:r>
          </w:p>
        </w:tc>
      </w:tr>
      <w:tr>
        <w:trPr>
          <w:trHeight w:val="459"/>
        </w:trPr>
        <w:tc>
          <w:tcPr>
            <w:tcW w:w="3260" w:type="dxa"/>
            <w:vAlign w:val="bottom"/>
          </w:tcPr>
          <w:p>
            <w:pPr>
              <w:spacing w:after="0"/>
              <w:rPr>
                <w:sz w:val="24"/>
                <w:szCs w:val="24"/>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Chang</w:t>
            </w:r>
          </w:p>
        </w:tc>
      </w:tr>
      <w:tr>
        <w:trPr>
          <w:trHeight w:val="277"/>
        </w:trPr>
        <w:tc>
          <w:tcPr>
            <w:tcW w:w="3260" w:type="dxa"/>
            <w:vAlign w:val="bottom"/>
          </w:tcPr>
          <w:p>
            <w:pPr>
              <w:spacing w:after="0"/>
              <w:rPr>
                <w:sz w:val="24"/>
                <w:szCs w:val="24"/>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Lisa Chang</w:t>
            </w:r>
          </w:p>
        </w:tc>
      </w:tr>
      <w:tr>
        <w:trPr>
          <w:trHeight w:val="270"/>
        </w:trPr>
        <w:tc>
          <w:tcPr>
            <w:tcW w:w="3260" w:type="dxa"/>
            <w:vAlign w:val="bottom"/>
          </w:tcPr>
          <w:p>
            <w:pPr>
              <w:spacing w:after="0"/>
              <w:rPr>
                <w:sz w:val="23"/>
                <w:szCs w:val="23"/>
                <w:color w:val="auto"/>
              </w:rPr>
            </w:pPr>
          </w:p>
        </w:tc>
        <w:tc>
          <w:tcPr>
            <w:tcW w:w="3380" w:type="dxa"/>
            <w:vAlign w:val="bottom"/>
          </w:tcPr>
          <w:p>
            <w:pPr>
              <w:ind w:left="24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Number Two to Business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Exhibit A</w:t>
      </w:r>
    </w:p>
    <w:p>
      <w:pPr>
        <w:jc w:val="center"/>
        <w:spacing w:after="0" w:line="234" w:lineRule="auto"/>
        <w:rPr>
          <w:sz w:val="20"/>
          <w:szCs w:val="20"/>
          <w:color w:val="auto"/>
        </w:rPr>
      </w:pPr>
      <w:r>
        <w:rPr>
          <w:rFonts w:ascii="Arial" w:cs="Arial" w:eastAsia="Arial" w:hAnsi="Arial"/>
          <w:sz w:val="18"/>
          <w:szCs w:val="18"/>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Number Two to Business Financing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Replacement Form of Compliance Certificate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1420"/>
          </w:cols>
          <w:pgMar w:left="240" w:top="350"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WESTERN ALLIANCE BANK, an Arizona corporation (the “Lender”)</w:t>
      </w:r>
    </w:p>
    <w:p>
      <w:pPr>
        <w:spacing w:after="0" w:line="200" w:lineRule="exact"/>
        <w:rPr>
          <w:sz w:val="20"/>
          <w:szCs w:val="20"/>
          <w:color w:val="auto"/>
        </w:rPr>
      </w:pPr>
    </w:p>
    <w:p>
      <w:pPr>
        <w:sectPr>
          <w:pgSz w:w="11900" w:h="16838" w:orient="portrait"/>
          <w:cols w:equalWidth="0" w:num="2">
            <w:col w:w="300" w:space="280"/>
            <w:col w:w="10840"/>
          </w:cols>
          <w:pgMar w:left="240" w:top="350"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ORION ENERGY SYSTEMS, INC., a Wisconsin corporation (the “Borrower”)</w:t>
      </w:r>
    </w:p>
    <w:p>
      <w:pPr>
        <w:spacing w:after="0" w:line="211" w:lineRule="exact"/>
        <w:rPr>
          <w:sz w:val="20"/>
          <w:szCs w:val="20"/>
          <w:color w:val="auto"/>
        </w:rPr>
      </w:pPr>
    </w:p>
    <w:p>
      <w:pPr>
        <w:sectPr>
          <w:pgSz w:w="11900" w:h="16838" w:orient="portrait"/>
          <w:cols w:equalWidth="0" w:num="2">
            <w:col w:w="580" w:space="420"/>
            <w:col w:w="10420"/>
          </w:cols>
          <w:pgMar w:left="240" w:top="350" w:right="239"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authorized officer of Borrower hereby certifies in his capacity as an officer of Borrower and not in his individual</w:t>
      </w:r>
    </w:p>
    <w:p>
      <w:pPr>
        <w:sectPr>
          <w:pgSz w:w="11900" w:h="16838" w:orient="portrait"/>
          <w:cols w:equalWidth="0" w:num="1">
            <w:col w:w="11420"/>
          </w:cols>
          <w:pgMar w:left="240" w:top="350" w:right="239" w:bottom="1440" w:gutter="0" w:footer="0" w:header="0"/>
          <w:type w:val="continuous"/>
        </w:sectPr>
      </w:pP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capacity that in accordance with the terms and conditions of the Business Financing Agreement between Borrower and Lender (the “Agreement”), (i) Borrower is in compliance in all material respects for the period ending _______________ with all required covenants except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noted below and (ii) all representations and warranties of Borrower stated in the Agreement are true and correct in all material respects (except to the extent such representation is qualified by "materiality", "material adverse change" or words of similar import, in which case they shall be true and correct in all respects) as of the date hereof, except to the extent such representation or warranty relates to a specific earlier date in which case such representation and warranties shall be true and correct in all material respects (except to the extent such representation is qualified by "materiality", "material adverse change" or words of similar import, in which case they shall be true and correct in all respects) as of such stated earlier date. Attached herewith are the required documents supporting the above certification. The Officer further certifies that these are prepared in accordance with Generally Accepted Accounting Principles (GAAP) (except in the case of interim financial statements, the absence of footnote disclosures and year-end audit adjustments) and are consistently applied from one period to the next except as explained in an accompanying letter or footnotes.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140" w:type="dxa"/>
            <w:vAlign w:val="bottom"/>
            <w:tcBorders>
              <w:top w:val="single" w:sz="8" w:color="auto"/>
              <w:left w:val="single" w:sz="8" w:color="auto"/>
              <w:right w:val="single" w:sz="8" w:color="auto"/>
            </w:tcBorders>
            <w:gridSpan w:val="2"/>
          </w:tcPr>
          <w:p>
            <w:pPr>
              <w:ind w:left="20"/>
              <w:spacing w:after="0" w:line="176" w:lineRule="exact"/>
              <w:rPr>
                <w:sz w:val="20"/>
                <w:szCs w:val="20"/>
                <w:color w:val="auto"/>
              </w:rPr>
            </w:pPr>
            <w:r>
              <w:rPr>
                <w:rFonts w:ascii="Arial" w:cs="Arial" w:eastAsia="Arial" w:hAnsi="Arial"/>
                <w:sz w:val="16"/>
                <w:szCs w:val="16"/>
                <w:b w:val="1"/>
                <w:bCs w:val="1"/>
                <w:color w:val="auto"/>
              </w:rPr>
              <w:t>Reporting Covenant</w:t>
            </w:r>
          </w:p>
        </w:tc>
        <w:tc>
          <w:tcPr>
            <w:tcW w:w="382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Required</w:t>
            </w:r>
          </w:p>
        </w:tc>
        <w:tc>
          <w:tcPr>
            <w:tcW w:w="11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Complies</w:t>
            </w:r>
          </w:p>
        </w:tc>
        <w:tc>
          <w:tcPr>
            <w:tcW w:w="1300" w:type="dxa"/>
            <w:vAlign w:val="bottom"/>
            <w:tcBorders>
              <w:top w:val="single" w:sz="8" w:color="auto"/>
              <w:right w:val="single" w:sz="8" w:color="auto"/>
            </w:tcBorders>
          </w:tcPr>
          <w:p>
            <w:pPr>
              <w:spacing w:after="0"/>
              <w:rPr>
                <w:sz w:val="15"/>
                <w:szCs w:val="15"/>
                <w:color w:val="auto"/>
              </w:rPr>
            </w:pPr>
          </w:p>
        </w:tc>
      </w:tr>
      <w:tr>
        <w:trPr>
          <w:trHeight w:val="20"/>
        </w:trPr>
        <w:tc>
          <w:tcPr>
            <w:tcW w:w="15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5140" w:type="dxa"/>
            <w:vAlign w:val="bottom"/>
            <w:tcBorders>
              <w:left w:val="single" w:sz="8" w:color="auto"/>
              <w:bottom w:val="single" w:sz="8" w:color="auto"/>
              <w:right w:val="single" w:sz="8" w:color="auto"/>
            </w:tcBorders>
            <w:gridSpan w:val="2"/>
          </w:tcPr>
          <w:p>
            <w:pPr>
              <w:ind w:left="20"/>
              <w:spacing w:after="0" w:line="170" w:lineRule="exact"/>
              <w:rPr>
                <w:sz w:val="20"/>
                <w:szCs w:val="20"/>
                <w:color w:val="auto"/>
              </w:rPr>
            </w:pPr>
            <w:r>
              <w:rPr>
                <w:rFonts w:ascii="Arial" w:cs="Arial" w:eastAsia="Arial" w:hAnsi="Arial"/>
                <w:sz w:val="16"/>
                <w:szCs w:val="16"/>
                <w:color w:val="auto"/>
              </w:rPr>
              <w:t>Company-prepared consolidated monthly financial statements</w:t>
            </w:r>
          </w:p>
        </w:tc>
        <w:tc>
          <w:tcPr>
            <w:tcW w:w="3820" w:type="dxa"/>
            <w:vAlign w:val="bottom"/>
            <w:tcBorders>
              <w:bottom w:val="single" w:sz="8" w:color="auto"/>
              <w:right w:val="single" w:sz="8" w:color="auto"/>
            </w:tcBorders>
            <w:gridSpan w:val="2"/>
          </w:tcPr>
          <w:p>
            <w:pPr>
              <w:spacing w:after="0" w:line="170" w:lineRule="exact"/>
              <w:rPr>
                <w:sz w:val="20"/>
                <w:szCs w:val="20"/>
                <w:color w:val="auto"/>
              </w:rPr>
            </w:pPr>
            <w:r>
              <w:rPr>
                <w:rFonts w:ascii="Arial" w:cs="Arial" w:eastAsia="Arial" w:hAnsi="Arial"/>
                <w:sz w:val="16"/>
                <w:szCs w:val="16"/>
                <w:color w:val="auto"/>
              </w:rPr>
              <w:t>Within 30 days after the end of each month</w:t>
            </w:r>
          </w:p>
        </w:tc>
        <w:tc>
          <w:tcPr>
            <w:tcW w:w="1160" w:type="dxa"/>
            <w:vAlign w:val="bottom"/>
            <w:tcBorders>
              <w:bottom w:val="single" w:sz="8" w:color="auto"/>
              <w:right w:val="single" w:sz="8" w:color="auto"/>
            </w:tcBorders>
            <w:gridSpan w:val="2"/>
          </w:tcPr>
          <w:p>
            <w:pPr>
              <w:spacing w:after="0" w:line="170" w:lineRule="exact"/>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right w:val="single" w:sz="8" w:color="auto"/>
            </w:tcBorders>
          </w:tcPr>
          <w:p>
            <w:pPr>
              <w:spacing w:after="0" w:line="170" w:lineRule="exact"/>
              <w:rPr>
                <w:sz w:val="20"/>
                <w:szCs w:val="20"/>
                <w:color w:val="auto"/>
              </w:rPr>
            </w:pPr>
            <w:r>
              <w:rPr>
                <w:rFonts w:ascii="Arial" w:cs="Arial" w:eastAsia="Arial" w:hAnsi="Arial"/>
                <w:sz w:val="16"/>
                <w:szCs w:val="16"/>
                <w:color w:val="auto"/>
              </w:rPr>
              <w:t>No</w:t>
            </w: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83"/>
        </w:trPr>
        <w:tc>
          <w:tcPr>
            <w:tcW w:w="5140" w:type="dxa"/>
            <w:vAlign w:val="bottom"/>
            <w:tcBorders>
              <w:left w:val="single" w:sz="8" w:color="auto"/>
              <w:bottom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Compliance Certificate</w:t>
            </w:r>
          </w:p>
        </w:tc>
        <w:tc>
          <w:tcPr>
            <w:tcW w:w="382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Within 30 days after the end of each month</w:t>
            </w:r>
          </w:p>
        </w:tc>
        <w:tc>
          <w:tcPr>
            <w:tcW w:w="116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No</w:t>
            </w: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84"/>
        </w:trPr>
        <w:tc>
          <w:tcPr>
            <w:tcW w:w="51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Borrowing Base Certificate, A/R &amp; A/P agings, inventory schedule,</w:t>
            </w:r>
          </w:p>
        </w:tc>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Within 10 days after the end of each calendar month</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Yes</w:t>
            </w:r>
          </w:p>
        </w:tc>
        <w:tc>
          <w:tcPr>
            <w:tcW w:w="1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w:t>
            </w:r>
          </w:p>
        </w:tc>
      </w:tr>
      <w:tr>
        <w:trPr>
          <w:trHeight w:val="189"/>
        </w:trPr>
        <w:tc>
          <w:tcPr>
            <w:tcW w:w="51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deferred revenue schedule, sales journal, credit memo report, and</w:t>
            </w:r>
          </w:p>
        </w:tc>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and with each Advance Request</w:t>
            </w:r>
          </w:p>
        </w:tc>
        <w:tc>
          <w:tcPr>
            <w:tcW w:w="7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187"/>
        </w:trPr>
        <w:tc>
          <w:tcPr>
            <w:tcW w:w="5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accrued rebates schedule</w:t>
            </w:r>
          </w:p>
        </w:tc>
        <w:tc>
          <w:tcPr>
            <w:tcW w:w="700" w:type="dxa"/>
            <w:vAlign w:val="bottom"/>
            <w:tcBorders>
              <w:bottom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90"/>
        </w:trPr>
        <w:tc>
          <w:tcPr>
            <w:tcW w:w="51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CPA-audited consolidated annual financial statements</w:t>
            </w:r>
          </w:p>
        </w:tc>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Within 5 days after SEC filing</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Yes</w:t>
            </w:r>
          </w:p>
        </w:tc>
        <w:tc>
          <w:tcPr>
            <w:tcW w:w="1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w:t>
            </w:r>
          </w:p>
        </w:tc>
      </w:tr>
      <w:tr>
        <w:trPr>
          <w:trHeight w:val="33"/>
        </w:trPr>
        <w:tc>
          <w:tcPr>
            <w:tcW w:w="15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84"/>
        </w:trPr>
        <w:tc>
          <w:tcPr>
            <w:tcW w:w="51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Annual financial projections acceptable to Lender, presented in a</w:t>
            </w:r>
          </w:p>
        </w:tc>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Within 45 days after the beginning of each fiscal</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Yes</w:t>
            </w:r>
          </w:p>
        </w:tc>
        <w:tc>
          <w:tcPr>
            <w:tcW w:w="1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w:t>
            </w:r>
          </w:p>
        </w:tc>
      </w:tr>
      <w:tr>
        <w:trPr>
          <w:trHeight w:val="187"/>
        </w:trPr>
        <w:tc>
          <w:tcPr>
            <w:tcW w:w="5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month-by-month format</w:t>
            </w:r>
          </w:p>
        </w:tc>
        <w:tc>
          <w:tcPr>
            <w:tcW w:w="3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year</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83"/>
        </w:trPr>
        <w:tc>
          <w:tcPr>
            <w:tcW w:w="5140" w:type="dxa"/>
            <w:vAlign w:val="bottom"/>
            <w:tcBorders>
              <w:left w:val="single" w:sz="8" w:color="auto"/>
              <w:bottom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CPA-prepared business tax returns</w:t>
            </w:r>
          </w:p>
        </w:tc>
        <w:tc>
          <w:tcPr>
            <w:tcW w:w="382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Within 15 days after filing</w:t>
            </w:r>
          </w:p>
        </w:tc>
        <w:tc>
          <w:tcPr>
            <w:tcW w:w="116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No</w:t>
            </w: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83"/>
        </w:trPr>
        <w:tc>
          <w:tcPr>
            <w:tcW w:w="5140" w:type="dxa"/>
            <w:vAlign w:val="bottom"/>
            <w:tcBorders>
              <w:left w:val="single" w:sz="8" w:color="auto"/>
              <w:bottom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10K, 10Q and 8K reports (where applicable)</w:t>
            </w:r>
          </w:p>
        </w:tc>
        <w:tc>
          <w:tcPr>
            <w:tcW w:w="382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Concurrent with SEC filing</w:t>
            </w:r>
          </w:p>
        </w:tc>
        <w:tc>
          <w:tcPr>
            <w:tcW w:w="116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No</w:t>
            </w: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83"/>
        </w:trPr>
        <w:tc>
          <w:tcPr>
            <w:tcW w:w="5140" w:type="dxa"/>
            <w:vAlign w:val="bottom"/>
            <w:tcBorders>
              <w:left w:val="single" w:sz="8" w:color="auto"/>
              <w:bottom w:val="single" w:sz="8" w:color="auto"/>
              <w:right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Management Letters to or from Borrower’s auditors</w:t>
            </w:r>
          </w:p>
        </w:tc>
        <w:tc>
          <w:tcPr>
            <w:tcW w:w="382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Promptly upon sending or receipt</w:t>
            </w:r>
          </w:p>
        </w:tc>
        <w:tc>
          <w:tcPr>
            <w:tcW w:w="1160" w:type="dxa"/>
            <w:vAlign w:val="bottom"/>
            <w:tcBorders>
              <w:bottom w:val="single" w:sz="8" w:color="auto"/>
              <w:right w:val="single" w:sz="8" w:color="auto"/>
            </w:tcBorders>
            <w:gridSpan w:val="2"/>
          </w:tcPr>
          <w:p>
            <w:pPr>
              <w:spacing w:after="0" w:line="183" w:lineRule="exact"/>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No</w:t>
            </w: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Number Two to Business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6"/>
        </w:trPr>
        <w:tc>
          <w:tcPr>
            <w:tcW w:w="5120" w:type="dxa"/>
            <w:vAlign w:val="bottom"/>
            <w:tcBorders>
              <w:top w:val="single" w:sz="8" w:color="auto"/>
              <w:right w:val="single" w:sz="8" w:color="auto"/>
            </w:tcBorders>
            <w:gridSpan w:val="3"/>
          </w:tcPr>
          <w:p>
            <w:pPr>
              <w:ind w:left="20"/>
              <w:spacing w:after="0" w:line="176" w:lineRule="exact"/>
              <w:rPr>
                <w:sz w:val="20"/>
                <w:szCs w:val="20"/>
                <w:color w:val="auto"/>
              </w:rPr>
            </w:pPr>
            <w:r>
              <w:rPr>
                <w:rFonts w:ascii="Arial" w:cs="Arial" w:eastAsia="Arial" w:hAnsi="Arial"/>
                <w:sz w:val="16"/>
                <w:szCs w:val="16"/>
                <w:b w:val="1"/>
                <w:bCs w:val="1"/>
                <w:color w:val="auto"/>
              </w:rPr>
              <w:t>Financial Covenant</w:t>
            </w:r>
          </w:p>
        </w:tc>
        <w:tc>
          <w:tcPr>
            <w:tcW w:w="222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Required</w:t>
            </w:r>
          </w:p>
        </w:tc>
        <w:tc>
          <w:tcPr>
            <w:tcW w:w="162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Actual</w:t>
            </w:r>
          </w:p>
        </w:tc>
        <w:tc>
          <w:tcPr>
            <w:tcW w:w="11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rPr>
              <w:t>Complies</w:t>
            </w:r>
          </w:p>
        </w:tc>
        <w:tc>
          <w:tcPr>
            <w:tcW w:w="1300" w:type="dxa"/>
            <w:vAlign w:val="bottom"/>
            <w:tcBorders>
              <w:top w:val="single" w:sz="8" w:color="auto"/>
            </w:tcBorders>
          </w:tcPr>
          <w:p>
            <w:pPr>
              <w:spacing w:after="0"/>
              <w:rPr>
                <w:sz w:val="15"/>
                <w:szCs w:val="15"/>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51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RML</w:t>
            </w: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9 months</w:t>
            </w:r>
          </w:p>
        </w:tc>
        <w:tc>
          <w:tcPr>
            <w:tcW w:w="1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___ months</w:t>
            </w:r>
          </w:p>
        </w:tc>
        <w:tc>
          <w:tcPr>
            <w:tcW w:w="1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w:t>
            </w:r>
          </w:p>
        </w:tc>
      </w:tr>
      <w:tr>
        <w:trPr>
          <w:trHeight w:val="243"/>
        </w:trPr>
        <w:tc>
          <w:tcPr>
            <w:tcW w:w="7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156"/>
        </w:trPr>
        <w:tc>
          <w:tcPr>
            <w:tcW w:w="5120" w:type="dxa"/>
            <w:vAlign w:val="bottom"/>
            <w:tcBorders>
              <w:right w:val="single" w:sz="8" w:color="auto"/>
            </w:tcBorders>
            <w:gridSpan w:val="3"/>
          </w:tcPr>
          <w:p>
            <w:pPr>
              <w:ind w:left="20"/>
              <w:spacing w:after="0" w:line="155" w:lineRule="exact"/>
              <w:rPr>
                <w:sz w:val="20"/>
                <w:szCs w:val="20"/>
                <w:color w:val="auto"/>
              </w:rPr>
            </w:pPr>
            <w:r>
              <w:rPr>
                <w:rFonts w:ascii="Arial" w:cs="Arial" w:eastAsia="Arial" w:hAnsi="Arial"/>
                <w:sz w:val="16"/>
                <w:szCs w:val="16"/>
                <w:b w:val="1"/>
                <w:bCs w:val="1"/>
                <w:color w:val="auto"/>
              </w:rPr>
              <w:t>Deposits</w:t>
            </w:r>
          </w:p>
        </w:tc>
        <w:tc>
          <w:tcPr>
            <w:tcW w:w="70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r>
      <w:tr>
        <w:trPr>
          <w:trHeight w:val="61"/>
        </w:trPr>
        <w:tc>
          <w:tcPr>
            <w:tcW w:w="700" w:type="dxa"/>
            <w:vAlign w:val="bottom"/>
            <w:tcBorders>
              <w:top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90"/>
        </w:trPr>
        <w:tc>
          <w:tcPr>
            <w:tcW w:w="51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Deposits held at Bridge Bank: $________________________</w:t>
            </w:r>
          </w:p>
        </w:tc>
        <w:tc>
          <w:tcPr>
            <w:tcW w:w="70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47"/>
        </w:trPr>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190"/>
        </w:trPr>
        <w:tc>
          <w:tcPr>
            <w:tcW w:w="51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Deposits held outside of Bridge Bank: $_________________</w:t>
            </w:r>
          </w:p>
        </w:tc>
        <w:tc>
          <w:tcPr>
            <w:tcW w:w="70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47"/>
        </w:trPr>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7"/>
        </w:trPr>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83"/>
        </w:trPr>
        <w:tc>
          <w:tcPr>
            <w:tcW w:w="5120" w:type="dxa"/>
            <w:vAlign w:val="bottom"/>
            <w:tcBorders>
              <w:bottom w:val="single" w:sz="8" w:color="auto"/>
            </w:tcBorders>
            <w:gridSpan w:val="3"/>
          </w:tcPr>
          <w:p>
            <w:pPr>
              <w:ind w:left="20"/>
              <w:spacing w:after="0" w:line="183" w:lineRule="exact"/>
              <w:rPr>
                <w:sz w:val="20"/>
                <w:szCs w:val="20"/>
                <w:color w:val="auto"/>
              </w:rPr>
            </w:pPr>
            <w:r>
              <w:rPr>
                <w:rFonts w:ascii="Arial" w:cs="Arial" w:eastAsia="Arial" w:hAnsi="Arial"/>
                <w:sz w:val="16"/>
                <w:szCs w:val="16"/>
                <w:color w:val="auto"/>
              </w:rPr>
              <w:t>Other tracking:</w:t>
            </w:r>
          </w:p>
        </w:tc>
        <w:tc>
          <w:tcPr>
            <w:tcW w:w="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90"/>
        </w:trPr>
        <w:tc>
          <w:tcPr>
            <w:tcW w:w="51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Quick Ratio (for Applicable Margin)</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w:t>
            </w:r>
          </w:p>
        </w:tc>
        <w:tc>
          <w:tcPr>
            <w:tcW w:w="1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_____:1.00</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w:t>
            </w:r>
          </w:p>
        </w:tc>
        <w:tc>
          <w:tcPr>
            <w:tcW w:w="1300" w:type="dxa"/>
            <w:vAlign w:val="bottom"/>
          </w:tcPr>
          <w:p>
            <w:pPr>
              <w:spacing w:after="0"/>
              <w:rPr>
                <w:sz w:val="16"/>
                <w:szCs w:val="16"/>
                <w:color w:val="auto"/>
              </w:rPr>
            </w:pPr>
          </w:p>
        </w:tc>
      </w:tr>
      <w:tr>
        <w:trPr>
          <w:trHeight w:val="47"/>
        </w:trPr>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184"/>
        </w:trPr>
        <w:tc>
          <w:tcPr>
            <w:tcW w:w="512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Cash Flow</w:t>
            </w:r>
          </w:p>
        </w:tc>
        <w:tc>
          <w:tcPr>
            <w:tcW w:w="70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$________ on a</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w:t>
            </w:r>
          </w:p>
        </w:tc>
        <w:tc>
          <w:tcPr>
            <w:tcW w:w="1300" w:type="dxa"/>
            <w:vAlign w:val="bottom"/>
          </w:tcPr>
          <w:p>
            <w:pPr>
              <w:spacing w:after="0"/>
              <w:rPr>
                <w:sz w:val="16"/>
                <w:szCs w:val="16"/>
                <w:color w:val="auto"/>
              </w:rPr>
            </w:pPr>
          </w:p>
        </w:tc>
      </w:tr>
      <w:tr>
        <w:trPr>
          <w:trHeight w:val="195"/>
        </w:trPr>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trailing 3-month basis</w:t>
            </w:r>
          </w:p>
        </w:tc>
        <w:tc>
          <w:tcPr>
            <w:tcW w:w="7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427"/>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$________ on a</w:t>
            </w:r>
          </w:p>
        </w:tc>
        <w:tc>
          <w:tcPr>
            <w:tcW w:w="7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7"/>
        </w:trPr>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single-month basis</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bl>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6766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6766560"/>
                    </a:xfrm>
                    <a:prstGeom prst="rect">
                      <a:avLst/>
                    </a:prstGeom>
                    <a:noFill/>
                  </pic:spPr>
                </pic:pic>
              </a:graphicData>
            </a:graphic>
          </wp:anchor>
        </w:drawing>
        <w:t>Borrower hereby certifies to Lender that (check one):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_______ there is no</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_______ there is a</w:t>
      </w:r>
    </w:p>
    <w:p>
      <w:pPr>
        <w:spacing w:after="0" w:line="5"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16"/>
          <w:szCs w:val="16"/>
          <w:b w:val="1"/>
          <w:bCs w:val="1"/>
          <w:color w:val="auto"/>
        </w:rPr>
        <w:t>default under one or more of Borrower’s premises leases. Please indicate below the leased location and nature of any default(s) under the lease for that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20" w:type="dxa"/>
            <w:vAlign w:val="bottom"/>
            <w:tcBorders>
              <w:top w:val="single" w:sz="8" w:color="auto"/>
              <w:bottom w:val="single" w:sz="8" w:color="auto"/>
              <w:right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r>
      <w:tr>
        <w:trPr>
          <w:trHeight w:val="183"/>
        </w:trPr>
        <w:tc>
          <w:tcPr>
            <w:tcW w:w="5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 xml:space="preserve">Comments Regarding Exceptions: </w:t>
            </w:r>
            <w:r>
              <w:rPr>
                <w:rFonts w:ascii="Arial" w:cs="Arial" w:eastAsia="Arial" w:hAnsi="Arial"/>
                <w:sz w:val="16"/>
                <w:szCs w:val="16"/>
                <w:color w:val="auto"/>
              </w:rPr>
              <w:t>See Attached.</w:t>
            </w:r>
          </w:p>
        </w:tc>
        <w:tc>
          <w:tcPr>
            <w:tcW w:w="18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BANK USE ONLY</w:t>
            </w:r>
          </w:p>
        </w:tc>
        <w:tc>
          <w:tcPr>
            <w:tcW w:w="20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7"/>
        </w:trPr>
        <w:tc>
          <w:tcPr>
            <w:tcW w:w="51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90"/>
        </w:trPr>
        <w:tc>
          <w:tcPr>
            <w:tcW w:w="5120" w:type="dxa"/>
            <w:vAlign w:val="bottom"/>
            <w:tcBorders>
              <w:right w:val="single" w:sz="8" w:color="auto"/>
            </w:tcBorders>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Received by:</w:t>
            </w:r>
          </w:p>
        </w:tc>
        <w:tc>
          <w:tcPr>
            <w:tcW w:w="2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54"/>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189"/>
        </w:trPr>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Sincerely,</w:t>
            </w:r>
          </w:p>
        </w:tc>
        <w:tc>
          <w:tcPr>
            <w:tcW w:w="18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color w:val="auto"/>
              </w:rPr>
              <w:t>AUTHORIZED SIGNER</w:t>
            </w:r>
          </w:p>
        </w:tc>
        <w:tc>
          <w:tcPr>
            <w:tcW w:w="1320" w:type="dxa"/>
            <w:vAlign w:val="bottom"/>
            <w:tcBorders>
              <w:bottom w:val="single" w:sz="8" w:color="auto"/>
              <w:right w:val="single" w:sz="8" w:color="auto"/>
            </w:tcBorders>
          </w:tcPr>
          <w:p>
            <w:pPr>
              <w:spacing w:after="0"/>
              <w:rPr>
                <w:sz w:val="16"/>
                <w:szCs w:val="16"/>
                <w:color w:val="auto"/>
              </w:rPr>
            </w:pPr>
          </w:p>
        </w:tc>
      </w:tr>
      <w:tr>
        <w:trPr>
          <w:trHeight w:val="237"/>
        </w:trPr>
        <w:tc>
          <w:tcPr>
            <w:tcW w:w="51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90"/>
        </w:trPr>
        <w:tc>
          <w:tcPr>
            <w:tcW w:w="5120" w:type="dxa"/>
            <w:vAlign w:val="bottom"/>
            <w:tcBorders>
              <w:right w:val="single" w:sz="8" w:color="auto"/>
            </w:tcBorders>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Date:</w:t>
            </w:r>
          </w:p>
        </w:tc>
        <w:tc>
          <w:tcPr>
            <w:tcW w:w="2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54"/>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243"/>
        </w:trPr>
        <w:tc>
          <w:tcPr>
            <w:tcW w:w="512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r>
      <w:tr>
        <w:trPr>
          <w:trHeight w:val="190"/>
        </w:trPr>
        <w:tc>
          <w:tcPr>
            <w:tcW w:w="5120" w:type="dxa"/>
            <w:vAlign w:val="bottom"/>
            <w:tcBorders>
              <w:right w:val="single" w:sz="8" w:color="auto"/>
            </w:tcBorders>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Verified:</w:t>
            </w:r>
          </w:p>
        </w:tc>
        <w:tc>
          <w:tcPr>
            <w:tcW w:w="2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54"/>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189"/>
        </w:trPr>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William T. Hull</w:t>
            </w:r>
          </w:p>
        </w:tc>
        <w:tc>
          <w:tcPr>
            <w:tcW w:w="18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color w:val="auto"/>
              </w:rPr>
              <w:t>AUTHORIZED SIGNER</w:t>
            </w:r>
          </w:p>
        </w:tc>
        <w:tc>
          <w:tcPr>
            <w:tcW w:w="1320" w:type="dxa"/>
            <w:vAlign w:val="bottom"/>
            <w:tcBorders>
              <w:bottom w:val="single" w:sz="8" w:color="auto"/>
              <w:right w:val="single" w:sz="8" w:color="auto"/>
            </w:tcBorders>
          </w:tcPr>
          <w:p>
            <w:pPr>
              <w:spacing w:after="0"/>
              <w:rPr>
                <w:sz w:val="16"/>
                <w:szCs w:val="16"/>
                <w:color w:val="auto"/>
              </w:rPr>
            </w:pPr>
          </w:p>
        </w:tc>
      </w:tr>
      <w:tr>
        <w:trPr>
          <w:trHeight w:val="237"/>
        </w:trPr>
        <w:tc>
          <w:tcPr>
            <w:tcW w:w="51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237"/>
        </w:trPr>
        <w:tc>
          <w:tcPr>
            <w:tcW w:w="51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90"/>
        </w:trPr>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Chief Financial Officer</w:t>
            </w:r>
          </w:p>
        </w:tc>
        <w:tc>
          <w:tcPr>
            <w:tcW w:w="1820" w:type="dxa"/>
            <w:vAlign w:val="bottom"/>
          </w:tcPr>
          <w:p>
            <w:pPr>
              <w:spacing w:after="0"/>
              <w:rPr>
                <w:sz w:val="20"/>
                <w:szCs w:val="20"/>
                <w:color w:val="auto"/>
              </w:rPr>
            </w:pPr>
            <w:r>
              <w:rPr>
                <w:rFonts w:ascii="Arial" w:cs="Arial" w:eastAsia="Arial" w:hAnsi="Arial"/>
                <w:sz w:val="16"/>
                <w:szCs w:val="16"/>
                <w:color w:val="auto"/>
              </w:rPr>
              <w:t>Date:</w:t>
            </w:r>
          </w:p>
        </w:tc>
        <w:tc>
          <w:tcPr>
            <w:tcW w:w="2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54"/>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197"/>
        </w:trPr>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TITLE</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r>
      <w:tr>
        <w:trPr>
          <w:trHeight w:val="47"/>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190"/>
        </w:trPr>
        <w:tc>
          <w:tcPr>
            <w:tcW w:w="5120" w:type="dxa"/>
            <w:vAlign w:val="bottom"/>
            <w:tcBorders>
              <w:right w:val="single" w:sz="8" w:color="auto"/>
            </w:tcBorders>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Compliance Status</w:t>
            </w:r>
          </w:p>
        </w:tc>
        <w:tc>
          <w:tcPr>
            <w:tcW w:w="20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Yes</w:t>
            </w:r>
          </w:p>
        </w:tc>
        <w:tc>
          <w:tcPr>
            <w:tcW w:w="1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w:t>
            </w:r>
          </w:p>
        </w:tc>
      </w:tr>
      <w:tr>
        <w:trPr>
          <w:trHeight w:val="47"/>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244"/>
        </w:trPr>
        <w:tc>
          <w:tcPr>
            <w:tcW w:w="512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r>
      <w:tr>
        <w:trPr>
          <w:trHeight w:val="197"/>
        </w:trPr>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DATE</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r>
      <w:tr>
        <w:trPr>
          <w:trHeight w:val="47"/>
        </w:trPr>
        <w:tc>
          <w:tcPr>
            <w:tcW w:w="51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Number Two to Business Financing Agreement</w:t>
      </w:r>
    </w:p>
    <w:p>
      <w:pPr>
        <w:sectPr>
          <w:pgSz w:w="11900" w:h="16838" w:orient="portrait"/>
          <w:cols w:equalWidth="0" w:num="1">
            <w:col w:w="11420"/>
          </w:cols>
          <w:pgMar w:left="240" w:top="55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40" w:hanging="472"/>
        <w:spacing w:after="0" w:line="264"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260" w:hanging="479"/>
        <w:spacing w:after="0" w:line="264"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60" w:right="580" w:hanging="479"/>
        <w:spacing w:after="0" w:line="264"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60" w:right="740" w:hanging="479"/>
        <w:spacing w:after="0" w:line="342"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80" w:right="360" w:hanging="472"/>
        <w:spacing w:after="0" w:line="308"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160" w:hanging="479"/>
        <w:spacing w:after="0" w:line="27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60" w:right="120" w:hanging="479"/>
        <w:spacing w:after="0" w:line="27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Michael W. Altschaefl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225"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40" w:hanging="472"/>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260" w:hanging="479"/>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60" w:right="580" w:hanging="479"/>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60" w:right="740" w:hanging="479"/>
        <w:spacing w:after="0" w:line="342"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80" w:right="360" w:hanging="472"/>
        <w:spacing w:after="0" w:line="308"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160" w:hanging="479"/>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60" w:right="120" w:hanging="479"/>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William T. Hull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2019,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Date: August 5, 2019</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Michael W. Altschaefl</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Orion Energy Systems, Inc., a Wisconsin corporation (the “Company”), on Form 10-Q for the period ended June 30, 2019,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57" w:lineRule="exact"/>
        <w:rPr>
          <w:sz w:val="20"/>
          <w:szCs w:val="20"/>
          <w:color w:val="auto"/>
        </w:rPr>
      </w:pPr>
    </w:p>
    <w:p>
      <w:pPr>
        <w:ind w:left="960" w:hanging="47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hanging="479"/>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Date: August 5, 2019</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William T. Hull</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upperLetter"/>
      <w:start w:val="1"/>
    </w:lvl>
  </w:abstractNum>
  <w:abstractNum w:abstractNumId="10">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1">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
    <w:nsid w:val="4E6AFB66"/>
    <w:multiLevelType w:val="hybridMultilevel"/>
    <w:lvl w:ilvl="0">
      <w:lvlJc w:val="left"/>
      <w:lvlText w:val="%1."/>
      <w:numFmt w:val="decimal"/>
      <w:start w:val="4"/>
    </w:lvl>
    <w:lvl w:ilvl="1">
      <w:lvlJc w:val="left"/>
      <w:lvlText w:val="(%2)"/>
      <w:numFmt w:val="lowerLetter"/>
      <w:start w:val="1"/>
    </w:lvl>
  </w:abstractNum>
  <w:abstractNum w:abstractNumId="13">
    <w:nsid w:val="25E45D32"/>
    <w:multiLevelType w:val="hybridMultilevel"/>
    <w:lvl w:ilvl="0">
      <w:lvlJc w:val="left"/>
      <w:lvlText w:val="%1."/>
      <w:numFmt w:val="decimal"/>
      <w:start w:val="9"/>
    </w:lvl>
    <w:lvl w:ilvl="1">
      <w:lvlJc w:val="left"/>
      <w:lvlText w:val="(%2)"/>
      <w:numFmt w:val="low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2"/>
    </w:lvl>
  </w:abstractNum>
  <w:abstractNum w:abstractNumId="15">
    <w:nsid w:val="431BD7B7"/>
    <w:multiLevelType w:val="hybridMultilevel"/>
    <w:lvl w:ilvl="0">
      <w:lvlJc w:val="left"/>
      <w:lvlText w:val="%1."/>
      <w:numFmt w:val="decimal"/>
      <w:start w:val="1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55" Type="http://schemas.openxmlformats.org/officeDocument/2006/relationships/hyperlink" Target="http://www.sec.gov/Archives/edgar/data/1409375/000156459019021688/oesx-ex102_5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2019-12-28T08:43:10Z</dcterms:created>
  <dcterms:modified xsi:type="dcterms:W3CDTF">2019-12-28T08:43:10Z</dcterms:modified>
</cp:coreProperties>
</file>