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50630.htm"/>
      <w:bookmarkStart w:id="1" w:name="ksoesx20250630"/>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001-33887</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Orion Energy Systems,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2371"/>
        <w:gridCol w:w="146"/>
        <w:gridCol w:w="17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 Manitowoc, 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(920) 892-9340</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There were 35,202,709</w:t>
      </w:r>
      <w:r>
        <w:rPr>
          <w:rFonts w:ascii="Times New Roman" w:hAnsi="Times New Roman"/>
          <w:color w:val="000000"/>
          <w:sz w:val="20"/>
        </w:rPr>
        <w:t xml:space="preserve"> </w:t>
      </w:r>
      <w:r>
        <w:rPr>
          <w:rFonts w:ascii="Times New Roman" w:hAnsi="Times New Roman"/>
          <w:color w:val="000000"/>
          <w:sz w:val="16"/>
        </w:rPr>
        <w:t>shares of the Registrant’s common stock outstanding on August 5, 2025.</w:t>
      </w:r>
    </w:p>
    <w:p>
      <w:pPr>
        <w:pStyle w:val="TextBody"/>
        <w:pBdr>
          <w:bottom w:val="double" w:sz="4" w:space="3"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ORION ENERGY SYSTEMS,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 ENDED JUNE 30, 2025</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6"/>
        <w:gridCol w:w="8656"/>
        <w:gridCol w:w="673"/>
      </w:tblGrid>
      <w:tr>
        <w:trPr/>
        <w:tc>
          <w:tcPr>
            <w:tcW w:w="876" w:type="dxa"/>
            <w:tcBorders/>
            <w:vAlign w:val="center"/>
          </w:tcPr>
          <w:p>
            <w:pPr>
              <w:pStyle w:val="TableContents"/>
              <w:bidi w:val="0"/>
              <w:spacing w:before="0" w:after="283"/>
              <w:jc w:val="left"/>
              <w:rPr>
                <w:sz w:val="4"/>
                <w:szCs w:val="4"/>
              </w:rPr>
            </w:pPr>
            <w:r>
              <w:rPr>
                <w:sz w:val="4"/>
                <w:szCs w:val="4"/>
              </w:rPr>
            </w:r>
          </w:p>
        </w:tc>
        <w:tc>
          <w:tcPr>
            <w:tcW w:w="865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r>
              <w:rPr/>
              <w:t> </w:t>
            </w:r>
          </w:p>
        </w:tc>
        <w:tc>
          <w:tcPr>
            <w:tcW w:w="673"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Page(s)</w:t>
            </w:r>
          </w:p>
        </w:tc>
      </w:tr>
      <w:tr>
        <w:trPr/>
        <w:tc>
          <w:tcPr>
            <w:tcW w:w="9532" w:type="dxa"/>
            <w:gridSpan w:val="2"/>
            <w:tcBorders/>
            <w:tcMar>
              <w:top w:w="0" w:type="dxa"/>
              <w:left w:w="0" w:type="dxa"/>
              <w:bottom w:w="0" w:type="dxa"/>
              <w:right w:w="0" w:type="dxa"/>
            </w:tcMar>
            <w:vAlign w:val="center"/>
          </w:tcPr>
          <w:p>
            <w:pPr>
              <w:pStyle w:val="TableContents"/>
              <w:bidi w:val="0"/>
              <w:spacing w:before="40" w:after="40"/>
              <w:jc w:val="left"/>
              <w:rPr/>
            </w:pPr>
            <w:hyperlink w:anchor="part_i_financial_information">
              <w:r>
                <w:rPr>
                  <w:rStyle w:val="InternetLink"/>
                  <w:rFonts w:ascii="Times New Roman" w:hAnsi="Times New Roman"/>
                  <w:color w:val="0000FF"/>
                  <w:sz w:val="20"/>
                  <w:u w:val="single"/>
                </w:rPr>
                <w:t>PART I FINANCIAL INFORMATION</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1__financial_statements">
              <w:r>
                <w:rPr>
                  <w:rStyle w:val="InternetLink"/>
                  <w:rFonts w:ascii="Times New Roman" w:hAnsi="Times New Roman"/>
                  <w:color w:val="0000FF"/>
                  <w:sz w:val="20"/>
                  <w:u w:val="single"/>
                </w:rPr>
                <w:t>Financial Statements (unaudited)</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condensed_consolidated_balance">
              <w:r>
                <w:rPr>
                  <w:rStyle w:val="InternetLink"/>
                  <w:rFonts w:ascii="Times New Roman" w:hAnsi="Times New Roman"/>
                  <w:color w:val="0000FF"/>
                  <w:sz w:val="20"/>
                  <w:u w:val="single"/>
                </w:rPr>
                <w:t>Condensed Consolidated Balance Sheets as of June 30, 2025 and March 31, 2025</w:t>
              </w:r>
            </w:hyperlink>
          </w:p>
        </w:tc>
        <w:tc>
          <w:tcPr>
            <w:tcW w:w="673"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20"/>
              </w:rPr>
            </w:pPr>
            <w:r>
              <w:rPr>
                <w:rFonts w:ascii="Times New Roman" w:hAnsi="Times New Roman"/>
                <w:color w:val="000000"/>
                <w:sz w:val="20"/>
              </w:rPr>
              <w:t>3</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unaudited_condensed_consolidated_stateme">
              <w:r>
                <w:rPr>
                  <w:rStyle w:val="InternetLink"/>
                  <w:rFonts w:ascii="Times New Roman" w:hAnsi="Times New Roman"/>
                  <w:color w:val="0000FF"/>
                  <w:sz w:val="20"/>
                  <w:u w:val="single"/>
                </w:rPr>
                <w:t>Condensed Consolidated Statements of Operations for the Three Months Ended June 30, 2025 and June 30, 2024</w:t>
              </w:r>
            </w:hyperlink>
          </w:p>
        </w:tc>
        <w:tc>
          <w:tcPr>
            <w:tcW w:w="673"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4</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statements_shareholders_equity">
              <w:r>
                <w:rPr>
                  <w:rStyle w:val="InternetLink"/>
                  <w:rFonts w:ascii="Times New Roman" w:hAnsi="Times New Roman"/>
                  <w:color w:val="0000FF"/>
                  <w:sz w:val="20"/>
                  <w:u w:val="single"/>
                </w:rPr>
                <w:t>Condensed Consolidated Statements of Shareholders’ Equity for the Three Months Ended June 30, 2025 and June 30, 2024</w:t>
              </w:r>
            </w:hyperlink>
          </w:p>
        </w:tc>
        <w:tc>
          <w:tcPr>
            <w:tcW w:w="673"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5</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consolidated_stateme_cash_flow">
              <w:r>
                <w:rPr>
                  <w:rStyle w:val="InternetLink"/>
                  <w:rFonts w:ascii="Times New Roman" w:hAnsi="Times New Roman"/>
                  <w:color w:val="0000FF"/>
                  <w:sz w:val="20"/>
                  <w:u w:val="single"/>
                </w:rPr>
                <w:t>Condensed Consolidated Statements of Cash Flows for the Three Months Ended June 30, 2025 and June 30, 2024</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notes_to_condensed_consolidate_financial">
              <w:r>
                <w:rPr>
                  <w:rStyle w:val="InternetLink"/>
                  <w:rFonts w:ascii="Times New Roman" w:hAnsi="Times New Roman"/>
                  <w:color w:val="0000FF"/>
                  <w:sz w:val="20"/>
                  <w:u w:val="single"/>
                </w:rPr>
                <w:t>Notes to the Condensed Consolidated Financial Statements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2__management_s_discussion_and_anal">
              <w:r>
                <w:rPr>
                  <w:rStyle w:val="InternetLink"/>
                  <w:rFonts w:ascii="Times New Roman" w:hAnsi="Times New Roman"/>
                  <w:color w:val="0000FF"/>
                  <w:sz w:val="20"/>
                  <w:u w:val="single"/>
                </w:rPr>
                <w:t>Management’s Discussion and Analysis of Financial Condition and Results of Operations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3.</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3__quantitative_and_qualitative_dis">
              <w:r>
                <w:rPr>
                  <w:rStyle w:val="InternetLink"/>
                  <w:rFonts w:ascii="Times New Roman" w:hAnsi="Times New Roman"/>
                  <w:color w:val="0000FF"/>
                  <w:sz w:val="20"/>
                  <w:u w:val="single"/>
                </w:rPr>
                <w:t>Quantitative and Qualitative Disclosures about Market Risk</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4.</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4__controls_and_procedures">
              <w:r>
                <w:rPr>
                  <w:rStyle w:val="InternetLink"/>
                  <w:rFonts w:ascii="Times New Roman" w:hAnsi="Times New Roman"/>
                  <w:color w:val="0000FF"/>
                  <w:sz w:val="20"/>
                  <w:u w:val="single"/>
                </w:rPr>
                <w:t>Controls and Procedures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532" w:type="dxa"/>
            <w:gridSpan w:val="2"/>
            <w:tcBorders/>
            <w:tcMar>
              <w:top w:w="0" w:type="dxa"/>
              <w:left w:w="0" w:type="dxa"/>
              <w:bottom w:w="0" w:type="dxa"/>
              <w:right w:w="0" w:type="dxa"/>
            </w:tcMar>
            <w:vAlign w:val="center"/>
          </w:tcPr>
          <w:p>
            <w:pPr>
              <w:pStyle w:val="TableContents"/>
              <w:bidi w:val="0"/>
              <w:spacing w:before="40" w:after="40"/>
              <w:jc w:val="left"/>
              <w:rPr/>
            </w:pPr>
            <w:hyperlink w:anchor="part_ii_other_information">
              <w:r>
                <w:rPr>
                  <w:rStyle w:val="InternetLink"/>
                  <w:rFonts w:ascii="Times New Roman" w:hAnsi="Times New Roman"/>
                  <w:color w:val="0000FF"/>
                  <w:sz w:val="20"/>
                  <w:u w:val="single"/>
                </w:rPr>
                <w:t>PART II OTHER INFORMATION</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1__legal_proceedings">
              <w:r>
                <w:rPr>
                  <w:rStyle w:val="InternetLink"/>
                  <w:rFonts w:ascii="Times New Roman" w:hAnsi="Times New Roman"/>
                  <w:color w:val="0000FF"/>
                  <w:sz w:val="20"/>
                  <w:u w:val="single"/>
                </w:rPr>
                <w:t>Legal Proceedings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1A.</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1a__risk_factors">
              <w:r>
                <w:rPr>
                  <w:rStyle w:val="InternetLink"/>
                  <w:rFonts w:ascii="Times New Roman" w:hAnsi="Times New Roman"/>
                  <w:color w:val="0000FF"/>
                  <w:sz w:val="20"/>
                  <w:u w:val="single"/>
                </w:rPr>
                <w:t>Risk Factors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2__unregistered_sale_of_equity_secu">
              <w:r>
                <w:rPr>
                  <w:rStyle w:val="InternetLink"/>
                  <w:rFonts w:ascii="Times New Roman" w:hAnsi="Times New Roman"/>
                  <w:color w:val="0000FF"/>
                  <w:sz w:val="20"/>
                  <w:u w:val="single"/>
                </w:rPr>
                <w:t>Unregistered Sales of Equity Securities and Use of Proceeds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5.</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5__other_information">
              <w:r>
                <w:rPr>
                  <w:rStyle w:val="InternetLink"/>
                  <w:rFonts w:ascii="Times New Roman" w:hAnsi="Times New Roman"/>
                  <w:color w:val="0000FF"/>
                  <w:sz w:val="20"/>
                  <w:u w:val="single"/>
                </w:rPr>
                <w:t>Other Information</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6.</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6__exhibits">
              <w:r>
                <w:rPr>
                  <w:rStyle w:val="InternetLink"/>
                  <w:rFonts w:ascii="Times New Roman" w:hAnsi="Times New Roman"/>
                  <w:color w:val="0000FF"/>
                  <w:sz w:val="20"/>
                  <w:u w:val="single"/>
                </w:rPr>
                <w:t>Exhibits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32" w:type="dxa"/>
            <w:gridSpan w:val="2"/>
            <w:tcBorders/>
            <w:tcMar>
              <w:top w:w="0" w:type="dxa"/>
              <w:left w:w="0" w:type="dxa"/>
              <w:bottom w:w="0" w:type="dxa"/>
              <w:right w:w="0" w:type="dxa"/>
            </w:tcMar>
            <w:vAlign w:val="center"/>
          </w:tcPr>
          <w:p>
            <w:pPr>
              <w:pStyle w:val="TableContents"/>
              <w:bidi w:val="0"/>
              <w:spacing w:before="40" w:after="40"/>
              <w:jc w:val="left"/>
              <w:rPr/>
            </w:pPr>
            <w:hyperlink w:anchor="signature">
              <w:r>
                <w:rPr>
                  <w:rStyle w:val="InternetLink"/>
                  <w:rFonts w:ascii="Times New Roman" w:hAnsi="Times New Roman"/>
                  <w:color w:val="0000FF"/>
                  <w:sz w:val="20"/>
                  <w:u w:val="single"/>
                </w:rPr>
                <w:t>SIGNATURE</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spacing w:before="60" w:after="283"/>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both"/>
        <w:rPr>
          <w:rFonts w:ascii="Times New Roman" w:hAnsi="Times New Roman"/>
          <w:b/>
          <w:color w:val="000000"/>
          <w:sz w:val="20"/>
        </w:rPr>
      </w:pPr>
      <w:bookmarkStart w:id="4" w:name="item_1_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bookmarkStart w:id="5" w:name="unaudited_condensed_consolidated_balance"/>
      <w:bookmarkEnd w:id="5"/>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6" w:name="condensed_consolidated_balance"/>
      <w:bookmarkEnd w:id="6"/>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7"/>
        <w:gridCol w:w="146"/>
        <w:gridCol w:w="221"/>
        <w:gridCol w:w="885"/>
        <w:gridCol w:w="166"/>
        <w:gridCol w:w="146"/>
        <w:gridCol w:w="242"/>
        <w:gridCol w:w="968"/>
        <w:gridCol w:w="414"/>
      </w:tblGrid>
      <w:tr>
        <w:trPr/>
        <w:tc>
          <w:tcPr>
            <w:tcW w:w="7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Shares authorized: 30,000,000 at</w:t>
              <w:br/>
              <w:t>June 30, 2025 and March 31, 2025; no shares issued and outstanding at June 30, 2025 and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no par value: Shares authorized: 200,000,000 at </w:t>
              <w:br/>
              <w:t xml:space="preserve">June 30, 2025 and March 31, 2025; shares issued: 43,039,975 at </w:t>
              <w:br/>
              <w:t xml:space="preserve">June 30, 2025 and 42,470,231 at March 31, 2025; shares outstanding: </w:t>
              <w:br/>
              <w:t>33,553,632 at June 30, 2025 and 32,983,888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common shares: 9,486,093 at June 30, 2025 and 9,486,343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7" w:name="unaudited_condensed_consolidated_stateme"/>
      <w:bookmarkEnd w:id="7"/>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7259" w:type="dxa"/>
        <w:jc w:val="left"/>
        <w:tblInd w:w="0" w:type="dxa"/>
        <w:tblLayout w:type="fixed"/>
        <w:tblCellMar>
          <w:top w:w="28" w:type="dxa"/>
          <w:left w:w="28" w:type="dxa"/>
          <w:bottom w:w="28" w:type="dxa"/>
          <w:right w:w="28" w:type="dxa"/>
        </w:tblCellMar>
      </w:tblPr>
      <w:tblGrid>
        <w:gridCol w:w="3916"/>
        <w:gridCol w:w="146"/>
        <w:gridCol w:w="211"/>
        <w:gridCol w:w="1036"/>
        <w:gridCol w:w="166"/>
        <w:gridCol w:w="146"/>
        <w:gridCol w:w="211"/>
        <w:gridCol w:w="1036"/>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share</w:t>
              <w:br/>
              <w:t>   equivalents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8" w:name="statements_shareholders_equity"/>
      <w:bookmarkEnd w:id="8"/>
      <w:r>
        <w:rPr>
          <w:rFonts w:ascii="Times New Roman" w:hAnsi="Times New Roman"/>
          <w:b/>
          <w:color w:val="000000"/>
          <w:sz w:val="20"/>
        </w:rPr>
        <w:t>UNAUDITED 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21"/>
        <w:gridCol w:w="146"/>
        <w:gridCol w:w="146"/>
        <w:gridCol w:w="1036"/>
        <w:gridCol w:w="146"/>
        <w:gridCol w:w="146"/>
        <w:gridCol w:w="211"/>
        <w:gridCol w:w="781"/>
        <w:gridCol w:w="146"/>
        <w:gridCol w:w="146"/>
        <w:gridCol w:w="211"/>
        <w:gridCol w:w="736"/>
        <w:gridCol w:w="166"/>
        <w:gridCol w:w="146"/>
        <w:gridCol w:w="211"/>
        <w:gridCol w:w="841"/>
        <w:gridCol w:w="166"/>
        <w:gridCol w:w="146"/>
        <w:gridCol w:w="271"/>
        <w:gridCol w:w="873"/>
        <w:gridCol w:w="213"/>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32,983,888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33,553,632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1"/>
        <w:gridCol w:w="146"/>
        <w:gridCol w:w="146"/>
        <w:gridCol w:w="1036"/>
        <w:gridCol w:w="146"/>
        <w:gridCol w:w="146"/>
        <w:gridCol w:w="211"/>
        <w:gridCol w:w="781"/>
        <w:gridCol w:w="146"/>
        <w:gridCol w:w="146"/>
        <w:gridCol w:w="211"/>
        <w:gridCol w:w="736"/>
        <w:gridCol w:w="166"/>
        <w:gridCol w:w="146"/>
        <w:gridCol w:w="211"/>
        <w:gridCol w:w="841"/>
        <w:gridCol w:w="166"/>
        <w:gridCol w:w="146"/>
        <w:gridCol w:w="271"/>
        <w:gridCol w:w="873"/>
        <w:gridCol w:w="213"/>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statements_of_cas"/>
      <w:bookmarkEnd w:id="9"/>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10" w:name="consolidated_stateme_cash_flow"/>
      <w:bookmarkEnd w:id="10"/>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571" w:type="dxa"/>
        <w:jc w:val="left"/>
        <w:tblInd w:w="0" w:type="dxa"/>
        <w:tblLayout w:type="fixed"/>
        <w:tblCellMar>
          <w:top w:w="28" w:type="dxa"/>
          <w:left w:w="28" w:type="dxa"/>
          <w:bottom w:w="28" w:type="dxa"/>
          <w:right w:w="28" w:type="dxa"/>
        </w:tblCellMar>
      </w:tblPr>
      <w:tblGrid>
        <w:gridCol w:w="4551"/>
        <w:gridCol w:w="146"/>
        <w:gridCol w:w="239"/>
        <w:gridCol w:w="716"/>
        <w:gridCol w:w="188"/>
        <w:gridCol w:w="165"/>
        <w:gridCol w:w="239"/>
        <w:gridCol w:w="716"/>
        <w:gridCol w:w="611"/>
      </w:tblGrid>
      <w:tr>
        <w:trPr/>
        <w:tc>
          <w:tcPr>
            <w:tcW w:w="4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w:t>
              <w:b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inventory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 current and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equity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orion_energy_systems_inc_subsidiaries"/>
      <w:bookmarkEnd w:id="11"/>
      <w:r>
        <w:rPr>
          <w:rFonts w:ascii="Times New Roman" w:hAnsi="Times New Roman"/>
          <w:b/>
          <w:color w:val="000000"/>
          <w:sz w:val="20"/>
        </w:rPr>
        <w:t>ORION ENERGY SYSTEMS, INC. AND SUBSIDIARIES</w:t>
      </w:r>
    </w:p>
    <w:p>
      <w:pPr>
        <w:pStyle w:val="TextBody"/>
        <w:bidi w:val="0"/>
        <w:jc w:val="center"/>
        <w:rPr>
          <w:rFonts w:ascii="Times New Roman" w:hAnsi="Times New Roman"/>
          <w:sz w:val="20"/>
        </w:rPr>
      </w:pPr>
      <w:bookmarkStart w:id="12" w:name="notes_to_condensed_consolidate_financial"/>
      <w:bookmarkEnd w:id="12"/>
      <w:r>
        <w:rPr>
          <w:rFonts w:ascii="Times New Roman" w:hAnsi="Times New Roman"/>
          <w:b/>
          <w:color w:val="000000"/>
          <w:sz w:val="20"/>
        </w:rPr>
        <w:t>UNAUDITED NOTES TO THE CONDENSED C</w:t>
      </w:r>
      <w:bookmarkStart w:id="13" w:name="unaudited_notes_to_condensed_consolidate"/>
      <w:bookmarkEnd w:id="13"/>
      <w:r>
        <w:rPr>
          <w:rFonts w:ascii="Times New Roman" w:hAnsi="Times New Roman"/>
          <w:b/>
          <w:color w:val="000000"/>
          <w:sz w:val="20"/>
        </w:rPr>
        <w:t>ONSOLIDATED FINANCIAL STATEMENTS</w:t>
      </w:r>
    </w:p>
    <w:p>
      <w:pPr>
        <w:pStyle w:val="TextBody"/>
        <w:bidi w:val="0"/>
        <w:spacing w:before="180" w:after="283"/>
        <w:jc w:val="left"/>
        <w:rPr>
          <w:rFonts w:ascii="Times New Roman" w:hAnsi="Times New Roman"/>
          <w:b/>
          <w:color w:val="000000"/>
          <w:sz w:val="20"/>
        </w:rPr>
      </w:pPr>
      <w:bookmarkStart w:id="14" w:name="note_1___description_of_business"/>
      <w:bookmarkEnd w:id="14"/>
      <w:r>
        <w:rPr>
          <w:rFonts w:ascii="Times New Roman" w:hAnsi="Times New Roman"/>
          <w:b/>
          <w:color w:val="000000"/>
          <w:sz w:val="20"/>
        </w:rPr>
        <w:t>NOTE 1 — DESCRIPTION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corporate offices and leased primary manufacturing operations are located in Manitowoc, Wisconsin. Orion also leases office space in Jacksonville, Florida and Lawrence, Massachusetts.</w:t>
      </w:r>
    </w:p>
    <w:p>
      <w:pPr>
        <w:pStyle w:val="TextBody"/>
        <w:bidi w:val="0"/>
        <w:spacing w:before="280" w:after="283"/>
        <w:jc w:val="left"/>
        <w:rPr>
          <w:rFonts w:ascii="Times New Roman" w:hAnsi="Times New Roman"/>
          <w:b/>
          <w:color w:val="000000"/>
          <w:sz w:val="20"/>
        </w:rPr>
      </w:pPr>
      <w:bookmarkStart w:id="15" w:name="note_2___summary_of_significant_accounti"/>
      <w:bookmarkEnd w:id="15"/>
      <w:r>
        <w:rPr>
          <w:rFonts w:ascii="Times New Roman" w:hAnsi="Times New Roman"/>
          <w:b/>
          <w:color w:val="000000"/>
          <w:sz w:val="20"/>
        </w:rPr>
        <w:t>NOTE 2 —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consolidated financial statements include the accounts of Orion Energy Systems, Inc. and its wholly-owned subsidiaries. All intercompany transactions and balances have been eliminated in consolidation.</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2026 or other interim periods.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Condensed Consolidated Balance Sheet as of March 31, 2025 has been derived from the audited consolidated financial statements at that date but does not include all of the information required by GAAP for complete financial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footnotes thereto included in Orion’s Annual Report on Form 10-K for the fiscal year ended March 31, 2025 filed with the SEC on June 26, 2025.</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purchases components necessary for its lighting products, including lamps and LED components, from multiple suppliers. For the three months ended June 30, 2025, no suppliers accounted for more than 10% of total cost of revenue. For the three months ended June 30, 2024, one supplier accounted for 14.0% of total cost of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June 30, 2025, one customer accounted for 30.2% of total revenue. For the three months ended June 30, 2024, one customer accounted for 21.1% of total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one customer accounted for 21.6% and another customer accounted for 12.4% of accounts receivable. As of March 31, 2025, one customer accounted for 13.0% of accounts receivable.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Compliance with the Continued Listing Standards of the Nasdaq Capital Market (“NASDAQ”)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20, 2024, Orion received written notice from NASDAQ that it was not in compliance with NASDAQ's minimum bid price requirement for continued listing on NASDAQ, as the closing bid price of Orion's common stock had been below $1.00 per share for 30 consecutive trading days, and Orion was granted 180-calendar days, or until March 19, 2025 to regain compliance with the minimum bid price requirement. On March 19, 2025, Orion submitted a formal request to NASDAQ for an additional 180-calendar day period to regain compliance with the minimum bid price requirement and provided written notice to NASDAQ that it intends to effectuate a reverse stock split during the additional compliance period if necessary to regain compliance with the minimum bid price requirement.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20, 2025, Orion received a letter from NASDAQ granting Orion the additional period, through September 15, 2025, to regain compliance with the minimum bid price requirement. If Orion does not regain compliance by September 15, 2025, then NASDAQ will notify Orion of its determination to delist the Company's common stock from trading on NASDAQ. Although Orion would have an opportunity to appeal the delisting determination to a hearings panel, under NASDAQ rules, Orion's delisting from NASDAQ would be effective on or about September 16,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Orion intends to monitor the closing bid price of its common stock and likely will need to seek to effect a reverse stock split of the Company's common stock to regain compliance with NASDAQ's minimum bid price requirement by September 15, 2025 in order to avoid delisting. Orion is seeking shareholder approval at its 2025 annual shareholder meeting to authorize the Board of Directors to implement a reverse stock split with a ratio of between 1-for-2 and 1-for-100. There can be no assurance that the Company will be able to regain compliance with NASDAQ's minimum bid price requirement, even if it maintains compliance with the other NASDAQ listing requirements.</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Issued: Not Yet Adopted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November 2024, the Financial Accounting Standards Board (FASB) issued Accounting Standards Update (ASU) No. 2024-03, Income Statement - Reporting Comprehensive Income - Expense Disaggregation Disclosures (Subtopic 220-40), which modifies the disclosure and presentation requirements relating to expenses shown on the income statement. The amendments in the update require disclosure, in the notes to financial statements, of specified information about certain costs and expenses. The amendments require that at each interim and annual reporting period an entity: 1 . Disclose the amounts of (a) purchases of inventory, (b) employee compensation, (c) depreciation, (d) intangible asset amortization, and (e) 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 2027. Early adoption is permitted. Orion is currently evaluating the impact that this guidance will have on the presentation of its consolidated financial statements and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pStyle w:val="TextBody"/>
        <w:bidi w:val="0"/>
        <w:spacing w:before="280" w:after="283"/>
        <w:jc w:val="both"/>
        <w:rPr>
          <w:rFonts w:ascii="Times New Roman" w:hAnsi="Times New Roman"/>
          <w:b/>
          <w:color w:val="000000"/>
          <w:sz w:val="20"/>
        </w:rPr>
      </w:pPr>
      <w:bookmarkStart w:id="16" w:name="note_3___revenue"/>
      <w:bookmarkEnd w:id="16"/>
      <w:r>
        <w:rPr>
          <w:rFonts w:ascii="Times New Roman" w:hAnsi="Times New Roman"/>
          <w:b/>
          <w:color w:val="000000"/>
          <w:sz w:val="20"/>
        </w:rPr>
        <w:t>NOTE 3 —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generates revenue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606)("ASC 606") when control of the goods or services being provided (which Orion refers to as a performance obligation) is transferred to a customer at an amount that reflects the consideration management expects to receive in exchange for those goods or services. Prices are generally fixed at the time of order confirmation, either for the contract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Statements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Revenue from the lighting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provide detail of Orion’s total revenue for the three months ended June 30, 2025 and June 30, 2024 (dollars in thousands):</w:t>
      </w:r>
    </w:p>
    <w:p>
      <w:pPr>
        <w:pStyle w:val="TextBody"/>
        <w:bidi w:val="0"/>
        <w:jc w:val="both"/>
        <w:rPr/>
      </w:pPr>
      <w:r>
        <w:rPr/>
        <w:t> </w:t>
      </w:r>
    </w:p>
    <w:tbl>
      <w:tblPr>
        <w:tblW w:w="7358" w:type="dxa"/>
        <w:jc w:val="left"/>
        <w:tblInd w:w="0" w:type="dxa"/>
        <w:tblLayout w:type="fixed"/>
        <w:tblCellMar>
          <w:top w:w="28" w:type="dxa"/>
          <w:left w:w="28" w:type="dxa"/>
          <w:bottom w:w="28" w:type="dxa"/>
          <w:right w:w="28" w:type="dxa"/>
        </w:tblCellMar>
      </w:tblPr>
      <w:tblGrid>
        <w:gridCol w:w="3781"/>
        <w:gridCol w:w="146"/>
        <w:gridCol w:w="211"/>
        <w:gridCol w:w="676"/>
        <w:gridCol w:w="146"/>
        <w:gridCol w:w="146"/>
        <w:gridCol w:w="211"/>
        <w:gridCol w:w="571"/>
        <w:gridCol w:w="146"/>
        <w:gridCol w:w="146"/>
        <w:gridCol w:w="211"/>
        <w:gridCol w:w="676"/>
        <w:gridCol w:w="2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From time to time, Orion sells the receivables from one customer to a financing institution. The total amount received from the advances of these receivables was $0.5 million for the three months ended June 30, 2025. Orion's gains on these sales were $24 thousand for the three months ended June 30, 2025 and are included in Interest expense in the Condensed Consolidated Statements of Operations. There was no activity during the three months ended June 30,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balance of Orion’s receivables arising from contracts with customers, contract assets and contract liabilities as of June 30, 2025 and March 31, 2025 (dollars in thousands):</w:t>
      </w:r>
    </w:p>
    <w:p>
      <w:pPr>
        <w:pStyle w:val="TextBody"/>
        <w:bidi w:val="0"/>
        <w:jc w:val="both"/>
        <w:rPr/>
      </w:pPr>
      <w:r>
        <w:rPr/>
        <w:t> </w:t>
      </w:r>
    </w:p>
    <w:tbl>
      <w:tblPr>
        <w:tblW w:w="5254" w:type="dxa"/>
        <w:jc w:val="left"/>
        <w:tblInd w:w="0" w:type="dxa"/>
        <w:tblLayout w:type="fixed"/>
        <w:tblCellMar>
          <w:top w:w="28" w:type="dxa"/>
          <w:left w:w="28" w:type="dxa"/>
          <w:bottom w:w="28" w:type="dxa"/>
          <w:right w:w="28" w:type="dxa"/>
        </w:tblCellMar>
      </w:tblPr>
      <w:tblGrid>
        <w:gridCol w:w="2851"/>
        <w:gridCol w:w="146"/>
        <w:gridCol w:w="211"/>
        <w:gridCol w:w="676"/>
        <w:gridCol w:w="146"/>
        <w:gridCol w:w="146"/>
        <w:gridCol w:w="211"/>
        <w:gridCol w:w="676"/>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Within the revenue earned not billed line on the Condensed Consolidated Balance Sheets, $0.2 million is accounted for as a sales type lease under ASC 842, and therefore not considered a "contract asset", which is an asset defined by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Includes the unamortized portion of the funds received from the federal government in 2010 and 2011 as reimbursement for the costs to build the two facilities related to the power purchase agreements. As the transaction is not considered a contract with a customer, this value is not a contract liability as defined by ASC 606.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significant changes in the contract assets outside of standard increases due to timing of contract completion, offset by the reclassifications to accounts receivable, net upon billing. Deferred revenue, current as of June 30, 2025, and March 31, 2025, includes $0.3 million and $0.4 million, respectively, of contract liabilities which represent consideration received from a new customer contract on which installation has not yet begun and Orion has not fulfilled the promises included. Of the $0.4 million outstanding as of March 31, 2025, $0.1 million has been recognized as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b/>
          <w:color w:val="000000"/>
          <w:sz w:val="20"/>
        </w:rPr>
      </w:pPr>
      <w:bookmarkStart w:id="17" w:name="note_4___accounts_receivable"/>
      <w:bookmarkEnd w:id="17"/>
      <w:r>
        <w:rPr>
          <w:rFonts w:ascii="Times New Roman" w:hAnsi="Times New Roman"/>
          <w:b/>
          <w:color w:val="000000"/>
          <w:sz w:val="20"/>
        </w:rPr>
        <w:t>NOTE 4 —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March 31, 2025, Orion's accounts receivable and allowance for credit losses balances were as follows (dollars in thousands):</w:t>
      </w:r>
    </w:p>
    <w:p>
      <w:pPr>
        <w:pStyle w:val="TextBody"/>
        <w:bidi w:val="0"/>
        <w:jc w:val="both"/>
        <w:rPr/>
      </w:pPr>
      <w:r>
        <w:rPr/>
        <w:t> </w:t>
      </w:r>
    </w:p>
    <w:tbl>
      <w:tblPr>
        <w:tblW w:w="4739" w:type="dxa"/>
        <w:jc w:val="left"/>
        <w:tblInd w:w="0" w:type="dxa"/>
        <w:tblLayout w:type="fixed"/>
        <w:tblCellMar>
          <w:top w:w="28" w:type="dxa"/>
          <w:left w:w="28" w:type="dxa"/>
          <w:bottom w:w="28" w:type="dxa"/>
          <w:right w:w="28" w:type="dxa"/>
        </w:tblCellMar>
      </w:tblPr>
      <w:tblGrid>
        <w:gridCol w:w="2296"/>
        <w:gridCol w:w="146"/>
        <w:gridCol w:w="211"/>
        <w:gridCol w:w="676"/>
        <w:gridCol w:w="166"/>
        <w:gridCol w:w="146"/>
        <w:gridCol w:w="211"/>
        <w:gridCol w:w="676"/>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Changes in Orion’s allowance for credit losses were as follows (dollars in thousands):</w:t>
      </w:r>
    </w:p>
    <w:tbl>
      <w:tblPr>
        <w:tblW w:w="4316" w:type="dxa"/>
        <w:jc w:val="left"/>
        <w:tblInd w:w="0" w:type="dxa"/>
        <w:tblLayout w:type="fixed"/>
        <w:tblCellMar>
          <w:top w:w="28" w:type="dxa"/>
          <w:left w:w="28" w:type="dxa"/>
          <w:bottom w:w="28" w:type="dxa"/>
          <w:right w:w="28" w:type="dxa"/>
        </w:tblCellMar>
      </w:tblPr>
      <w:tblGrid>
        <w:gridCol w:w="1771"/>
        <w:gridCol w:w="146"/>
        <w:gridCol w:w="290"/>
        <w:gridCol w:w="517"/>
        <w:gridCol w:w="228"/>
        <w:gridCol w:w="201"/>
        <w:gridCol w:w="290"/>
        <w:gridCol w:w="662"/>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18" w:name="note_5___inventories"/>
      <w:bookmarkEnd w:id="18"/>
      <w:r>
        <w:rPr>
          <w:rFonts w:ascii="Times New Roman" w:hAnsi="Times New Roman"/>
          <w:b/>
          <w:color w:val="000000"/>
          <w:sz w:val="20"/>
        </w:rPr>
        <w:t>NOTE 5 —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March 31, 2025, Orion's inventory balances were as follows (dollars in thousands):</w:t>
      </w:r>
    </w:p>
    <w:p>
      <w:pPr>
        <w:pStyle w:val="TextBody"/>
        <w:bidi w:val="0"/>
        <w:jc w:val="left"/>
        <w:rPr/>
      </w:pPr>
      <w:r>
        <w:rPr/>
        <w:t> </w:t>
      </w:r>
    </w:p>
    <w:tbl>
      <w:tblPr>
        <w:tblW w:w="4494" w:type="dxa"/>
        <w:jc w:val="left"/>
        <w:tblInd w:w="0" w:type="dxa"/>
        <w:tblLayout w:type="fixed"/>
        <w:tblCellMar>
          <w:top w:w="28" w:type="dxa"/>
          <w:left w:w="28" w:type="dxa"/>
          <w:bottom w:w="28" w:type="dxa"/>
          <w:right w:w="28" w:type="dxa"/>
        </w:tblCellMar>
      </w:tblPr>
      <w:tblGrid>
        <w:gridCol w:w="2841"/>
        <w:gridCol w:w="146"/>
        <w:gridCol w:w="217"/>
        <w:gridCol w:w="699"/>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Inventories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NOTE 6 —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 primarily of prepaid insurance premiums, debt issue costs, prepaid subscription fees and value added tax receivable. Prepaid expenses totaled $1.4 million and $1.3 million as of June 30, 2025 and March 31,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current assets as of June 30, 2025 and March 31, 2025 consists primarily of $0.4 million and $0.6 million, respectively, of prepaid software and services.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19" w:name="note_7___property_and_equipment"/>
      <w:bookmarkEnd w:id="19"/>
      <w:r>
        <w:rPr>
          <w:rFonts w:ascii="Times New Roman" w:hAnsi="Times New Roman"/>
          <w:b/>
          <w:color w:val="000000"/>
          <w:sz w:val="20"/>
        </w:rPr>
        <w:t>NOTE 7 —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March 31, 2025, property and equipment, net, included the following (dollars in thousands):</w:t>
      </w:r>
    </w:p>
    <w:p>
      <w:pPr>
        <w:pStyle w:val="TextBody"/>
        <w:bidi w:val="0"/>
        <w:jc w:val="left"/>
        <w:rPr/>
      </w:pPr>
      <w:r>
        <w:rPr/>
        <w:t> </w:t>
      </w:r>
    </w:p>
    <w:tbl>
      <w:tblPr>
        <w:tblW w:w="6009" w:type="dxa"/>
        <w:jc w:val="left"/>
        <w:tblInd w:w="0" w:type="dxa"/>
        <w:tblLayout w:type="fixed"/>
        <w:tblCellMar>
          <w:top w:w="28" w:type="dxa"/>
          <w:left w:w="28" w:type="dxa"/>
          <w:bottom w:w="28" w:type="dxa"/>
          <w:right w:w="28" w:type="dxa"/>
        </w:tblCellMar>
      </w:tblPr>
      <w:tblGrid>
        <w:gridCol w:w="3346"/>
        <w:gridCol w:w="146"/>
        <w:gridCol w:w="211"/>
        <w:gridCol w:w="736"/>
        <w:gridCol w:w="166"/>
        <w:gridCol w:w="146"/>
        <w:gridCol w:w="211"/>
        <w:gridCol w:w="736"/>
        <w:gridCol w:w="3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building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leased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Orion leases assets from third parties. Orion also leases certain assets to third parties.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 summary of Orion’s assets leased from third parties follows (dollars in thousands):</w:t>
      </w:r>
    </w:p>
    <w:tbl>
      <w:tblPr>
        <w:tblW w:w="8397" w:type="dxa"/>
        <w:jc w:val="left"/>
        <w:tblInd w:w="0" w:type="dxa"/>
        <w:tblLayout w:type="fixed"/>
        <w:tblCellMar>
          <w:top w:w="28" w:type="dxa"/>
          <w:left w:w="28" w:type="dxa"/>
          <w:bottom w:w="28" w:type="dxa"/>
          <w:right w:w="28" w:type="dxa"/>
        </w:tblCellMar>
      </w:tblPr>
      <w:tblGrid>
        <w:gridCol w:w="2406"/>
        <w:gridCol w:w="146"/>
        <w:gridCol w:w="2431"/>
        <w:gridCol w:w="146"/>
        <w:gridCol w:w="303"/>
        <w:gridCol w:w="822"/>
        <w:gridCol w:w="146"/>
        <w:gridCol w:w="146"/>
        <w:gridCol w:w="340"/>
        <w:gridCol w:w="920"/>
        <w:gridCol w:w="5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Orion had operating lease costs of $0.3 million for the three months ended June 30, 2025. Orion had operating lease costs of $0.4 million for the three months ended June 30,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maturity of lease liabilities for each of the remaining years is shown below (dollars in thousands):</w:t>
      </w:r>
    </w:p>
    <w:p>
      <w:pPr>
        <w:pStyle w:val="TextBody"/>
        <w:bidi w:val="0"/>
        <w:jc w:val="both"/>
        <w:rPr/>
      </w:pPr>
      <w:r>
        <w:rPr/>
        <w:t> </w:t>
      </w:r>
    </w:p>
    <w:tbl>
      <w:tblPr>
        <w:tblW w:w="4713" w:type="dxa"/>
        <w:jc w:val="left"/>
        <w:tblInd w:w="0" w:type="dxa"/>
        <w:tblLayout w:type="fixed"/>
        <w:tblCellMar>
          <w:top w:w="28" w:type="dxa"/>
          <w:left w:w="28" w:type="dxa"/>
          <w:bottom w:w="28" w:type="dxa"/>
          <w:right w:w="28" w:type="dxa"/>
        </w:tblCellMar>
      </w:tblPr>
      <w:tblGrid>
        <w:gridCol w:w="2686"/>
        <w:gridCol w:w="146"/>
        <w:gridCol w:w="428"/>
        <w:gridCol w:w="1162"/>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Orion Leases to Other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provides long-term financing to one customer who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Revenues, and production and acquisition costs, associated with sales-type leases are included in Product revenue and Cost of product revenue in the Consolidated Statements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amount of revenue and cost of sales arising from sales-type leases during the quarter ended June 30, 2025 and 2024 (dollars in thousands):</w:t>
      </w:r>
    </w:p>
    <w:p>
      <w:pPr>
        <w:pStyle w:val="TextBody"/>
        <w:bidi w:val="0"/>
        <w:spacing w:before="180" w:after="283"/>
        <w:jc w:val="both"/>
        <w:rPr/>
      </w:pPr>
      <w:r>
        <w:rPr/>
        <w:t> </w:t>
      </w:r>
    </w:p>
    <w:tbl>
      <w:tblPr>
        <w:tblW w:w="4671" w:type="dxa"/>
        <w:jc w:val="left"/>
        <w:tblInd w:w="0" w:type="dxa"/>
        <w:tblLayout w:type="fixed"/>
        <w:tblCellMar>
          <w:top w:w="28" w:type="dxa"/>
          <w:left w:w="28" w:type="dxa"/>
          <w:bottom w:w="28" w:type="dxa"/>
          <w:right w:w="28" w:type="dxa"/>
        </w:tblCellMar>
      </w:tblPr>
      <w:tblGrid>
        <w:gridCol w:w="2071"/>
        <w:gridCol w:w="146"/>
        <w:gridCol w:w="322"/>
        <w:gridCol w:w="644"/>
        <w:gridCol w:w="223"/>
        <w:gridCol w:w="223"/>
        <w:gridCol w:w="322"/>
        <w:gridCol w:w="529"/>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left"/>
        <w:rPr>
          <w:rFonts w:ascii="Times New Roman" w:hAnsi="Times New Roman"/>
          <w:b/>
          <w:color w:val="000000"/>
          <w:sz w:val="20"/>
        </w:rPr>
      </w:pPr>
      <w:bookmarkStart w:id="20" w:name="note_8___intangible_assets"/>
      <w:bookmarkEnd w:id="20"/>
      <w:r>
        <w:rPr>
          <w:rFonts w:ascii="Times New Roman" w:hAnsi="Times New Roman"/>
          <w:b/>
          <w:color w:val="000000"/>
          <w:sz w:val="20"/>
        </w:rPr>
        <w:t>NOTE 9 — GOODWILL AND OTHER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$0.9 million of goodwill related to its purchase of Voltrek LLC ("Voltrek") in the third quarter of fiscal 2023, which has an indefinite life, and is assigned to the EV Charging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$0.6 million of goodwill related to its purchase of Stay-Light Lighting, Inc. during fiscal year 2022, which has an indefinite life, and is assigned to the Maintenance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March 31, 2025, the components of, and changes in, the carrying amount of other intangible assets, net, were as follows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96"/>
        <w:gridCol w:w="601"/>
        <w:gridCol w:w="146"/>
        <w:gridCol w:w="146"/>
        <w:gridCol w:w="276"/>
        <w:gridCol w:w="805"/>
        <w:gridCol w:w="166"/>
        <w:gridCol w:w="146"/>
        <w:gridCol w:w="196"/>
        <w:gridCol w:w="511"/>
        <w:gridCol w:w="146"/>
        <w:gridCol w:w="146"/>
        <w:gridCol w:w="243"/>
        <w:gridCol w:w="578"/>
        <w:gridCol w:w="146"/>
        <w:gridCol w:w="146"/>
        <w:gridCol w:w="196"/>
        <w:gridCol w:w="601"/>
        <w:gridCol w:w="146"/>
        <w:gridCol w:w="146"/>
        <w:gridCol w:w="276"/>
        <w:gridCol w:w="805"/>
        <w:gridCol w:w="166"/>
        <w:gridCol w:w="146"/>
        <w:gridCol w:w="196"/>
        <w:gridCol w:w="511"/>
        <w:gridCol w:w="392"/>
      </w:tblGrid>
      <w:tr>
        <w:trPr/>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Non-Amortized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Amortization expense on intangible assets was $0.2 million for the three months ended June 30, 2025, and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estimated amortization expense for the remainder of fiscal 2026, the next five fiscal years and beyond is shown below (dollars in thousands):</w:t>
      </w:r>
    </w:p>
    <w:p>
      <w:pPr>
        <w:pStyle w:val="TextBody"/>
        <w:bidi w:val="0"/>
        <w:jc w:val="left"/>
        <w:rPr/>
      </w:pPr>
      <w:r>
        <w:rPr/>
        <w:t> </w:t>
      </w:r>
    </w:p>
    <w:tbl>
      <w:tblPr>
        <w:tblW w:w="3745" w:type="dxa"/>
        <w:jc w:val="left"/>
        <w:tblInd w:w="0" w:type="dxa"/>
        <w:tblLayout w:type="fixed"/>
        <w:tblCellMar>
          <w:top w:w="28" w:type="dxa"/>
          <w:left w:w="28" w:type="dxa"/>
          <w:bottom w:w="28" w:type="dxa"/>
          <w:right w:w="28" w:type="dxa"/>
        </w:tblCellMar>
      </w:tblPr>
      <w:tblGrid>
        <w:gridCol w:w="2626"/>
        <w:gridCol w:w="146"/>
        <w:gridCol w:w="211"/>
        <w:gridCol w:w="5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21" w:name="note_9___accrued_expenses_and_other"/>
      <w:bookmarkEnd w:id="21"/>
      <w:r>
        <w:rPr>
          <w:rFonts w:ascii="Times New Roman" w:hAnsi="Times New Roman"/>
          <w:b/>
          <w:color w:val="000000"/>
          <w:sz w:val="20"/>
        </w:rPr>
        <w:t>NOTE 10 — ACCRUED EXPENSES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March 31, 2025, accrued expenses and other included the following (dollars in thousands):</w:t>
      </w:r>
    </w:p>
    <w:p>
      <w:pPr>
        <w:pStyle w:val="TextBody"/>
        <w:bidi w:val="0"/>
        <w:jc w:val="both"/>
        <w:rPr/>
      </w:pPr>
      <w:r>
        <w:rPr/>
        <w:t> </w:t>
      </w:r>
    </w:p>
    <w:tbl>
      <w:tblPr>
        <w:tblW w:w="5079" w:type="dxa"/>
        <w:jc w:val="left"/>
        <w:tblInd w:w="0" w:type="dxa"/>
        <w:tblLayout w:type="fixed"/>
        <w:tblCellMar>
          <w:top w:w="28" w:type="dxa"/>
          <w:left w:w="28" w:type="dxa"/>
          <w:bottom w:w="28" w:type="dxa"/>
          <w:right w:w="28" w:type="dxa"/>
        </w:tblCellMar>
      </w:tblPr>
      <w:tblGrid>
        <w:gridCol w:w="2476"/>
        <w:gridCol w:w="146"/>
        <w:gridCol w:w="211"/>
        <w:gridCol w:w="676"/>
        <w:gridCol w:w="146"/>
        <w:gridCol w:w="146"/>
        <w:gridCol w:w="211"/>
        <w:gridCol w:w="676"/>
        <w:gridCol w:w="3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acquisition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 due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Orion generally offers a limited warranty of one to ten years on its lighting products, including the pass-through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Changes in Orion’s warranty accrual (both current and long-term) were as follows (dollars in thousands):</w:t>
      </w:r>
    </w:p>
    <w:p>
      <w:pPr>
        <w:pStyle w:val="TextBody"/>
        <w:bidi w:val="0"/>
        <w:jc w:val="both"/>
        <w:rPr/>
      </w:pPr>
      <w:r>
        <w:rPr/>
        <w:t> </w:t>
      </w:r>
    </w:p>
    <w:tbl>
      <w:tblPr>
        <w:tblW w:w="6551" w:type="dxa"/>
        <w:jc w:val="left"/>
        <w:tblInd w:w="0" w:type="dxa"/>
        <w:tblLayout w:type="fixed"/>
        <w:tblCellMar>
          <w:top w:w="28" w:type="dxa"/>
          <w:left w:w="28" w:type="dxa"/>
          <w:bottom w:w="28" w:type="dxa"/>
          <w:right w:w="28" w:type="dxa"/>
        </w:tblCellMar>
      </w:tblPr>
      <w:tblGrid>
        <w:gridCol w:w="4006"/>
        <w:gridCol w:w="146"/>
        <w:gridCol w:w="282"/>
        <w:gridCol w:w="563"/>
        <w:gridCol w:w="222"/>
        <w:gridCol w:w="195"/>
        <w:gridCol w:w="282"/>
        <w:gridCol w:w="644"/>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(net of vendor reimbursements)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both"/>
        <w:rPr>
          <w:rFonts w:ascii="Times New Roman" w:hAnsi="Times New Roman"/>
          <w:color w:val="000000"/>
          <w:sz w:val="20"/>
        </w:rPr>
      </w:pPr>
      <w:r>
        <w:rPr>
          <w:rFonts w:ascii="Times New Roman" w:hAnsi="Times New Roman"/>
          <w:color w:val="000000"/>
          <w:sz w:val="20"/>
        </w:rPr>
        <w:t>Effective on October 5, 2022, Orion acquired all the membership interests of Voltrek, an electric vehicle charging station solutions provider (the “Voltrek Acquisition”). The Voltrek Acquisition agreement provided that,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have been, and will be, expensed over the course of the earn-out periods to the extent they were or are earned. As of June 30, 2025, Orion has recorded $3.3 million of accrued acquisition earn-out expense that remains unpaid. On June 23, 2025, we entered into a binding term sheet (the "Term Sheet") with respect to our remaining earn-out obligations owed to Final Frontier pursuant to the Voltrek Acquisition, and on July 31, 2025, we entered into an amendment to the Term Sheet (the "Term Sheet Amendment"), each as further described in Note 12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shareholders by the weighted-average number of common shares outstanding for the period and does not consider common stock equivalents.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Diluted net loss per common share reflects the dilution that would occur if restricted shares were vested. In the computation of diluted net loss per common share, Orion uses the treasury stock method for outstanding options and restricted shares. For the three months ended June 30, 2025 and 2024, Orion was in a net loss position; therefore, the Basic and Diluted weighted-average shares outstanding are equal because any increase to the basic shares would be anti-dilutive. Net loss per common share is calculated based upon the following shares:</w:t>
      </w:r>
    </w:p>
    <w:p>
      <w:pPr>
        <w:pStyle w:val="TextBody"/>
        <w:bidi w:val="0"/>
        <w:jc w:val="left"/>
        <w:rPr/>
      </w:pPr>
      <w:r>
        <w:rPr/>
        <w:t> </w:t>
      </w:r>
    </w:p>
    <w:tbl>
      <w:tblPr>
        <w:tblW w:w="7819" w:type="dxa"/>
        <w:jc w:val="left"/>
        <w:tblInd w:w="0" w:type="dxa"/>
        <w:tblLayout w:type="fixed"/>
        <w:tblCellMar>
          <w:top w:w="28" w:type="dxa"/>
          <w:left w:w="28" w:type="dxa"/>
          <w:bottom w:w="28" w:type="dxa"/>
          <w:right w:w="28" w:type="dxa"/>
        </w:tblCellMar>
      </w:tblPr>
      <w:tblGrid>
        <w:gridCol w:w="4456"/>
        <w:gridCol w:w="146"/>
        <w:gridCol w:w="211"/>
        <w:gridCol w:w="1036"/>
        <w:gridCol w:w="166"/>
        <w:gridCol w:w="146"/>
        <w:gridCol w:w="211"/>
        <w:gridCol w:w="1036"/>
        <w:gridCol w:w="4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common share</w:t>
              <w:br/>
              <w:t>   equivalents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indicates the number of potentially dilutive securities excluded from the calculation of Diluted net loss per common share because their inclusion would have been anti-dilutive. The number of shares is as of the end of each period:</w:t>
      </w:r>
    </w:p>
    <w:p>
      <w:pPr>
        <w:pStyle w:val="TextBody"/>
        <w:bidi w:val="0"/>
        <w:jc w:val="left"/>
        <w:rPr/>
      </w:pPr>
      <w:r>
        <w:rPr/>
        <w:t> </w:t>
      </w:r>
    </w:p>
    <w:tbl>
      <w:tblPr>
        <w:tblW w:w="5874" w:type="dxa"/>
        <w:jc w:val="left"/>
        <w:tblInd w:w="0" w:type="dxa"/>
        <w:tblLayout w:type="fixed"/>
        <w:tblCellMar>
          <w:top w:w="28" w:type="dxa"/>
          <w:left w:w="28" w:type="dxa"/>
          <w:bottom w:w="28" w:type="dxa"/>
          <w:right w:w="28" w:type="dxa"/>
        </w:tblCellMar>
      </w:tblPr>
      <w:tblGrid>
        <w:gridCol w:w="3091"/>
        <w:gridCol w:w="146"/>
        <w:gridCol w:w="146"/>
        <w:gridCol w:w="931"/>
        <w:gridCol w:w="146"/>
        <w:gridCol w:w="146"/>
        <w:gridCol w:w="146"/>
        <w:gridCol w:w="93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3,054,158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bookmarkStart w:id="22" w:name="note_11___debt"/>
      <w:bookmarkEnd w:id="22"/>
      <w:r>
        <w:rPr>
          <w:rFonts w:ascii="Times New Roman" w:hAnsi="Times New Roman"/>
          <w:b/>
          <w:color w:val="000000"/>
          <w:sz w:val="20"/>
        </w:rPr>
        <w:t>NOTE 12 — LONG-TERM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Long-term debt, including the revolving credit facility, consisted of the following (dollars in thousands):</w:t>
      </w:r>
    </w:p>
    <w:p>
      <w:pPr>
        <w:pStyle w:val="TextBody"/>
        <w:bidi w:val="0"/>
        <w:jc w:val="left"/>
        <w:rPr/>
      </w:pPr>
      <w:r>
        <w:rPr/>
        <w:t> </w:t>
      </w:r>
    </w:p>
    <w:tbl>
      <w:tblPr>
        <w:tblW w:w="5579" w:type="dxa"/>
        <w:jc w:val="left"/>
        <w:tblInd w:w="0" w:type="dxa"/>
        <w:tblLayout w:type="fixed"/>
        <w:tblCellMar>
          <w:top w:w="28" w:type="dxa"/>
          <w:left w:w="28" w:type="dxa"/>
          <w:bottom w:w="28" w:type="dxa"/>
          <w:right w:w="28" w:type="dxa"/>
        </w:tblCellMar>
      </w:tblPr>
      <w:tblGrid>
        <w:gridCol w:w="3241"/>
        <w:gridCol w:w="146"/>
        <w:gridCol w:w="211"/>
        <w:gridCol w:w="571"/>
        <w:gridCol w:w="16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i/>
          <w:color w:val="000000"/>
          <w:sz w:val="20"/>
        </w:rPr>
        <w:t>Revolving Credit Agreement</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December 29, 2020, Orion entered into a $25 million Loan and Security Agreement with Bank of America, N.A., as lender (as amended, the “Credit Agreement”). The Credit Agreement provides for a $25.0 million revolving credit facility (the “Credit Facility”) that matures on June 30, 2027. Borrowings under the Credit Facility are subject to a borrowing base requirement based on eligible receivables, inventory and cash. As of June 30, 2025, the borrowing base of the Credit Facility supported approximately $11.5 million of availability, with $6.2 million of remaining availability net of $5.3 million borrowed.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Orion's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Secured Overnight Financing Rate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Effective November 4, 2022, Orion, with Bank of America, N.A. as lender, executed Amendment No. 1 to its Credit Agreement ("Amendment No. 1"). The primary purpose of Amendment No. 1 was to include the assets of the acquired subsidiaries, Stay-Lite Lighting, Inc. ("Stay-Lite") and Voltrek, as secured collateral under the Credit Agreement. Accordingly, eligible assets of Stay-Lite and Voltrek will be included in the borrowing base calculation for the purpose of establishing the monthly borrowing availability under the Credit Agreement. Amendment No. 1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April 22, 2024, the Company, with Bank of America, N.A. as lender, executed Amendment No. 2 to its Credit Agreement (“Amendment No. 2”). The primary purpose of Amendment No. 2 was to add a $3.525 million mortgage loan facility to the Credit Agreement secured by the Company’s office headquarters property in Manitowoc, Wisconsin. Amendment No. 2 also broadened the definition of receivables to encompass government receivables as being eligible to be included in the Company’s borrowing base calculation for the purpose of establishing the Company’s monthly borrowing availability under the Credit Agreement. Quarterly installments of $88,125 are due on the first day of each fiscal quarter beginning October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October 30, 2024, the Company, with Bank of America, N.A. as lender, executed Amendment No. 3 ("Amendment No. 3") to its Credit Agreement. The primary purpose of Amendment No. 3 was to extend the maturity date of the Credit Facility from December 29, 2025 to June 30, 2027.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Orion was in compliance with all debt covenants.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Voltrek Earn-Out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initial purchase price in the Voltrek Acquisition consisted of $5.0 million cash and $1.0 million of common stock. We also paid $3.0 million in initial earn-out payments based on Voltrek's financial performance in fiscal 2023. We may owe additional material earn-out payments based on Voltrek's financial performance in fiscal 2025. We have currently accrued an estimated liability of approximately $3.3 million for such remaining earn-out payments.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One June 23, 2025, we entered into the Term Sheet with respect to our remaining earn-out obligations owed to Final Frontier pursuant to the Voltrek Acquisition, and on July 31, 2025, we entered into the Term Sheet Amendment. Pursuant to the Term Sheet and Term Sheet Amendment, we agreed to pay Final Frontier $875,000 in full and final payment of our fiscal 2024 Voltrek Acquisition earn-out obligations as follows: $500,000 was paid on August 1, 2025 and the remaining $375,000 will be paid on September 3, 2025. We also agreed with Final Frontier to submit the final determination of our fiscal 2025 and aggregate fiscal 2023 through fiscal 2025 Voltrek Acquisition earn-out obligations to binding arbitration if not otherwise mutually agreed by the parties. We agreed to pay to Final Frontier the finally determined remaining Voltrek Acquisition earn-out amount as follows: (i) $1.0 million in our common stock was issued on July 16, 2025, and (ii) the remaining amount will be paid pursuant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anticipated Senior Subordinated Note. We agreed to pay monthly principal payments to Final Frontier on the anticipated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anticipated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final Voltrek Acquisition earn-out amount determined to be owed by us could be in excess of our current accrued liability for such earn-out amount and could materially adversely affect our future liquidity.</w:t>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3" w:name="note_12___income_taxes"/>
      <w:bookmarkEnd w:id="23"/>
      <w:r>
        <w:rPr>
          <w:rFonts w:ascii="Times New Roman" w:hAnsi="Times New Roman"/>
          <w:b/>
          <w:color w:val="000000"/>
          <w:sz w:val="20"/>
        </w:rPr>
        <w:t>NOTE 13 — INCOME TAXES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income tax provision was determined by applying an estimated annual effective tax rate, based upon the facts and circumstances known, to book loss before income tax, adjusting for discrete items. Orion’s actual effective tax rate is adjusted each interim period, as appropriate, for changes in facts and circumstances. For the three months ended June 30, 2025 and 2024, Orion recorded income tax expense of $13 thousand and $21 thousand, respectively, using this methodology.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March 31, 2025,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Orion’s balance of gross unrecognized tax benefits was approximately $0.3 million, all of which would reduce Orion’s effective tax rate if recognized.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classified the amounts recorded for uncertain tax benefits in the Condensed Consolidated Balance Sheets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pStyle w:val="TextBody"/>
        <w:bidi w:val="0"/>
        <w:spacing w:before="280" w:after="283"/>
        <w:jc w:val="both"/>
        <w:rPr>
          <w:rFonts w:ascii="Times New Roman" w:hAnsi="Times New Roman"/>
          <w:sz w:val="20"/>
        </w:rPr>
      </w:pPr>
      <w:bookmarkStart w:id="24" w:name="note_13___commitments_and_contingencies"/>
      <w:bookmarkEnd w:id="24"/>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5" w:name="note_14___shareholders__equity"/>
      <w:bookmarkEnd w:id="25"/>
      <w:r>
        <w:rPr>
          <w:rFonts w:ascii="Times New Roman" w:hAnsi="Times New Roman"/>
          <w:b/>
          <w:color w:val="000000"/>
          <w:sz w:val="20"/>
        </w:rPr>
        <w:t>NOTE 15 — SHAREHOLDERS’ EQUITY</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August 2010, Orion’s Board of Directors approved a non-compensatory employee stock purchase plan, or “ESPP”. In the three months ended June 30, 2025, Orion issued 250 shares under the ESPP plan at a closing market price of $0.60. In the three months ended June 30, 2024, Orion issued 459 shares under the ESPP plan at a closing market price of $1.11.</w:t>
      </w:r>
    </w:p>
    <w:p>
      <w:pPr>
        <w:pStyle w:val="TextBody"/>
        <w:bidi w:val="0"/>
        <w:spacing w:before="100" w:after="283"/>
        <w:jc w:val="both"/>
        <w:rPr>
          <w:rFonts w:ascii="Times New Roman" w:hAnsi="Times New Roman"/>
          <w:b/>
          <w:i/>
          <w:color w:val="000000"/>
          <w:sz w:val="20"/>
        </w:rPr>
      </w:pPr>
      <w:r>
        <w:rPr>
          <w:rFonts w:ascii="Times New Roman" w:hAnsi="Times New Roman"/>
          <w:b/>
          <w:i/>
          <w:color w:val="000000"/>
          <w:sz w:val="20"/>
        </w:rPr>
        <w:t>Sale of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subject to regulatory limitations.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In March 2025, the ATM was terminated.</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Voltrek Earn-Out Issuance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Term Sheet, Orion issued to Final Frontier $1.0 million in our common stock on July 16, 2025. Additionally, the remaining amount of the finally determined remaining earn-out amount will be paid pursuant to the anticipated Senior Subordinated Note. Orion has the right to pay up to 20% of the remaining outstanding earn-out amount at maturity in shares of its common stock. Refer to Note 12 above for a description of the Term Sheet.</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16 — RESTRICTED SHARES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At Orion’s 2023 annual meeting of shareholders, Orion’s shareholders approved the Orion Energy Systems, Inc. 2016 Omnibus Incentive Plan, as amended and restated (the “Amended 2016 Plan”). The Amended 2016 Plan increased the number of shares of Orion’s common stock available for issuance under the Amended 2016 Plan from 3,500,000 shares to 6,000,000 shares (an increase of 2,500,000 shares); added a minimum vesting period for all awards granted under the Amended 2016 Plan (with limited exceptions); and added a specific prohibition on the payment of dividends and dividend equivalents on unvested awards.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Amended 2016 Plan also permits accelerated vesting in the event of certain changes of control of Orion as well as under other special circumstances. Certain non-employee directors have from time to time elected to receive stock awards in lieu of cash compensation pursuant to elections made under Orion’s non-employee director compensation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amounts of Orion's consolidated stock-based compensation were recorded (dollars in thousands):</w:t>
      </w:r>
    </w:p>
    <w:p>
      <w:pPr>
        <w:pStyle w:val="TextBody"/>
        <w:bidi w:val="0"/>
        <w:jc w:val="both"/>
        <w:rPr/>
      </w:pPr>
      <w:r>
        <w:rPr/>
        <w:t> </w:t>
      </w:r>
    </w:p>
    <w:tbl>
      <w:tblPr>
        <w:tblW w:w="4836" w:type="dxa"/>
        <w:jc w:val="left"/>
        <w:tblInd w:w="0" w:type="dxa"/>
        <w:tblLayout w:type="fixed"/>
        <w:tblCellMar>
          <w:top w:w="28" w:type="dxa"/>
          <w:left w:w="28" w:type="dxa"/>
          <w:bottom w:w="28" w:type="dxa"/>
          <w:right w:w="28" w:type="dxa"/>
        </w:tblCellMar>
      </w:tblPr>
      <w:tblGrid>
        <w:gridCol w:w="2311"/>
        <w:gridCol w:w="146"/>
        <w:gridCol w:w="297"/>
        <w:gridCol w:w="592"/>
        <w:gridCol w:w="205"/>
        <w:gridCol w:w="205"/>
        <w:gridCol w:w="297"/>
        <w:gridCol w:w="59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with respect to performance-vesting restricted stock and time vesting-restricted stock activity:</w:t>
      </w:r>
    </w:p>
    <w:p>
      <w:pPr>
        <w:pStyle w:val="TextBody"/>
        <w:bidi w:val="0"/>
        <w:jc w:val="both"/>
        <w:rPr/>
      </w:pPr>
      <w:r>
        <w:rPr/>
        <w:t> </w:t>
      </w:r>
    </w:p>
    <w:tbl>
      <w:tblPr>
        <w:tblW w:w="8493" w:type="dxa"/>
        <w:jc w:val="left"/>
        <w:tblInd w:w="0" w:type="dxa"/>
        <w:tblLayout w:type="fixed"/>
        <w:tblCellMar>
          <w:top w:w="28" w:type="dxa"/>
          <w:left w:w="28" w:type="dxa"/>
          <w:bottom w:w="28" w:type="dxa"/>
          <w:right w:w="28" w:type="dxa"/>
        </w:tblCellMar>
      </w:tblPr>
      <w:tblGrid>
        <w:gridCol w:w="3046"/>
        <w:gridCol w:w="146"/>
        <w:gridCol w:w="146"/>
        <w:gridCol w:w="931"/>
        <w:gridCol w:w="166"/>
        <w:gridCol w:w="146"/>
        <w:gridCol w:w="317"/>
        <w:gridCol w:w="703"/>
        <w:gridCol w:w="146"/>
        <w:gridCol w:w="146"/>
        <w:gridCol w:w="146"/>
        <w:gridCol w:w="931"/>
        <w:gridCol w:w="166"/>
        <w:gridCol w:w="146"/>
        <w:gridCol w:w="317"/>
        <w:gridCol w:w="703"/>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2025, the amount of deferred stock-based compensation expense to be recognized, over a remaining period of 1.1 years, was approximately $1.2 million.</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17 — SEGMENT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The Company's CODM focuses primarily on each segment's ability to generate sufficient revenues and manage cost of services along with operating expenses. As such, the CODM measures operating performance at the segment level based on operating income or loss, including evaluation of budget to actual variances. Orion evaluates and reports on the business using three segments: lighting segment, maintenance segment and electric vehicle charging segment (“EV segment”).</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energy service companies and contractors.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maintenance segment provides retailers, distributors and other businesses with maintenance, repair and replacement services for the lighting and related electrical components deployed in their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EV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EV segment offers leading electric vehicle charging expertise, sells and installs sourced electric vehicle charging stations with related software subscriptions and renewals and provides EV turnkey installation solutions with ongoing support to all commercial verticals.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Corporate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Corporate and other is comprised of operating expenses not allocated to Orion’s segments and adjustments to reconcile to consolidated results.</w:t>
      </w:r>
    </w:p>
    <w:p>
      <w:pPr>
        <w:pStyle w:val="TextBody"/>
        <w:bidi w:val="0"/>
        <w:jc w:val="both"/>
        <w:rPr/>
      </w:pPr>
      <w:r>
        <w:rPr/>
        <w:t> </w:t>
      </w:r>
    </w:p>
    <w:tbl>
      <w:tblPr>
        <w:tblW w:w="10063" w:type="dxa"/>
        <w:jc w:val="left"/>
        <w:tblInd w:w="0" w:type="dxa"/>
        <w:tblLayout w:type="fixed"/>
        <w:tblCellMar>
          <w:top w:w="28" w:type="dxa"/>
          <w:left w:w="28" w:type="dxa"/>
          <w:bottom w:w="28" w:type="dxa"/>
          <w:right w:w="28" w:type="dxa"/>
        </w:tblCellMar>
      </w:tblPr>
      <w:tblGrid>
        <w:gridCol w:w="3631"/>
        <w:gridCol w:w="211"/>
        <w:gridCol w:w="676"/>
        <w:gridCol w:w="146"/>
        <w:gridCol w:w="324"/>
        <w:gridCol w:w="877"/>
        <w:gridCol w:w="146"/>
        <w:gridCol w:w="211"/>
        <w:gridCol w:w="571"/>
        <w:gridCol w:w="166"/>
        <w:gridCol w:w="435"/>
        <w:gridCol w:w="1305"/>
        <w:gridCol w:w="166"/>
        <w:gridCol w:w="211"/>
        <w:gridCol w:w="676"/>
        <w:gridCol w:w="311"/>
      </w:tblGrid>
      <w:tr>
        <w:trPr/>
        <w:tc>
          <w:tcPr>
            <w:tcW w:w="3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Three Months Ended June 30, 2025</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&amp;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 service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issuance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t> </w:t>
      </w:r>
    </w:p>
    <w:tbl>
      <w:tblPr>
        <w:tblW w:w="10083" w:type="dxa"/>
        <w:jc w:val="left"/>
        <w:tblInd w:w="0" w:type="dxa"/>
        <w:tblLayout w:type="fixed"/>
        <w:tblCellMar>
          <w:top w:w="28" w:type="dxa"/>
          <w:left w:w="28" w:type="dxa"/>
          <w:bottom w:w="28" w:type="dxa"/>
          <w:right w:w="28" w:type="dxa"/>
        </w:tblCellMar>
      </w:tblPr>
      <w:tblGrid>
        <w:gridCol w:w="3631"/>
        <w:gridCol w:w="211"/>
        <w:gridCol w:w="676"/>
        <w:gridCol w:w="166"/>
        <w:gridCol w:w="324"/>
        <w:gridCol w:w="877"/>
        <w:gridCol w:w="166"/>
        <w:gridCol w:w="211"/>
        <w:gridCol w:w="571"/>
        <w:gridCol w:w="166"/>
        <w:gridCol w:w="435"/>
        <w:gridCol w:w="1305"/>
        <w:gridCol w:w="166"/>
        <w:gridCol w:w="211"/>
        <w:gridCol w:w="676"/>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Three Months Ended June 30, 2024</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&amp;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 product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 service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sales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tbl>
      <w:tblPr>
        <w:tblW w:w="8137" w:type="dxa"/>
        <w:jc w:val="left"/>
        <w:tblInd w:w="0" w:type="dxa"/>
        <w:tblLayout w:type="fixed"/>
        <w:tblCellMar>
          <w:top w:w="28" w:type="dxa"/>
          <w:left w:w="28" w:type="dxa"/>
          <w:bottom w:w="28" w:type="dxa"/>
          <w:right w:w="28" w:type="dxa"/>
        </w:tblCellMar>
      </w:tblPr>
      <w:tblGrid>
        <w:gridCol w:w="1996"/>
        <w:gridCol w:w="146"/>
        <w:gridCol w:w="330"/>
        <w:gridCol w:w="660"/>
        <w:gridCol w:w="228"/>
        <w:gridCol w:w="228"/>
        <w:gridCol w:w="330"/>
        <w:gridCol w:w="660"/>
        <w:gridCol w:w="228"/>
        <w:gridCol w:w="228"/>
        <w:gridCol w:w="453"/>
        <w:gridCol w:w="680"/>
        <w:gridCol w:w="313"/>
        <w:gridCol w:w="313"/>
        <w:gridCol w:w="453"/>
        <w:gridCol w:w="680"/>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Depreciation and Amortization</w:t>
            </w:r>
          </w:p>
        </w:tc>
        <w:tc>
          <w:tcPr>
            <w:tcW w:w="28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tbl>
      <w:tblPr>
        <w:tblW w:w="5010" w:type="dxa"/>
        <w:jc w:val="left"/>
        <w:tblInd w:w="0" w:type="dxa"/>
        <w:tblLayout w:type="fixed"/>
        <w:tblCellMar>
          <w:top w:w="28" w:type="dxa"/>
          <w:left w:w="28" w:type="dxa"/>
          <w:bottom w:w="28" w:type="dxa"/>
          <w:right w:w="28" w:type="dxa"/>
        </w:tblCellMar>
      </w:tblPr>
      <w:tblGrid>
        <w:gridCol w:w="1996"/>
        <w:gridCol w:w="146"/>
        <w:gridCol w:w="267"/>
        <w:gridCol w:w="858"/>
        <w:gridCol w:w="146"/>
        <w:gridCol w:w="146"/>
        <w:gridCol w:w="299"/>
        <w:gridCol w:w="96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18 — RESTRUCTURING EXPENSE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part of Orion's restructuring effort in fiscal 2025, we entered into certain retention bonus agreements with certain key employees. The remainder of those retention bonuses were paid in the third quarter of fiscal 2025 and are not anticipated to recur. In addition, an inventory write-off was recognized in the first quarter of fiscal 2025 for inventory related to a customer Orion no longer does business with due to the restructuring, along with a lease breakage fee that occurred in the second quarter of fiscal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2025 due to the closing of the Pewaukee office. Orion's restructuring expense for the three months ended June 30, 2025 and 2024 is reflected within its consolidated statement of operations as follows (dollars in thousands):</w:t>
      </w:r>
    </w:p>
    <w:p>
      <w:pPr>
        <w:pStyle w:val="TextBody"/>
        <w:bidi w:val="0"/>
        <w:jc w:val="both"/>
        <w:rPr/>
      </w:pPr>
      <w:r>
        <w:rPr/>
        <w:t> </w:t>
      </w:r>
    </w:p>
    <w:tbl>
      <w:tblPr>
        <w:tblW w:w="4835" w:type="dxa"/>
        <w:jc w:val="left"/>
        <w:tblInd w:w="0" w:type="dxa"/>
        <w:tblLayout w:type="fixed"/>
        <w:tblCellMar>
          <w:top w:w="28" w:type="dxa"/>
          <w:left w:w="28" w:type="dxa"/>
          <w:bottom w:w="28" w:type="dxa"/>
          <w:right w:w="28" w:type="dxa"/>
        </w:tblCellMar>
      </w:tblPr>
      <w:tblGrid>
        <w:gridCol w:w="2311"/>
        <w:gridCol w:w="146"/>
        <w:gridCol w:w="312"/>
        <w:gridCol w:w="511"/>
        <w:gridCol w:w="215"/>
        <w:gridCol w:w="215"/>
        <w:gridCol w:w="312"/>
        <w:gridCol w:w="62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Total restructuring expense by segment was recorded as follows (dollars in thousands):</w:t>
      </w:r>
    </w:p>
    <w:tbl>
      <w:tblPr>
        <w:tblW w:w="4395" w:type="dxa"/>
        <w:jc w:val="left"/>
        <w:tblInd w:w="0" w:type="dxa"/>
        <w:tblLayout w:type="fixed"/>
        <w:tblCellMar>
          <w:top w:w="28" w:type="dxa"/>
          <w:left w:w="28" w:type="dxa"/>
          <w:bottom w:w="28" w:type="dxa"/>
          <w:right w:w="28" w:type="dxa"/>
        </w:tblCellMar>
      </w:tblPr>
      <w:tblGrid>
        <w:gridCol w:w="1771"/>
        <w:gridCol w:w="146"/>
        <w:gridCol w:w="312"/>
        <w:gridCol w:w="511"/>
        <w:gridCol w:w="215"/>
        <w:gridCol w:w="215"/>
        <w:gridCol w:w="312"/>
        <w:gridCol w:w="622"/>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19 — SUBSEQUENT EVENTS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23, 2025, we entered into the Term Sheet with respect to our remaining earn-out obligations owed to Final Frontier pursuant to the Voltrek Acquisition, and on July 31, 2025, we entered into the Term Sheet Amendment. Pursuant to the Term Sheet Amendment, we agreed to pay Final Frontier the previously agreed upon $875,000 payment in full and final payment of our fiscal 2024 Voltrek Acquisition earn-out obligation as follows: $500,000 was paid on August 1, 2025 and the remaining $375,000 will be paid on September 3,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4, 2025, we received a letter from Final Frontier disagreeing with our calculation of the Voltrek Acquisition earn out payment for fiscal 2025 and the cumulative Voltrek Acquisition earn out payment for the three-year period ended March 31, 2025. We are in the process of assessing the letter.</w:t>
      </w:r>
    </w:p>
    <w:p>
      <w:pPr>
        <w:pStyle w:val="TextBody"/>
        <w:bidi w:val="0"/>
        <w:jc w:val="left"/>
        <w:rPr/>
      </w:pPr>
      <w:r>
        <w:rPr/>
        <w:t> </w:t>
      </w:r>
    </w:p>
    <w:p>
      <w:pPr>
        <w:pStyle w:val="TextBody"/>
        <w:bidi w:val="0"/>
        <w:spacing w:before="2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item_2__management_s_discussion_and_anal"/>
      <w:bookmarkEnd w:id="26"/>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2025.</w:t>
      </w:r>
    </w:p>
    <w:p>
      <w:pPr>
        <w:pStyle w:val="TextBody"/>
        <w:bidi w:val="0"/>
        <w:spacing w:before="280" w:after="283"/>
        <w:jc w:val="both"/>
        <w:rPr>
          <w:rFonts w:ascii="Times New Roman" w:hAnsi="Times New Roman"/>
          <w:b/>
          <w:color w:val="000000"/>
          <w:sz w:val="20"/>
        </w:rPr>
      </w:pPr>
      <w:bookmarkStart w:id="27" w:name="cautionary_note_regarding_forward_lookin"/>
      <w:bookmarkEnd w:id="27"/>
      <w:r>
        <w:rPr>
          <w:rFonts w:ascii="Times New Roman" w:hAnsi="Times New Roman"/>
          <w:b/>
          <w:color w:val="000000"/>
          <w:sz w:val="20"/>
        </w:rPr>
        <w:t>Cautionary Note Regarding Forward-Looking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2025.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pStyle w:val="TextBody"/>
        <w:bidi w:val="0"/>
        <w:spacing w:before="280" w:after="283"/>
        <w:jc w:val="both"/>
        <w:rPr>
          <w:rFonts w:ascii="Times New Roman" w:hAnsi="Times New Roman"/>
          <w:b/>
          <w:color w:val="000000"/>
          <w:sz w:val="20"/>
        </w:rPr>
      </w:pPr>
      <w:bookmarkStart w:id="28" w:name="overview"/>
      <w:bookmarkEnd w:id="28"/>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segments: commercial office and retail, area lighting, industrial applications and government, although we do sell and install products into other markets. Our services consist of turnkey installation and system maintenance. Virtually all of our sales occur within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principal lighting customers include large national account end-users, electrical distributors, electrical contractors and energy service companies (“ESCOs”). Currently, a significant amount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on January 1, 2022, which further expanded our maintenance services capabilities. On October 5, 2022, we acquired Voltrek, LLC ("Voltrek"), which leveraged our project management and maintenance expertise in the EV sector.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 market for LED lighting products and related controls continues to grow. Due to their size and flexibility in application, we also believe that LED lighting systems can address opportunities for retrofit applications that cannot be satisfied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other lighting technologies. Our LED technologies have become the primary component of our revenue as we continue to strive to be a leader in the LED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see opportunity to cross-sell our three platforms of lighting, maintenance services and EV charging installation systems to our commercial and industrial customer base. We are pursuing opportunities to cross-sell to direct customers, as well as through select partners. We also see opportunity for further integration of our service capabilities to expand our geographic reach and we intend to pursue growth organically.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our multi-year maintenance service contracts, we generally do not have long-term contracts with our customers for product or turnkey services that provide us with recurring annual revenue. We typically generate substantially all of our revenue from sales of lighting and control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typically sell our lighting systems in replacement of our customers’ lighting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fiscal year ends on March 31. We refer to our current fiscal year which ends on March 31, 2026 as "fiscal 2026". We refer to our most recently completed fiscal year, which ended on March 31, 2025, as “fiscal 2025”, and our prior fiscal year which ended on March 31, 2024 as "fiscal 2024". Our fiscal first quarter of each fiscal year ends on June 30, our fiscal second quarter ends on September 30, our fiscal third quarter ends on December 31, and our fiscal fourth quarter ends on March 31.</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Replacement of our CEO</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April 14, 2025, Michael Jenkins' employment was terminated by Orion, with our Board appointing Sally A. Washlow as our new Chief Executive Officer, effective as of Mr. Jenkins' termination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result of the termination, Mr. Jenkins received approximately $633 thousand in severance and the acceleration of approximately 322 thousand restricted stock awards. Mr. Jenkins forfeited approximately 646 thousand performance shares along with approximately $170 thousand in tandem cash awards. Additionally, Mr. Jenkins forfeited restricted stock awards not vesting within two years from the termination date, which was a forfeiture of approximately 78 thousand shares.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April 14, 2025, we entered into an Executive Employment and Severance Agreement with Ms. Washlow (the "Employment Agreement"). The Employment Agreement provides Ms. Washlow with the following compensation arrangements: (i) an annual base salary of $382,500, provided that if our other named executive officers' base salaries are returned to their pre-reduction levels, then Ms. Washlow's base salary will also be similarly adjusted up to $425,000; (ii) a target annual bonus of 100% (threshold 80% and maximum of 200%) of her base salary upon our relative achievement of executive incentive plan performance targets for each fiscal year; (iii) a special bonus of $100,000 if we achieve a stretch goal of $100 million in revenue for fiscal 2026; (iv) a cash signing bonus of $500,000, approximately $300,000 of was required to be used by Ms. Washlow to purchase shares of our common stock directly from us; (v) a pre-change of control severance multiplier of 1.5x and a post-change of control severance multiplier of 2.0x; (vi) an initial equity grant consisting of a non-qualified stock option exercisable for a total of 500,000 shares of our common stock; and (vii) certain other benefits and perquisites. On May 29,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and Ms. Washlow mutually agreed to defer Ms. Washlow's cash signing bonus and related direct purchase of common stock for up to one year, with the timing of such cash signing bonus and related direct purchase of our common stock to be reviewed quarterly and mutually agreed upon by the compensation committee and Ms. Washlow.</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Voltrek Earn-Out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Effective on October 5, 2022, we acquired all of the outstanding membership interest of Voltrek, a leading electric vehicle charging company that provides turnkey installation solutions with ongoing support to all commercial verticals.The initial purchase price consisted of $5.0 million cash and $1.0 million of common stock. We also paid $3.0 million in initial earn-out payments based on Voltrek's financial performance in fiscal 2023. We may owe additional material earn-out payments based on Voltrek's financial performance in fiscal 2025. We have currently accrued an estimated liability of approximately $3.3 million for such remaining earn-out payments.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23, 2025, we entered into a binding term sheet (the "Term Sheet") with respect to our remaining earn-out obligations owed to Final Frontier pursuant to our October 5, 2022 acquisition of Voltrek, and on July 31, 2025, we entered into an amendment to the Term Sheet (the "Term Sheet Amendment"). Pursuant to the Term Sheet and Term Sheet Amendment, we agreed to pay Final Frontier $875,000 in full and final payment of our fiscal 2024 Voltrek acquisition earn-out obligations as follows: $500,000 was paid on August 1, 2025 and the remaining $375,000 will be paid on September 3, 2025. We also agreed with Final Frontier to submit the final determination of our fiscal 2025 and aggregate fiscal 2023 through fiscal 2025 earn-out obligations to binding arbitration if not otherwise mutually agreed by the parties. We agreed to pay Final Frontier the finally determined remaining earn-out amount as follows; (i) $1.0 million in our common stock was issued on July 16, 2025 and (ii) the remaining amount will be paid pursuant to the anticipated Senior Subordinated Note. We agreed to pay monthly principal payments to Final Frontier on the anticipated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anticipated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final earn-out amount determined to be owed by us could be in excess of our current accrued liability for such earn-out amount and could materially adversely affect our future liquidity.</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Replacing Reduced Revenue from Primary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fiscal 2025, 2024, and 2023, one customer accounted for 24.3%, 25.2% and 16.2% of our total revenue, respectively. In fiscal 2026, we expect that our customer concentration will continue at the approximate range experienced in fiscal 2025 and 2024. We continue to attempt to diversify our customer base by expanding our reach to national accounts, ESCOs, the agent driven distribution channel, lighting maintenance customers and the EV market.</w:t>
      </w:r>
    </w:p>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Three Months Ended June 30, 2025 versus Three Months Ended June 30,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9079" w:type="dxa"/>
        <w:jc w:val="left"/>
        <w:tblInd w:w="0" w:type="dxa"/>
        <w:tblLayout w:type="fixed"/>
        <w:tblCellMar>
          <w:top w:w="28" w:type="dxa"/>
          <w:left w:w="28" w:type="dxa"/>
          <w:bottom w:w="28" w:type="dxa"/>
          <w:right w:w="28" w:type="dxa"/>
        </w:tblCellMar>
      </w:tblPr>
      <w:tblGrid>
        <w:gridCol w:w="3091"/>
        <w:gridCol w:w="146"/>
        <w:gridCol w:w="211"/>
        <w:gridCol w:w="676"/>
        <w:gridCol w:w="166"/>
        <w:gridCol w:w="146"/>
        <w:gridCol w:w="211"/>
        <w:gridCol w:w="676"/>
        <w:gridCol w:w="166"/>
        <w:gridCol w:w="146"/>
        <w:gridCol w:w="146"/>
        <w:gridCol w:w="526"/>
        <w:gridCol w:w="331"/>
        <w:gridCol w:w="146"/>
        <w:gridCol w:w="146"/>
        <w:gridCol w:w="575"/>
        <w:gridCol w:w="331"/>
        <w:gridCol w:w="146"/>
        <w:gridCol w:w="146"/>
        <w:gridCol w:w="575"/>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18"/>
        </w:rPr>
        <w:t>* NM - Not Meaningful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increased 5.8%, or $0.7 million, for the first quarter of fiscal 2026 versus the first quarter of fiscal 2025. Service revenue decreased 15.1%, or $1.1 million, for the first quarter of fiscal 2026 versus the first quarter of fiscal 2025. The resulting decrease in total revenue was due to decreased revenue in the EV segment because of lower volume. Cost of product revenue increased by 3.3%, or $0.3 million, in the first quarter of fiscal 2026 versus the comparable period in fiscal 2025. Cost of service revenue decreased by 31.3%, or $2.2 million, in the first quarter of fiscal 2026 versus the comparable period in fiscal 2025, primarily due to lower volume and the restructuring efforts made in fiscal 2025. Gross margin increased from 21.6% of revenue in the first quarter of fiscal 2025 to 30.1% in the first quarter of fiscal 2026, due primarily to increased margins in all three segments.</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5.3%, or $0.2 million, in the first quarter of fiscal 2026 compared to the first quarter of fiscal 2025. This comparative decrease was primarily due to decreased wages and benefits as a result of the restructuring that took place in fiscal 2025, which was partially offset by a one-time sign on bonus related to the hiring of Orion's new CEO.</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17.7%, or $0.5 million, in the first quarter of fiscal 2026 compared to the first quarter of fiscal 2025. This comparative decrease was primarily due to the decreased wages and benefits as a result of the restructuring that took place in fiscal 2025.</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21.2%, or $0.1 million, in the first quarter of fiscal 2026 compared to the first quarter of fiscal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9" w:name="engineered_systems_segment"/>
      <w:bookmarkEnd w:id="29"/>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p>
      <w:pPr>
        <w:pStyle w:val="TextBody"/>
        <w:bidi w:val="0"/>
        <w:jc w:val="left"/>
        <w:rPr/>
      </w:pPr>
      <w:r>
        <w:rPr/>
        <w:t> </w:t>
      </w:r>
    </w:p>
    <w:tbl>
      <w:tblPr>
        <w:tblW w:w="5423" w:type="dxa"/>
        <w:jc w:val="left"/>
        <w:tblInd w:w="0" w:type="dxa"/>
        <w:tblLayout w:type="fixed"/>
        <w:tblCellMar>
          <w:top w:w="28" w:type="dxa"/>
          <w:left w:w="28" w:type="dxa"/>
          <w:bottom w:w="28" w:type="dxa"/>
          <w:right w:w="28" w:type="dxa"/>
        </w:tblCellMar>
      </w:tblPr>
      <w:tblGrid>
        <w:gridCol w:w="1576"/>
        <w:gridCol w:w="146"/>
        <w:gridCol w:w="211"/>
        <w:gridCol w:w="676"/>
        <w:gridCol w:w="271"/>
        <w:gridCol w:w="146"/>
        <w:gridCol w:w="211"/>
        <w:gridCol w:w="676"/>
        <w:gridCol w:w="331"/>
        <w:gridCol w:w="146"/>
        <w:gridCol w:w="146"/>
        <w:gridCol w:w="571"/>
        <w:gridCol w:w="31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Lighting segment revenue in the first quarter of fiscal 2026 increased by 1.0%, or $0.1 million, compared to the first quarter of fiscal 2025. The increase in operating income in this segment was a result of increased production volume along with increased volumes from sourced goods, along with a decrease in cost of sales.</w:t>
      </w:r>
    </w:p>
    <w:p>
      <w:pPr>
        <w:pStyle w:val="TextBody"/>
        <w:bidi w:val="0"/>
        <w:spacing w:before="280" w:after="283"/>
        <w:jc w:val="both"/>
        <w:rPr>
          <w:rFonts w:ascii="Times New Roman" w:hAnsi="Times New Roman"/>
          <w:b/>
          <w:color w:val="000000"/>
          <w:sz w:val="20"/>
        </w:rPr>
      </w:pPr>
      <w:bookmarkStart w:id="30" w:name="distribution_services_segment"/>
      <w:bookmarkEnd w:id="30"/>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maintenance segment provides retailers, distributors and other businesses with maintenance, repair and replacement services for the lighting and related electrical components deployed in their facilities.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p>
      <w:pPr>
        <w:pStyle w:val="TextBody"/>
        <w:bidi w:val="0"/>
        <w:jc w:val="left"/>
        <w:rPr/>
      </w:pPr>
      <w:r>
        <w:rPr/>
        <w:t> </w:t>
      </w:r>
    </w:p>
    <w:tbl>
      <w:tblPr>
        <w:tblW w:w="569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571"/>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first quarter of fiscal 2026 increased by 20.2%, or $0.7 million, compared to the first quarter of fiscal 2025 primarily due to increased work orders from our major customer. Operating income in this segment increased as a result of an increase in revenues along with a decrease in operating expenses as a result of restructuring efforts in fiscal 2025.</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EV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Our EV segment offers leading electric vehicle charging expertise and provides EV turnkey installation solutions with ongoing support to all commercial verticals.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258" w:type="dxa"/>
        <w:jc w:val="left"/>
        <w:tblInd w:w="0" w:type="dxa"/>
        <w:tblLayout w:type="fixed"/>
        <w:tblCellMar>
          <w:top w:w="28" w:type="dxa"/>
          <w:left w:w="28" w:type="dxa"/>
          <w:bottom w:w="28" w:type="dxa"/>
          <w:right w:w="28" w:type="dxa"/>
        </w:tblCellMar>
      </w:tblPr>
      <w:tblGrid>
        <w:gridCol w:w="1546"/>
        <w:gridCol w:w="146"/>
        <w:gridCol w:w="211"/>
        <w:gridCol w:w="571"/>
        <w:gridCol w:w="331"/>
        <w:gridCol w:w="146"/>
        <w:gridCol w:w="211"/>
        <w:gridCol w:w="571"/>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EV segment revenue in the first quarter of fiscal 2026 decreased by 29.6%, or $1.1 million, compared to the first quarter of fiscal 2025. The decrease in revenue compared to the first quarter of fiscal 2025 was due to a lower revenue volume to municipalities. Operating loss increased $0.1 million in the first quarter of fiscal 2026 due to the decreased revenues mentioned above.</w:t>
      </w:r>
    </w:p>
    <w:p>
      <w:pPr>
        <w:pStyle w:val="TextBody"/>
        <w:bidi w:val="0"/>
        <w:spacing w:before="280" w:after="283"/>
        <w:jc w:val="left"/>
        <w:rPr>
          <w:rFonts w:ascii="Times New Roman" w:hAnsi="Times New Roman"/>
          <w:b/>
          <w:color w:val="000000"/>
          <w:sz w:val="20"/>
        </w:rPr>
      </w:pPr>
      <w:bookmarkStart w:id="31" w:name="liquidity_and_capital_resources"/>
      <w:bookmarkEnd w:id="31"/>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our existing cash and operating cash flow provide us with the financial flexibility needed to meet our capital requirements, including to fund our budgeted capital expenditures and working capital needs for at least one year from the date of this report, as well as our longer-term capital requirements for periods beyond at least one year from the date of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had approximately $3.6 million in cash and cash equivalents as of June 30, 2025, compared to $6.0 million at March 31, 2025. Our cash position decreased as a result of an operating loss along with a $1.8 million repayment of debt in the first quarter of fiscal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future liquidity needs and forecasted cash flows are dependent upon many factors, including our relative revenue, gross margins, cash management practices, cost containment,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cash flows for the three months ended June 30, 2025 and 2024 (in thousands):</w:t>
      </w:r>
    </w:p>
    <w:p>
      <w:pPr>
        <w:pStyle w:val="TextBody"/>
        <w:bidi w:val="0"/>
        <w:jc w:val="left"/>
        <w:rPr/>
      </w:pPr>
      <w:r>
        <w:rPr/>
        <w:t> </w:t>
      </w:r>
    </w:p>
    <w:tbl>
      <w:tblPr>
        <w:tblW w:w="6641" w:type="dxa"/>
        <w:jc w:val="left"/>
        <w:tblInd w:w="0" w:type="dxa"/>
        <w:tblLayout w:type="fixed"/>
        <w:tblCellMar>
          <w:top w:w="28" w:type="dxa"/>
          <w:left w:w="28" w:type="dxa"/>
          <w:bottom w:w="28" w:type="dxa"/>
          <w:right w:w="28" w:type="dxa"/>
        </w:tblCellMar>
      </w:tblPr>
      <w:tblGrid>
        <w:gridCol w:w="4021"/>
        <w:gridCol w:w="146"/>
        <w:gridCol w:w="239"/>
        <w:gridCol w:w="716"/>
        <w:gridCol w:w="188"/>
        <w:gridCol w:w="165"/>
        <w:gridCol w:w="239"/>
        <w:gridCol w:w="716"/>
        <w:gridCol w:w="2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Cash Flows Related to Operating Activities.</w:t>
      </w:r>
      <w:r>
        <w:rPr>
          <w:rFonts w:ascii="Times New Roman" w:hAnsi="Times New Roman"/>
          <w:color w:val="000000"/>
          <w:sz w:val="20"/>
        </w:rPr>
        <w:t xml:space="preserve"> Cash used in operating activities primarily consisted of net loss adjusted for certain non-cash items, including depreciation, amortization of intangible assets, stock-based compensation, amortization of debt issue costs, provisions for reserves, and the effect of changes in working capital and other activities.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three months of fiscal 2026 was $0.5 million and consisted of our net loss of $1.2 million adjusted for non-cash expense items and net cash provided in changes in operating assets of $0.7 million, the largest of which were inventories, depreciation, amortization, and prepaids, totaling $1.8 million, partially offset by a decrease in accounts payable and an increase in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three months of fiscal 2025 was $3.0 million and consisted of our net loss of $3.8 million adjusted for non-cash expense items and net cash provided by changes in operating assets of $0.6 million, the largest of which was a $3.9 million decrease in accounts payable, which was mostly offset by increases in accounts receivable and inventories.</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Investing Activities</w:t>
      </w:r>
      <w:r>
        <w:rPr>
          <w:rFonts w:ascii="Times New Roman" w:hAnsi="Times New Roman"/>
          <w:color w:val="000000"/>
          <w:sz w:val="20"/>
        </w:rPr>
        <w:t>. Cash used in investing activities of $55 thousand in the first three months of fiscal 2026 consisted primarily of purchases of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investing activities of $24 thousand in the first three months of fiscal 2025 consisted primarily of purchases of property and equipment, net of proceeds.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Financing Activities.</w:t>
      </w:r>
      <w:r>
        <w:rPr>
          <w:rFonts w:ascii="Times New Roman" w:hAnsi="Times New Roman"/>
          <w:color w:val="000000"/>
          <w:sz w:val="20"/>
        </w:rPr>
        <w:t xml:space="preserve"> Cash used in financing activities of $1.8 million in the first three months of fiscal 2026 was primarily due to payments on our revolving credit facility and long-term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provided by financing activities of $3.5 million in the first quarter of fiscal 2025 was primarily due to the term loan discussed in Note 12 above, which was partially offset by payments on long-term debt.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Working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net working capital as of June 30, 2025 was $6.1 million, consisting of $32.7 million in current assets and $26.6 million in current liabilities. Our net working capital as of March 31, 2025 was $8.7 million, consisting of $35.5 million in current assets and $26.8 million in current liabilities.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payables and unbilled revenue may increase to the extent our revenue and order levels increase.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Revolving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credit agreement provides for a $25.0 million revolving credit facility (the “Credit Facility”) that matures on June 30, 2027. Borrowings under the Credit Facility are subject to a borrowing base requirement based on eligible receivables, inventory and cash. As of June 30, 2025, the borrowing base supported approximately $11.5 million of availability under the Credit Facility, with $5.3 million drawn against that availability. As of June 30, 2024, the borrowing base supported approximately $18.3 million of availability under the Credit Facility, with $10.0 million drawn against that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credit agreement includes a springing minimum fixed cost coverage ratio of 1.0 to 1.0 when excess availability under the Credit Facility falls below $4.0 million of the committed facility. Currently, the required springing minimum fixed cost coverage ratio is not required. </w:t>
      </w:r>
    </w:p>
    <w:p>
      <w:pPr>
        <w:pStyle w:val="TextBody"/>
        <w:bidi w:val="0"/>
        <w:spacing w:before="280" w:after="283"/>
        <w:jc w:val="left"/>
        <w:rPr>
          <w:rFonts w:ascii="Times New Roman" w:hAnsi="Times New Roman"/>
          <w:i/>
          <w:color w:val="000000"/>
          <w:sz w:val="20"/>
        </w:rPr>
      </w:pPr>
      <w:r>
        <w:rPr>
          <w:rFonts w:ascii="Times New Roman" w:hAnsi="Times New Roman"/>
          <w:i/>
          <w:color w:val="000000"/>
          <w:sz w:val="20"/>
        </w:rPr>
        <w:t>Voltrek Earn-Out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on October 5, 2022, we acquired all of the outstanding membership interests of Voltrek, a leading electric vehicle charging company that provides turnkey installation solutions with ongoing support to all commercial verticals. The initial purchase price consisted of $5.0 million cash and $1.0 million of common stock. We also paid $3.0 million in initial earn-out payments based on Voltrek’s financial performance in fiscal 2023. We may owe additional material earn-out payments based on Voltrek’s financial performance in fiscal 2025. We have currently accrued an estimated liability of approximately $3.3 million for such remaining earn-out payments.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23, 2025, we entered into the Term Sheet with respect to our remaining earn-out obligations owed to Final Frontier pursuant to our October 5, 2022 acquisition of Voltrek, and on July 31, 2025, we entered into the Term Sheet Amendment. Pursuant to the Term Sheet and the Term Sheet Amendment, we agreed to pay Final Frontier $875,000 in full and final payment of our fiscal 2024 Voltrek acquisition earn-out obligations as follows: $500,000 was paid on August 1, 2025 and the remaining $375,000 will be paid on September 3, 2025. We also agreed with Final Frontier to submit the final determination of our fiscal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2025 and aggregate fiscal 2023 through fiscal 2025 earn-out obligations to binding arbitration if not otherwise mutually agreed by the parties. We agreed to pay to Final Frontier the finally determined remaining earn-out amount as follows: (i) $1.0 million in our common stock was issued on July 16, 2025 and (ii) the remaining amount pursuant to the anticipated Senior Subordinated Note. We agreed to pay monthly principal payments to Final Frontier on the anticipated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anticipated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final earn-out amount determined to be owed by us could be in excess of our current accrued liability for such earn-out amount and could materially adversely affect our future liquidity.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Backlog represents the amount of revenue that we expect to realize in the future as a result of firm, committed purchase orders. Backlog totaled $19.0 million and $17.3 million as of June 30, 2025 and March 31, 2025, respectively. We generally expect our backlog to be recognized as revenue within one year. Backlog does not include any amounts for contracted maintenance services.</w:t>
      </w:r>
    </w:p>
    <w:p>
      <w:pPr>
        <w:pStyle w:val="TextBody"/>
        <w:bidi w:val="0"/>
        <w:spacing w:before="280" w:after="283"/>
        <w:jc w:val="left"/>
        <w:rPr>
          <w:rFonts w:ascii="Times New Roman" w:hAnsi="Times New Roman"/>
          <w:b/>
          <w:color w:val="000000"/>
          <w:sz w:val="20"/>
        </w:rPr>
      </w:pPr>
      <w:bookmarkStart w:id="32" w:name="off_balance_sheet_arrangements"/>
      <w:bookmarkEnd w:id="32"/>
      <w:r>
        <w:rPr>
          <w:rFonts w:ascii="Times New Roman" w:hAnsi="Times New Roman"/>
          <w:b/>
          <w:color w:val="000000"/>
          <w:sz w:val="20"/>
        </w:rPr>
        <w:t>Off-Balance Sheet Arrangements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no off-balance sheet arrangements.</w:t>
      </w:r>
    </w:p>
    <w:p>
      <w:pPr>
        <w:pStyle w:val="TextBody"/>
        <w:bidi w:val="0"/>
        <w:spacing w:before="280" w:after="283"/>
        <w:jc w:val="left"/>
        <w:rPr>
          <w:rFonts w:ascii="Times New Roman" w:hAnsi="Times New Roman"/>
          <w:b/>
          <w:color w:val="000000"/>
          <w:sz w:val="20"/>
        </w:rPr>
      </w:pPr>
      <w:bookmarkStart w:id="33" w:name="critical_accounting_policies_and_estimat"/>
      <w:bookmarkEnd w:id="33"/>
      <w:r>
        <w:rPr>
          <w:rFonts w:ascii="Times New Roman" w:hAnsi="Times New Roman"/>
          <w:b/>
          <w:color w:val="000000"/>
          <w:sz w:val="20"/>
        </w:rPr>
        <w:t>Critical Accounting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estimates since March 31, 2025. For a full discussion of these estimates and policies, see "Critical Accounting Estimates" within "Management's Discussion and Analysis of Financial Condition and Results of Operations" in our 2025 Annual Report on Form 10-K.</w:t>
      </w:r>
    </w:p>
    <w:p>
      <w:pPr>
        <w:pStyle w:val="TextBody"/>
        <w:bidi w:val="0"/>
        <w:spacing w:before="280" w:after="283"/>
        <w:jc w:val="left"/>
        <w:rPr>
          <w:rFonts w:ascii="Times New Roman" w:hAnsi="Times New Roman"/>
          <w:b/>
          <w:color w:val="000000"/>
          <w:sz w:val="20"/>
        </w:rPr>
      </w:pPr>
      <w:bookmarkStart w:id="34" w:name="recent_accounting_pronouncements"/>
      <w:bookmarkEnd w:id="34"/>
      <w:r>
        <w:rPr>
          <w:rFonts w:ascii="Times New Roman" w:hAnsi="Times New Roman"/>
          <w:b/>
          <w:color w:val="000000"/>
          <w:sz w:val="20"/>
        </w:rPr>
        <w:t>Recent Accounting Pronouncements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a complete discussion of recent accounting pronouncements, refer to Note 2 in the Condensed Consolidated Financial Statements included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5" w:name="item_3__quantitative_and_qualitative_dis"/>
      <w:bookmarkEnd w:id="3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was discussed in the “Quantitative and Qualitative Disclosures About Market Risk” section contained in our Annual Report on Form 10-K for the year ended March 31, 2025. There have been no material changes to such exposures since March 31, 2025.</w:t>
      </w:r>
    </w:p>
    <w:p>
      <w:pPr>
        <w:pStyle w:val="TextBody"/>
        <w:bidi w:val="0"/>
        <w:spacing w:before="280" w:after="283"/>
        <w:jc w:val="left"/>
        <w:rPr>
          <w:rFonts w:ascii="Times New Roman" w:hAnsi="Times New Roman"/>
          <w:b/>
          <w:color w:val="000000"/>
          <w:sz w:val="20"/>
        </w:rPr>
      </w:pPr>
      <w:bookmarkStart w:id="36" w:name="item_4__controls_and_procedures"/>
      <w:bookmarkEnd w:id="36"/>
      <w:r>
        <w:rPr>
          <w:rFonts w:ascii="Times New Roman" w:hAnsi="Times New Roman"/>
          <w:b/>
          <w:color w:val="000000"/>
          <w:sz w:val="20"/>
        </w:rPr>
        <w:t>ITEM 4.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2025.</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13a-15(e) and Rule 15d-15(e) of the Exchange Act) for the quarter ended June 30, 2025,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7" w:name="part_ii_other_information"/>
      <w:bookmarkEnd w:id="37"/>
      <w:r>
        <w:rPr>
          <w:rFonts w:ascii="Times New Roman" w:hAnsi="Times New Roman"/>
          <w:b/>
          <w:color w:val="000000"/>
          <w:sz w:val="20"/>
        </w:rPr>
        <w:t>PART II – OTHER INFORMATION</w:t>
      </w:r>
    </w:p>
    <w:p>
      <w:pPr>
        <w:pStyle w:val="TextBody"/>
        <w:bidi w:val="0"/>
        <w:spacing w:before="180" w:after="283"/>
        <w:jc w:val="both"/>
        <w:rPr>
          <w:rFonts w:ascii="Times New Roman" w:hAnsi="Times New Roman"/>
          <w:b/>
          <w:color w:val="000000"/>
          <w:sz w:val="20"/>
        </w:rPr>
      </w:pPr>
      <w:bookmarkStart w:id="38" w:name="item_1__legal_proceedings"/>
      <w:bookmarkEnd w:id="38"/>
      <w:r>
        <w:rPr>
          <w:rFonts w:ascii="Times New Roman" w:hAnsi="Times New Roman"/>
          <w:b/>
          <w:color w:val="000000"/>
          <w:sz w:val="20"/>
        </w:rPr>
        <w:t>ITEM 1. LEGAL PROCEEDINGS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 Note 14 – Commitments and Contingencies, to the Condensed Consolidated Financial Statements in Item 1 of this Quarterly Report on Form 10-Q.</w:t>
      </w:r>
    </w:p>
    <w:p>
      <w:pPr>
        <w:pStyle w:val="TextBody"/>
        <w:bidi w:val="0"/>
        <w:spacing w:before="280" w:after="283"/>
        <w:jc w:val="both"/>
        <w:rPr>
          <w:rFonts w:ascii="Times New Roman" w:hAnsi="Times New Roman"/>
          <w:b/>
          <w:color w:val="000000"/>
          <w:sz w:val="20"/>
        </w:rPr>
      </w:pPr>
      <w:bookmarkStart w:id="39" w:name="item_1a__risk_factors"/>
      <w:bookmarkEnd w:id="39"/>
      <w:r>
        <w:rPr>
          <w:rFonts w:ascii="Times New Roman" w:hAnsi="Times New Roman"/>
          <w:b/>
          <w:color w:val="000000"/>
          <w:sz w:val="20"/>
        </w:rPr>
        <w:t>ITEM 1A. RISK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2025, which we filed with the SEC on June 26, 2025 and in Part 1 - Item 2 under the heading "Management's Discussion and Analysis of Financial Condition and Results of Operations" in this Form 10-Q.</w:t>
      </w:r>
    </w:p>
    <w:p>
      <w:pPr>
        <w:pStyle w:val="TextBody"/>
        <w:bidi w:val="0"/>
        <w:spacing w:before="280" w:after="283"/>
        <w:jc w:val="both"/>
        <w:rPr>
          <w:rFonts w:ascii="Times New Roman" w:hAnsi="Times New Roman"/>
          <w:b/>
          <w:color w:val="000000"/>
          <w:sz w:val="20"/>
        </w:rPr>
      </w:pPr>
      <w:bookmarkStart w:id="40" w:name="item_2__unregistered_sale_of_equity_secu"/>
      <w:bookmarkEnd w:id="40"/>
      <w:r>
        <w:rPr>
          <w:rFonts w:ascii="Times New Roman" w:hAnsi="Times New Roman"/>
          <w:b/>
          <w:color w:val="000000"/>
          <w:sz w:val="20"/>
        </w:rPr>
        <w:t>ITEM 2. UNREGISTERED SALES OF EQUITY SECURITIES AND USE OF PROCEEDS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16, 2025, we issued 1,632,586 shares of Common Stock to Kathleen M. Connors and 16,491 shares of our Common Stock to the Kathleen M. Connors 2019 Revocable Trust, dated February 6, 2019 TR, as earn-out consideration as contemplated by the Term Sheet. These issuances did not involve a public offering and were exempt from registration under Section 4(a)(2) of the Securities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18, 2025, we granted the following equity awards to Michael Ontrop, our new Senior Vice president of Channel Sales, as inducement for employment; (i) 100,000 shares of restricted stock and (ii) a non-qualified stock option exercisable for 125,000 shares of Orion's Common Stock at an exercise price of $0.60 per share. These awards were exempt from registration under Section 4(a)(2) of the Securities Act. The equity awards were approved by Orion's Board in accordance with Nasdaq Listing Rule 5635(c)(4) as a material inducement for Mr. Ontrop to accept the Company's offer of employment, and the underlying shares will not be drawn from Orion's 2016 Omnibus Incentive Plan.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Mr. Ontrop's restricted stock award will vest with respect to one-third of the restricted shares on each of the first three anniversaries of the grant date, provided that Mr. Ontrop is then still employed with the Company on the applicable vesting date. Mr. Ontrop's stock option will vest as follows if the Company's per share price achieves the following levels over the three-year period after the grant date and provided Mr. Ontrop is then still employed by the Company on the applicable vesting date; (i) one-third at $3.00; (ii) one-third at $4.00; and (iii) one-third at $5.00, with achievement of the effective share prices to be determined based on a five trading day average closing price of the Company's Common Stock.</w:t>
      </w:r>
    </w:p>
    <w:p>
      <w:pPr>
        <w:pStyle w:val="TextBody"/>
        <w:bidi w:val="0"/>
        <w:spacing w:before="280" w:after="283"/>
        <w:jc w:val="both"/>
        <w:rPr>
          <w:rFonts w:ascii="Times New Roman" w:hAnsi="Times New Roman"/>
          <w:b/>
          <w:color w:val="000000"/>
          <w:sz w:val="20"/>
        </w:rPr>
      </w:pPr>
      <w:bookmarkStart w:id="41" w:name="item_5__other_information"/>
      <w:bookmarkEnd w:id="41"/>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June 30, 2025, none of our directors or officers adopted or terminated a "Rule 10b5-1 trading arrangement," or "non-Rule 10b5-1 trading arrangement," as each term is defined in Item 408(a) of Regulation S-K.</w:t>
        <w:b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2" w:name="item_6__exhibits"/>
      <w:bookmarkEnd w:id="42"/>
      <w:r>
        <w:rPr>
          <w:rFonts w:ascii="Times New Roman" w:hAnsi="Times New Roman"/>
          <w:b/>
          <w:color w:val="000000"/>
          <w:sz w:val="20"/>
        </w:rPr>
        <w:t>ITEM 6. EXHIBITS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9498"/>
      </w:tblGrid>
      <w:tr>
        <w:trPr/>
        <w:tc>
          <w:tcPr>
            <w:tcW w:w="707" w:type="dxa"/>
            <w:tcBorders/>
            <w:vAlign w:val="center"/>
          </w:tcPr>
          <w:p>
            <w:pPr>
              <w:pStyle w:val="TableContents"/>
              <w:bidi w:val="0"/>
              <w:spacing w:before="0" w:after="283"/>
              <w:jc w:val="left"/>
              <w:rPr>
                <w:sz w:val="4"/>
                <w:szCs w:val="4"/>
              </w:rPr>
            </w:pPr>
            <w:r>
              <w:rPr>
                <w:sz w:val="4"/>
                <w:szCs w:val="4"/>
              </w:rPr>
            </w:r>
          </w:p>
        </w:tc>
        <w:tc>
          <w:tcPr>
            <w:tcW w:w="9498" w:type="dxa"/>
            <w:tcBorders/>
            <w:vAlign w:val="center"/>
          </w:tcPr>
          <w:p>
            <w:pPr>
              <w:pStyle w:val="TableContents"/>
              <w:bidi w:val="0"/>
              <w:spacing w:before="0" w:after="283"/>
              <w:jc w:val="left"/>
              <w:rPr>
                <w:sz w:val="4"/>
                <w:szCs w:val="4"/>
              </w:rPr>
            </w:pPr>
            <w:r>
              <w:rPr>
                <w:sz w:val="4"/>
                <w:szCs w:val="4"/>
              </w:rPr>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Term Sheet, dated June 23, 2025, by and between Orion Energy Systems, Inc., Final Frontier, LLC and Kathleen Connors, filed as Exhibit 10.5 to Registrant's Annual Report on Form 10-K filed on June 26, 2025, is hereby incorporated by reference.</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10_2.htm">
              <w:r>
                <w:rPr>
                  <w:rStyle w:val="InternetLink"/>
                  <w:rFonts w:ascii="Times New Roman" w:hAnsi="Times New Roman"/>
                  <w:color w:val="0000FF"/>
                  <w:sz w:val="20"/>
                  <w:u w:val="single"/>
                </w:rPr>
                <w:t>Earn Out Term Sheet Amendment, dated July 31, 2025, by and between Orion Energy Systems, Inc., Final Frontier, LLC and Kathleen Connors.+</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1_1.htm">
              <w:r>
                <w:rPr>
                  <w:rStyle w:val="InternetLink"/>
                  <w:rFonts w:ascii="Times New Roman" w:hAnsi="Times New Roman"/>
                  <w:color w:val="0000FF"/>
                  <w:sz w:val="20"/>
                  <w:u w:val="single"/>
                </w:rPr>
                <w:t>Certification of Chief Executive Officer of Orion Energy Systems, Inc. pursuant to Rule 13a-14(a) or Rule 15d-14(a) promulgated under the Securities Exchange Act of 1934, as amended.+</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1_2.htm">
              <w:r>
                <w:rPr>
                  <w:rStyle w:val="InternetLink"/>
                  <w:rFonts w:ascii="Times New Roman" w:hAnsi="Times New Roman"/>
                  <w:color w:val="0000FF"/>
                  <w:sz w:val="20"/>
                  <w:u w:val="single"/>
                </w:rPr>
                <w:t>Certification of Chief Financial Officer of Orion Energy Systems, Inc. pursuant to Rule 13a-14(a) or Rule 15d-14(a) promulgated under the Securities Exchange Act of 1934, as amended.+</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2_1.htm">
              <w:r>
                <w:rPr>
                  <w:rStyle w:val="InternetLink"/>
                  <w:rFonts w:ascii="Times New Roman" w:hAnsi="Times New Roman"/>
                  <w:color w:val="0000FF"/>
                  <w:sz w:val="20"/>
                  <w:u w:val="single"/>
                </w:rPr>
                <w:t>Certification of Chief Executive Officer of Orion Energy Systems, Inc. pursuant to Rule 13a-14(b) promulgated under the Securities Exchange Act of 1934, as amended, and 18 U.S.C. Section 1350, as adopted pursuant to Section 906 of the Sarbanes-Oxley Act of 2002.+</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2_2.htm">
              <w:r>
                <w:rPr>
                  <w:rStyle w:val="InternetLink"/>
                  <w:rFonts w:ascii="Times New Roman" w:hAnsi="Times New Roman"/>
                  <w:color w:val="0000FF"/>
                  <w:sz w:val="20"/>
                  <w:u w:val="single"/>
                </w:rPr>
                <w:t>Certification of Chief Financial Officer of Orion Energy Systems, Inc. pursuant to Rule 13a-14(b) promulgated under the Securities Exchange Act of 1934, as amended, and 18 U.S.C. Section 1350, as adopted pursuant to Section 906 of the Sarbanes-Oxley Act of 2002.+</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2025, has been formatted in Inline XBRL and is contained in Exhibit 101.</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3" w:name="signature"/>
      <w:bookmarkEnd w:id="43"/>
      <w:r>
        <w:rPr>
          <w:rFonts w:ascii="Times New Roman" w:hAnsi="Times New Roman"/>
          <w:b/>
          <w:color w:val="000000"/>
          <w:sz w:val="20"/>
        </w:rPr>
        <w:t>SIGNATURE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 on August 6, 2025.</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361"/>
        <w:gridCol w:w="146"/>
        <w:gridCol w:w="456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ENERGY SYSTEMS, INC.</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Authorized Signatory)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bookmarkStart w:id="44" w:name="oesx-ex10_2.htm"/>
      <w:bookmarkStart w:id="45" w:name="ksoesxex10_2"/>
      <w:bookmarkEnd w:id="44"/>
      <w:bookmarkEnd w:id="45"/>
      <w:r>
        <w:rPr/>
        <w:t> </w:t>
      </w:r>
      <w:r>
        <w:br w:type="page"/>
      </w:r>
    </w:p>
    <w:p>
      <w:pPr>
        <w:pStyle w:val="TextBody"/>
        <w:bidi w:val="0"/>
        <w:spacing w:before="14" w:after="283"/>
        <w:jc w:val="left"/>
        <w:rPr>
          <w:rFonts w:ascii="Times New Roman" w:hAnsi="Times New Roman"/>
          <w:b/>
          <w:color w:val="000000"/>
          <w:sz w:val="20"/>
        </w:rPr>
      </w:pPr>
      <w:r>
        <w:rPr>
          <w:rFonts w:ascii="Times New Roman" w:hAnsi="Times New Roman"/>
          <w:b/>
          <w:color w:val="000000"/>
          <w:sz w:val="20"/>
        </w:rPr>
        <w:t>EXHIBIT 10.2</w:t>
      </w:r>
    </w:p>
    <w:p>
      <w:pPr>
        <w:pStyle w:val="TextBody"/>
        <w:bidi w:val="0"/>
        <w:spacing w:before="81" w:after="283"/>
        <w:jc w:val="center"/>
        <w:rPr>
          <w:rFonts w:ascii="Times New Roman" w:hAnsi="Times New Roman"/>
          <w:b/>
          <w:color w:val="000000"/>
          <w:sz w:val="22"/>
        </w:rPr>
      </w:pPr>
      <w:r>
        <w:rPr>
          <w:rFonts w:ascii="Times New Roman" w:hAnsi="Times New Roman"/>
          <w:b/>
          <w:color w:val="000000"/>
          <w:sz w:val="22"/>
        </w:rPr>
        <w:t>ORION ENERGY SYSTEMS, INC.</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2210 Woodland Drive</w:t>
      </w:r>
    </w:p>
    <w:p>
      <w:pPr>
        <w:pStyle w:val="TextBody"/>
        <w:bidi w:val="0"/>
        <w:spacing w:before="2" w:after="283"/>
        <w:jc w:val="center"/>
        <w:rPr>
          <w:rFonts w:ascii="Times New Roman" w:hAnsi="Times New Roman"/>
          <w:color w:val="000000"/>
          <w:sz w:val="22"/>
        </w:rPr>
      </w:pPr>
      <w:r>
        <w:rPr>
          <w:rFonts w:ascii="Times New Roman" w:hAnsi="Times New Roman"/>
          <w:color w:val="000000"/>
          <w:sz w:val="22"/>
        </w:rPr>
        <w:t>Manitowoc, Wisconsin 54220</w:t>
      </w:r>
    </w:p>
    <w:p>
      <w:pPr>
        <w:pStyle w:val="TextBody"/>
        <w:bidi w:val="0"/>
        <w:spacing w:before="10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July 31, 2025</w:t>
      </w:r>
    </w:p>
    <w:p>
      <w:pPr>
        <w:pStyle w:val="TextBody"/>
        <w:bidi w:val="0"/>
        <w:spacing w:before="122" w:after="283"/>
        <w:jc w:val="left"/>
        <w:rPr>
          <w:rFonts w:ascii="Times New Roman" w:hAnsi="Times New Roman"/>
          <w:color w:val="000000"/>
          <w:sz w:val="22"/>
          <w:u w:val="single"/>
        </w:rPr>
      </w:pPr>
      <w:r>
        <w:rPr>
          <w:rFonts w:ascii="Times New Roman" w:hAnsi="Times New Roman"/>
          <w:color w:val="000000"/>
          <w:sz w:val="22"/>
          <w:u w:val="single"/>
        </w:rPr>
        <w:t>Confidential</w:t>
      </w:r>
    </w:p>
    <w:p>
      <w:pPr>
        <w:pStyle w:val="TextBody"/>
        <w:bidi w:val="0"/>
        <w:spacing w:before="217" w:after="283"/>
        <w:jc w:val="left"/>
        <w:rPr>
          <w:rFonts w:ascii="Times New Roman" w:hAnsi="Times New Roman"/>
          <w:color w:val="000000"/>
          <w:sz w:val="22"/>
        </w:rPr>
      </w:pPr>
      <w:r>
        <w:rPr>
          <w:rFonts w:ascii="Times New Roman" w:hAnsi="Times New Roman"/>
          <w:color w:val="000000"/>
          <w:sz w:val="22"/>
        </w:rPr>
        <w:t>Ms. Kathleen M. Connors Final Frontier, LLC</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P.O. Box 2086</w:t>
      </w:r>
    </w:p>
    <w:p>
      <w:pPr>
        <w:pStyle w:val="TextBody"/>
        <w:bidi w:val="0"/>
        <w:jc w:val="left"/>
        <w:rPr>
          <w:rFonts w:ascii="Times New Roman" w:hAnsi="Times New Roman"/>
          <w:color w:val="000000"/>
          <w:sz w:val="22"/>
        </w:rPr>
      </w:pPr>
      <w:r>
        <w:rPr>
          <w:rFonts w:ascii="Times New Roman" w:hAnsi="Times New Roman"/>
          <w:color w:val="000000"/>
          <w:sz w:val="22"/>
        </w:rPr>
        <w:t>Andover, Massachusetts 01810 Email: [***]</w:t>
      </w:r>
    </w:p>
    <w:p>
      <w:pPr>
        <w:pStyle w:val="TextBody"/>
        <w:bidi w:val="0"/>
        <w:spacing w:before="232" w:after="283"/>
        <w:jc w:val="left"/>
        <w:rPr>
          <w:rFonts w:ascii="Times New Roman" w:hAnsi="Times New Roman"/>
          <w:color w:val="000000"/>
          <w:sz w:val="22"/>
        </w:rPr>
      </w:pPr>
      <w:r>
        <w:rPr>
          <w:rFonts w:ascii="Times New Roman" w:hAnsi="Times New Roman"/>
          <w:color w:val="000000"/>
          <w:sz w:val="22"/>
        </w:rPr>
        <w:t>Re: Earn Out Term Sheet Amendment Dear Kat:</w:t>
      </w:r>
    </w:p>
    <w:p>
      <w:pPr>
        <w:pStyle w:val="TextBody"/>
        <w:bidi w:val="0"/>
        <w:jc w:val="both"/>
        <w:rPr>
          <w:rFonts w:ascii="Times New Roman" w:hAnsi="Times New Roman"/>
          <w:color w:val="000000"/>
          <w:sz w:val="22"/>
        </w:rPr>
      </w:pPr>
      <w:r>
        <w:rPr>
          <w:rFonts w:ascii="Times New Roman" w:hAnsi="Times New Roman"/>
          <w:color w:val="000000"/>
          <w:sz w:val="22"/>
        </w:rPr>
        <w:t>Reference is hereby made to that certain binding Proposed Voltrek Earn-Out Payment Term Sheet,</w:t>
      </w:r>
    </w:p>
    <w:p>
      <w:pPr>
        <w:pStyle w:val="TextBody"/>
        <w:bidi w:val="0"/>
        <w:jc w:val="both"/>
        <w:rPr>
          <w:rFonts w:ascii="Times New Roman" w:hAnsi="Times New Roman"/>
          <w:color w:val="000000"/>
          <w:sz w:val="22"/>
        </w:rPr>
      </w:pPr>
      <w:r>
        <w:rPr>
          <w:rFonts w:ascii="Times New Roman" w:hAnsi="Times New Roman"/>
          <w:color w:val="000000"/>
          <w:sz w:val="22"/>
        </w:rPr>
        <w:t>dated June 23, 2025, among Orion Energy Systems, Inc., a Wisconsin corporation (“Company”), Final Frontier, LLC, a Massachusetts limited liability company (“Final Frontier”), and you (“Term Sheet”), pursuant to which the parties mutually agreed upon certain terms and conditions of the Company’s to-be- determined earn-out obligations owed to Final Frontier pursuant to the Membership Interest Purchase Agreement dated effective as of October 5, 2022.</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By signing below, we mutually agree that the first sentence of Section 1 of the Term Sheet shall be amended and restated in its entirety as follows: “Company will pay Final Frontier $875,000 (“FY24 Earn- Out Payment”) in cash as follows: $500,000 on August 1, 2025 and $375,000 on September 3, 2025 in full payment of the Company’s fiscal 2024 earn-out obligation.”</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Except as specifically amended and restated above, the Term Sheet otherwise remains in full force and effect.</w:t>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ORION ENERGY SYSTEMS, INC.</w:t>
      </w:r>
    </w:p>
    <w:p>
      <w:pPr>
        <w:pStyle w:val="TextBody"/>
        <w:bidi w:val="0"/>
        <w:jc w:val="left"/>
        <w:rPr/>
      </w:pPr>
      <w:r>
        <w:rPr/>
        <w:t> </w:t>
      </w:r>
    </w:p>
    <w:p>
      <w:pPr>
        <w:pStyle w:val="TextBody"/>
        <w:bidi w:val="0"/>
        <w:spacing w:before="2"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Per Brodin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Per Brodin</w:t>
      </w:r>
    </w:p>
    <w:p>
      <w:pPr>
        <w:pStyle w:val="TextBody"/>
        <w:bidi w:val="0"/>
        <w:jc w:val="left"/>
        <w:rPr>
          <w:rFonts w:ascii="Times New Roman" w:hAnsi="Times New Roman"/>
          <w:color w:val="000000"/>
          <w:sz w:val="22"/>
        </w:rPr>
      </w:pPr>
      <w:r>
        <w:rPr>
          <w:rFonts w:ascii="Times New Roman" w:hAnsi="Times New Roman"/>
          <w:color w:val="000000"/>
          <w:sz w:val="22"/>
        </w:rPr>
        <w:t>Chief Financial Officer Accepted and agreed as of the date first written above:</w:t>
      </w:r>
    </w:p>
    <w:p>
      <w:pPr>
        <w:pStyle w:val="TextBody"/>
        <w:bidi w:val="0"/>
        <w:jc w:val="left"/>
        <w:rPr>
          <w:rFonts w:ascii="Times New Roman" w:hAnsi="Times New Roman"/>
          <w:color w:val="000000"/>
          <w:sz w:val="22"/>
        </w:rPr>
      </w:pPr>
      <w:r>
        <w:rPr>
          <w:rFonts w:ascii="Times New Roman" w:hAnsi="Times New Roman"/>
          <w:color w:val="000000"/>
          <w:sz w:val="22"/>
        </w:rPr>
        <w:t>FINAL FRONTIER, LLC</w:t>
      </w:r>
    </w:p>
    <w:p>
      <w:pPr>
        <w:pStyle w:val="TextBody"/>
        <w:bidi w:val="0"/>
        <w:spacing w:before="252"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Kathleen M. Conners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Kathleen M. Conners,</w:t>
      </w:r>
    </w:p>
    <w:p>
      <w:pPr>
        <w:pStyle w:val="TextBody"/>
        <w:bidi w:val="0"/>
        <w:jc w:val="left"/>
        <w:rPr>
          <w:rFonts w:ascii="Times New Roman" w:hAnsi="Times New Roman"/>
          <w:color w:val="000000"/>
          <w:sz w:val="22"/>
        </w:rPr>
      </w:pPr>
      <w:r>
        <w:rPr>
          <w:rFonts w:ascii="Times New Roman" w:hAnsi="Times New Roman"/>
          <w:color w:val="000000"/>
          <w:sz w:val="22"/>
        </w:rPr>
        <w:t>Manager</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Kathleen M. Conners</w:t>
      </w:r>
    </w:p>
    <w:p>
      <w:pPr>
        <w:pStyle w:val="TextBody"/>
        <w:bidi w:val="0"/>
        <w:jc w:val="left"/>
        <w:rPr>
          <w:rFonts w:ascii="Times New Roman" w:hAnsi="Times New Roman"/>
          <w:color w:val="000000"/>
          <w:sz w:val="22"/>
        </w:rPr>
      </w:pPr>
      <w:r>
        <w:rPr>
          <w:rFonts w:ascii="Times New Roman" w:hAnsi="Times New Roman"/>
          <w:color w:val="000000"/>
          <w:sz w:val="22"/>
        </w:rPr>
        <w:t>Kathleen M. Conners, individually</w:t>
      </w:r>
    </w:p>
    <w:p>
      <w:pPr>
        <w:pStyle w:val="TextBody"/>
        <w:bidi w:val="0"/>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oesx-ex31_1.htm"/>
      <w:bookmarkStart w:id="47" w:name="ksoesxex31_1"/>
      <w:bookmarkEnd w:id="46"/>
      <w:bookmarkEnd w:id="47"/>
      <w:r>
        <w:rPr>
          <w:rFonts w:ascii="Times New Roman" w:hAnsi="Times New Roman"/>
          <w:b/>
          <w:color w:val="000000"/>
          <w:sz w:val="20"/>
        </w:rPr>
        <w:t>Exhibit 31.1</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Sally A. Washlow,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2025</w:t>
      </w:r>
    </w:p>
    <w:p>
      <w:pPr>
        <w:pStyle w:val="TextBody"/>
        <w:bidi w:val="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90" w:after="283"/>
        <w:jc w:val="right"/>
        <w:rPr/>
      </w:pPr>
      <w:r>
        <w:rPr/>
        <w:t> </w:t>
      </w:r>
    </w:p>
    <w:p>
      <w:pPr>
        <w:pStyle w:val="TextBody"/>
        <w:bidi w:val="0"/>
        <w:spacing w:before="9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oesx-ex31_2.htm"/>
      <w:bookmarkStart w:id="49" w:name="ksoesxex31_2"/>
      <w:bookmarkEnd w:id="48"/>
      <w:bookmarkEnd w:id="49"/>
      <w:r>
        <w:rPr>
          <w:rFonts w:ascii="Times New Roman" w:hAnsi="Times New Roman"/>
          <w:b/>
          <w:color w:val="000000"/>
          <w:sz w:val="20"/>
        </w:rPr>
        <w:t>Exhibit 31.2</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J. Per Brodin,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2025</w:t>
      </w:r>
    </w:p>
    <w:p>
      <w:pPr>
        <w:pStyle w:val="TextBody"/>
        <w:bidi w:val="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oesx-ex32_1.htm"/>
      <w:bookmarkStart w:id="51" w:name="ksoesxex32_1"/>
      <w:bookmarkEnd w:id="50"/>
      <w:bookmarkEnd w:id="51"/>
      <w:r>
        <w:rPr>
          <w:rFonts w:ascii="Times New Roman" w:hAnsi="Times New Roman"/>
          <w:b/>
          <w:color w:val="000000"/>
          <w:sz w:val="20"/>
        </w:rPr>
        <w:t>Exhibit 32.1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CEO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June 30, 2025, as filed with the Securities and Exchange Commission on the date hereof (the “Report”), I, Sally A. Washlow, Chief Executive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5" w:type="dxa"/>
        <w:jc w:val="left"/>
        <w:tblInd w:w="0" w:type="dxa"/>
        <w:tblLayout w:type="fixed"/>
        <w:tblCellMar>
          <w:top w:w="28" w:type="dxa"/>
          <w:left w:w="28" w:type="dxa"/>
          <w:bottom w:w="28" w:type="dxa"/>
          <w:right w:w="28" w:type="dxa"/>
        </w:tblCellMar>
      </w:tblPr>
      <w:tblGrid>
        <w:gridCol w:w="594"/>
        <w:gridCol w:w="1491"/>
      </w:tblGrid>
      <w:tr>
        <w:trPr/>
        <w:tc>
          <w:tcPr>
            <w:tcW w:w="59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2025</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Sally A. Washlow</w:t>
            </w:r>
          </w:p>
        </w:tc>
      </w:tr>
      <w:tr>
        <w:trPr/>
        <w:tc>
          <w:tcPr>
            <w:tcW w:w="2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Sally A. Washlow</w:t>
            </w:r>
          </w:p>
        </w:tc>
      </w:tr>
      <w:tr>
        <w:trPr/>
        <w:tc>
          <w:tcPr>
            <w:tcW w:w="2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oesx-ex32_2.htm"/>
      <w:bookmarkStart w:id="53" w:name="ksoesxex32_2"/>
      <w:bookmarkEnd w:id="52"/>
      <w:bookmarkEnd w:id="53"/>
      <w:r>
        <w:rPr>
          <w:rFonts w:ascii="Times New Roman" w:hAnsi="Times New Roman"/>
          <w:b/>
          <w:color w:val="000000"/>
          <w:sz w:val="20"/>
        </w:rPr>
        <w:t>Exhibit 32.2</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CFO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June 30, 2025,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25" w:type="dxa"/>
        <w:jc w:val="left"/>
        <w:tblInd w:w="0" w:type="dxa"/>
        <w:tblLayout w:type="fixed"/>
        <w:tblCellMar>
          <w:top w:w="28" w:type="dxa"/>
          <w:left w:w="28" w:type="dxa"/>
          <w:bottom w:w="28" w:type="dxa"/>
          <w:right w:w="28" w:type="dxa"/>
        </w:tblCellMar>
      </w:tblPr>
      <w:tblGrid>
        <w:gridCol w:w="577"/>
        <w:gridCol w:w="1448"/>
      </w:tblGrid>
      <w:tr>
        <w:trPr/>
        <w:tc>
          <w:tcPr>
            <w:tcW w:w="57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5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4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6, 2025</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202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 Per Brodin</w:t>
            </w:r>
          </w:p>
        </w:tc>
      </w:tr>
      <w:tr>
        <w:trPr/>
        <w:tc>
          <w:tcPr>
            <w:tcW w:w="20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409375/000095017025090385/oesx-202503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15811</Words>
  <Characters>85433</Characters>
  <CharactersWithSpaces>102041</CharactersWithSpaces>
  <Paragraphs>4882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