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December 31, 2010</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001-33887</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Orion Energy Systems,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020" w:type="dxa"/>
            <w:vAlign w:val="bottom"/>
            <w:gridSpan w:val="2"/>
          </w:tcPr>
          <w:p>
            <w:pPr>
              <w:jc w:val="right"/>
              <w:ind w:right="18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0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54220</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5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2"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14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080" w:space="420"/>
            <w:col w:w="1420" w:space="420"/>
            <w:col w:w="3340" w:space="260"/>
            <w:col w:w="2279"/>
          </w:cols>
          <w:pgMar w:left="240" w:top="122" w:right="1440" w:bottom="1440" w:gutter="0" w:footer="0" w:header="0"/>
          <w:type w:val="continuous"/>
        </w:sectPr>
      </w:pPr>
    </w:p>
    <w:p>
      <w:pPr>
        <w:ind w:left="340" w:right="73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22,818,902 shares of the Registrant’s common stock outstanding on February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0"/>
              </w:rPr>
              <w:t>Orion Energy Systems, Inc.</w:t>
            </w:r>
          </w:p>
        </w:tc>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5"/>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4"/>
              </w:rPr>
              <w:t>Quarterly Report On Form 10-Q</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9"/>
          </w:tcPr>
          <w:p>
            <w:pPr>
              <w:jc w:val="center"/>
              <w:ind w:right="2180"/>
              <w:spacing w:after="0"/>
              <w:rPr>
                <w:sz w:val="20"/>
                <w:szCs w:val="20"/>
                <w:color w:val="auto"/>
              </w:rPr>
            </w:pPr>
            <w:r>
              <w:rPr>
                <w:rFonts w:ascii="Arial" w:cs="Arial" w:eastAsia="Arial" w:hAnsi="Arial"/>
                <w:sz w:val="18"/>
                <w:szCs w:val="18"/>
                <w:b w:val="1"/>
                <w:bCs w:val="1"/>
                <w:color w:val="auto"/>
                <w:w w:val="91"/>
              </w:rPr>
              <w:t>For The Quarter Ended December 31, 2010</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0"/>
              </w:rPr>
              <w:t>Table Of Contents</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gridSpan w:val="2"/>
          </w:tcPr>
          <w:p>
            <w:pPr>
              <w:jc w:val="right"/>
              <w:ind w:right="1660"/>
              <w:spacing w:after="0"/>
              <w:rPr>
                <w:sz w:val="20"/>
                <w:szCs w:val="20"/>
                <w:color w:val="auto"/>
              </w:rPr>
            </w:pPr>
            <w:r>
              <w:rPr>
                <w:rFonts w:ascii="Arial" w:cs="Arial" w:eastAsia="Arial" w:hAnsi="Arial"/>
                <w:sz w:val="18"/>
                <w:szCs w:val="18"/>
                <w:b w:val="1"/>
                <w:bCs w:val="1"/>
                <w:color w:val="auto"/>
                <w:w w:val="82"/>
              </w:rPr>
              <w:t>Page(s)</w:t>
            </w:r>
          </w:p>
        </w:tc>
      </w:tr>
      <w:tr>
        <w:trPr>
          <w:trHeight w:val="385"/>
        </w:trPr>
        <w:tc>
          <w:tcPr>
            <w:tcW w:w="40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840" w:type="dxa"/>
            <w:vAlign w:val="bottom"/>
            <w:gridSpan w:val="9"/>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320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 (unaudited)</w:t>
              </w:r>
            </w:hyperlink>
          </w:p>
        </w:tc>
        <w:tc>
          <w:tcPr>
            <w:tcW w:w="560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2010 and December 31, 2010</w:t>
              </w:r>
            </w:hyperlink>
          </w:p>
        </w:tc>
        <w:tc>
          <w:tcPr>
            <w:tcW w:w="2380" w:type="dxa"/>
            <w:vAlign w:val="bottom"/>
            <w:gridSpan w:val="4"/>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w:t>
            </w: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22"/>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for the Three and Nine Months Ended December 31, 2009 and</w:t>
              </w:r>
            </w:hyperlink>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540" w:type="dxa"/>
            <w:vAlign w:val="bottom"/>
            <w:gridSpan w:val="2"/>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2010</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20" w:type="dxa"/>
            <w:vAlign w:val="bottom"/>
            <w:gridSpan w:val="2"/>
          </w:tcPr>
          <w:p>
            <w:pPr>
              <w:jc w:val="right"/>
              <w:ind w:right="1640"/>
              <w:spacing w:after="0" w:line="196" w:lineRule="exact"/>
              <w:rPr>
                <w:sz w:val="20"/>
                <w:szCs w:val="20"/>
                <w:color w:val="auto"/>
              </w:rPr>
            </w:pPr>
            <w:r>
              <w:rPr>
                <w:rFonts w:ascii="Arial" w:cs="Arial" w:eastAsia="Arial" w:hAnsi="Arial"/>
                <w:sz w:val="18"/>
                <w:szCs w:val="18"/>
                <w:color w:val="auto"/>
              </w:rPr>
              <w:t>4</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December 31, 2009 and 2010</w:t>
              </w:r>
            </w:hyperlink>
          </w:p>
        </w:tc>
        <w:tc>
          <w:tcPr>
            <w:tcW w:w="760" w:type="dxa"/>
            <w:vAlign w:val="bottom"/>
            <w:gridSpan w:val="2"/>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5</w:t>
            </w: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4400" w:type="dxa"/>
            <w:vAlign w:val="bottom"/>
            <w:gridSpan w:val="7"/>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6</w:t>
            </w:r>
          </w:p>
        </w:tc>
      </w:tr>
      <w:tr>
        <w:trPr>
          <w:trHeight w:val="412"/>
        </w:trPr>
        <w:tc>
          <w:tcPr>
            <w:tcW w:w="400" w:type="dxa"/>
            <w:vAlign w:val="bottom"/>
          </w:tcPr>
          <w:p>
            <w:pPr>
              <w:spacing w:after="0"/>
              <w:rPr>
                <w:sz w:val="24"/>
                <w:szCs w:val="24"/>
                <w:color w:val="auto"/>
              </w:rPr>
            </w:pPr>
          </w:p>
        </w:tc>
        <w:tc>
          <w:tcPr>
            <w:tcW w:w="748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ITEM 2. Management’s Discussion and Analysis of Financial Condition and Results of Operations</w:t>
              </w:r>
            </w:hyperlink>
          </w:p>
        </w:tc>
        <w:tc>
          <w:tcPr>
            <w:tcW w:w="1320" w:type="dxa"/>
            <w:vAlign w:val="bottom"/>
            <w:gridSpan w:val="3"/>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19</w:t>
            </w:r>
          </w:p>
        </w:tc>
      </w:tr>
      <w:tr>
        <w:trPr>
          <w:trHeight w:val="412"/>
        </w:trPr>
        <w:tc>
          <w:tcPr>
            <w:tcW w:w="40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3. 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64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52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4. Controls and Procedures</w:t>
              </w:r>
            </w:hyperlink>
          </w:p>
        </w:tc>
        <w:tc>
          <w:tcPr>
            <w:tcW w:w="3540" w:type="dxa"/>
            <w:vAlign w:val="bottom"/>
            <w:gridSpan w:val="5"/>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31</w:t>
            </w: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 OTHER INFORMATION</w:t>
              </w:r>
            </w:hyperlink>
          </w:p>
        </w:tc>
        <w:tc>
          <w:tcPr>
            <w:tcW w:w="614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ITEM 1. Legal Proceedings</w:t>
              </w:r>
            </w:hyperlink>
          </w:p>
        </w:tc>
        <w:tc>
          <w:tcPr>
            <w:tcW w:w="6760" w:type="dxa"/>
            <w:vAlign w:val="bottom"/>
            <w:gridSpan w:val="14"/>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31</w:t>
            </w:r>
          </w:p>
        </w:tc>
      </w:tr>
      <w:tr>
        <w:trPr>
          <w:trHeight w:val="412"/>
        </w:trPr>
        <w:tc>
          <w:tcPr>
            <w:tcW w:w="40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1A. Risk Factors</w:t>
              </w:r>
            </w:hyperlink>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32</w:t>
            </w: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2. Unregistered Sales of Equity Securities and Use of Proceeds</w:t>
              </w:r>
            </w:hyperlink>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32</w:t>
            </w:r>
          </w:p>
        </w:tc>
      </w:tr>
      <w:tr>
        <w:trPr>
          <w:trHeight w:val="412"/>
        </w:trPr>
        <w:tc>
          <w:tcPr>
            <w:tcW w:w="400" w:type="dxa"/>
            <w:vAlign w:val="bottom"/>
          </w:tcPr>
          <w:p>
            <w:pPr>
              <w:spacing w:after="0"/>
              <w:rPr>
                <w:sz w:val="24"/>
                <w:szCs w:val="24"/>
                <w:color w:val="auto"/>
              </w:rPr>
            </w:pPr>
          </w:p>
        </w:tc>
        <w:tc>
          <w:tcPr>
            <w:tcW w:w="520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 Removed and Reserved</w:t>
              </w:r>
            </w:hyperlink>
          </w:p>
        </w:tc>
        <w:tc>
          <w:tcPr>
            <w:tcW w:w="3600" w:type="dxa"/>
            <w:vAlign w:val="bottom"/>
            <w:gridSpan w:val="6"/>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32</w:t>
            </w:r>
          </w:p>
        </w:tc>
      </w:tr>
      <w:tr>
        <w:trPr>
          <w:trHeight w:val="412"/>
        </w:trPr>
        <w:tc>
          <w:tcPr>
            <w:tcW w:w="400" w:type="dxa"/>
            <w:vAlign w:val="bottom"/>
          </w:tcPr>
          <w:p>
            <w:pPr>
              <w:spacing w:after="0"/>
              <w:rPr>
                <w:sz w:val="24"/>
                <w:szCs w:val="24"/>
                <w:color w:val="auto"/>
              </w:rPr>
            </w:pPr>
          </w:p>
        </w:tc>
        <w:tc>
          <w:tcPr>
            <w:tcW w:w="24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5. Other Information</w:t>
              </w:r>
            </w:hyperlink>
          </w:p>
        </w:tc>
        <w:tc>
          <w:tcPr>
            <w:tcW w:w="6360" w:type="dxa"/>
            <w:vAlign w:val="bottom"/>
            <w:gridSpan w:val="12"/>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32</w:t>
            </w:r>
          </w:p>
        </w:tc>
      </w:tr>
      <w:tr>
        <w:trPr>
          <w:trHeight w:val="412"/>
        </w:trPr>
        <w:tc>
          <w:tcPr>
            <w:tcW w:w="40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6. Exhibits</w:t>
              </w:r>
            </w:hyperlink>
          </w:p>
        </w:tc>
        <w:tc>
          <w:tcPr>
            <w:tcW w:w="800" w:type="dxa"/>
            <w:vAlign w:val="bottom"/>
            <w:tcBorders>
              <w:top w:val="single" w:sz="8" w:color="0000EE"/>
            </w:tcBorders>
            <w:gridSpan w:val="3"/>
          </w:tcPr>
          <w:p>
            <w:pPr>
              <w:spacing w:after="0"/>
              <w:rPr>
                <w:sz w:val="24"/>
                <w:szCs w:val="24"/>
                <w:color w:val="auto"/>
              </w:rPr>
            </w:pPr>
          </w:p>
        </w:tc>
        <w:tc>
          <w:tcPr>
            <w:tcW w:w="6720" w:type="dxa"/>
            <w:vAlign w:val="bottom"/>
            <w:gridSpan w:val="13"/>
          </w:tcPr>
          <w:p>
            <w:pPr>
              <w:spacing w:after="0"/>
              <w:rPr>
                <w:sz w:val="24"/>
                <w:szCs w:val="24"/>
                <w:color w:val="auto"/>
              </w:rPr>
            </w:pPr>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34</w:t>
            </w:r>
          </w:p>
        </w:tc>
      </w:tr>
      <w:tr>
        <w:trPr>
          <w:trHeight w:val="412"/>
        </w:trPr>
        <w:tc>
          <w:tcPr>
            <w:tcW w:w="40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2220" w:type="dxa"/>
            <w:vAlign w:val="bottom"/>
            <w:gridSpan w:val="2"/>
          </w:tcPr>
          <w:p>
            <w:pPr>
              <w:jc w:val="right"/>
              <w:ind w:right="1640"/>
              <w:spacing w:after="0"/>
              <w:rPr>
                <w:sz w:val="20"/>
                <w:szCs w:val="20"/>
                <w:color w:val="auto"/>
              </w:rPr>
            </w:pPr>
            <w:r>
              <w:rPr>
                <w:rFonts w:ascii="Arial" w:cs="Arial" w:eastAsia="Arial" w:hAnsi="Arial"/>
                <w:sz w:val="18"/>
                <w:szCs w:val="18"/>
                <w:color w:val="auto"/>
              </w:rPr>
              <w:t>35</w:t>
            </w:r>
          </w:p>
        </w:tc>
      </w:tr>
      <w:tr>
        <w:trPr>
          <w:trHeight w:val="412"/>
        </w:trPr>
        <w:tc>
          <w:tcPr>
            <w:tcW w:w="400" w:type="dxa"/>
            <w:vAlign w:val="bottom"/>
          </w:tcPr>
          <w:p>
            <w:pPr>
              <w:spacing w:after="0"/>
              <w:rPr>
                <w:sz w:val="24"/>
                <w:szCs w:val="24"/>
                <w:color w:val="auto"/>
              </w:rPr>
            </w:pPr>
          </w:p>
        </w:tc>
        <w:tc>
          <w:tcPr>
            <w:tcW w:w="8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Exhibit 31.1</w:t>
            </w:r>
          </w:p>
        </w:tc>
        <w:tc>
          <w:tcPr>
            <w:tcW w:w="220" w:type="dxa"/>
            <w:vAlign w:val="bottom"/>
            <w:tcBorders>
              <w:top w:val="single" w:sz="8" w:color="0000EE"/>
            </w:tcBorders>
          </w:tcPr>
          <w:p>
            <w:pPr>
              <w:spacing w:after="0"/>
              <w:rPr>
                <w:sz w:val="24"/>
                <w:szCs w:val="24"/>
                <w:color w:val="auto"/>
              </w:rPr>
            </w:pPr>
          </w:p>
        </w:tc>
        <w:tc>
          <w:tcPr>
            <w:tcW w:w="7720" w:type="dxa"/>
            <w:vAlign w:val="bottom"/>
            <w:gridSpan w:val="17"/>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Exhibit 31.2</w:t>
            </w:r>
          </w:p>
        </w:tc>
        <w:tc>
          <w:tcPr>
            <w:tcW w:w="794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Exhibit 32.1</w:t>
            </w:r>
          </w:p>
        </w:tc>
        <w:tc>
          <w:tcPr>
            <w:tcW w:w="794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800" w:type="dxa"/>
            <w:vAlign w:val="bottom"/>
            <w:gridSpan w:val="23"/>
          </w:tcPr>
          <w:p>
            <w:pPr>
              <w:spacing w:after="0" w:line="196" w:lineRule="exact"/>
              <w:rPr>
                <w:sz w:val="20"/>
                <w:szCs w:val="20"/>
                <w:color w:val="auto"/>
              </w:rPr>
            </w:pPr>
            <w:r>
              <w:rPr>
                <w:rFonts w:ascii="Arial" w:cs="Arial" w:eastAsia="Arial" w:hAnsi="Arial"/>
                <w:sz w:val="18"/>
                <w:szCs w:val="18"/>
                <w:color w:val="0000EE"/>
              </w:rPr>
              <w:t>Exhibit 32.2</w:t>
            </w: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7"/>
        </w:trPr>
        <w:tc>
          <w:tcPr>
            <w:tcW w:w="40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4360" w:type="dxa"/>
            <w:vAlign w:val="bottom"/>
            <w:gridSpan w:val="13"/>
          </w:tcPr>
          <w:p>
            <w:pPr>
              <w:jc w:val="center"/>
              <w:ind w:left="345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6"/>
        </w:trPr>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left="560" w:right="216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BALANCE SHEETS (in thousands, except share and per share amounts)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23,364</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Accounts receivable, net of allowances of $382 and $467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23"/>
        </w:trPr>
        <w:tc>
          <w:tcPr>
            <w:tcW w:w="70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116,066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27,430</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3"/>
              </w:rPr>
              <w:t>Preferred stock, $0.01 par value: Shares authorized: 30,000,000 shares at March 31, 2010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0"/>
              <w:spacing w:after="0"/>
              <w:rPr>
                <w:sz w:val="20"/>
                <w:szCs w:val="20"/>
                <w:color w:val="auto"/>
              </w:rPr>
            </w:pPr>
            <w:r>
              <w:rPr>
                <w:rFonts w:ascii="Arial" w:cs="Arial" w:eastAsia="Arial" w:hAnsi="Arial"/>
                <w:sz w:val="18"/>
                <w:szCs w:val="18"/>
                <w:color w:val="auto"/>
                <w:w w:val="92"/>
              </w:rPr>
              <w:t>December 31, 2010; no shares issued and outstanding at March 31, 2010 and December 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no par value: Shares authorized: 200,000,000 at March 31, 2010 and December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31, 2010; shares issued: 29,911,203 and 30,224,199 at March 31, 2010 and December 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2010; shares outstanding: 22,442,380 and 22,792,302 at March 31, 2010 and December 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122,515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123,965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Shareholder notes receivable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2"/>
              </w:rPr>
              <w:t>Treasury stock: 7,468,823 and 7,431,897 common shares at March 31, 2010 and December 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(32,011)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(31,767)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116,066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gridSpan w:val="8"/>
          </w:tcPr>
          <w:p>
            <w:pPr>
              <w:jc w:val="center"/>
              <w:ind w:left="141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20" w:type="dxa"/>
            <w:vAlign w:val="bottom"/>
            <w:gridSpan w:val="10"/>
          </w:tcPr>
          <w:p>
            <w:pPr>
              <w:jc w:val="center"/>
              <w:ind w:left="270"/>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gridSpan w:val="7"/>
          </w:tcPr>
          <w:p>
            <w:pPr>
              <w:jc w:val="center"/>
              <w:ind w:left="15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December 31,</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41,645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54,080</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19,295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58,074</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10,633</w:t>
            </w: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18,784</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27,727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35,566</w:t>
            </w: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w:t>
            </w:r>
          </w:p>
        </w:tc>
      </w:tr>
      <w:tr>
        <w:trPr>
          <w:trHeight w:val="230"/>
        </w:trPr>
        <w:tc>
          <w:tcPr>
            <w:tcW w:w="340" w:type="dxa"/>
            <w:vAlign w:val="bottom"/>
          </w:tcPr>
          <w:p>
            <w:pPr>
              <w:spacing w:after="0"/>
              <w:rPr>
                <w:sz w:val="20"/>
                <w:szCs w:val="20"/>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20,458</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38,655</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19,419</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8,642</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3,063</w:t>
            </w: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3,235</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9,176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10,124</w:t>
            </w: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r>
      <w:tr>
        <w:trPr>
          <w:trHeight w:val="223"/>
        </w:trPr>
        <w:tc>
          <w:tcPr>
            <w:tcW w:w="340" w:type="dxa"/>
            <w:vAlign w:val="bottom"/>
          </w:tcPr>
          <w:p>
            <w:pPr>
              <w:spacing w:after="0"/>
              <w:rPr>
                <w:sz w:val="19"/>
                <w:szCs w:val="19"/>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Dividend and interest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24"/>
        </w:trPr>
        <w:tc>
          <w:tcPr>
            <w:tcW w:w="3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r>
      <w:tr>
        <w:trPr>
          <w:trHeight w:val="223"/>
        </w:trPr>
        <w:tc>
          <w:tcPr>
            <w:tcW w:w="340" w:type="dxa"/>
            <w:vAlign w:val="bottom"/>
          </w:tcPr>
          <w:p>
            <w:pPr>
              <w:spacing w:after="0"/>
              <w:rPr>
                <w:sz w:val="19"/>
                <w:szCs w:val="19"/>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216"/>
        </w:trPr>
        <w:tc>
          <w:tcPr>
            <w:tcW w:w="3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21,792,175</w:t>
            </w: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22,726,426</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21,709,799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22,629,776</w:t>
            </w:r>
          </w:p>
        </w:tc>
      </w:tr>
      <w:tr>
        <w:trPr>
          <w:trHeight w:val="216"/>
        </w:trPr>
        <w:tc>
          <w:tcPr>
            <w:tcW w:w="3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202"/>
        </w:trPr>
        <w:tc>
          <w:tcPr>
            <w:tcW w:w="340" w:type="dxa"/>
            <w:vAlign w:val="bottom"/>
          </w:tcPr>
          <w:p>
            <w:pPr>
              <w:spacing w:after="0"/>
              <w:rPr>
                <w:sz w:val="17"/>
                <w:szCs w:val="17"/>
                <w:color w:val="auto"/>
              </w:rPr>
            </w:pP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common shares and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equivalents outstanding</w:t>
            </w:r>
          </w:p>
        </w:tc>
        <w:tc>
          <w:tcPr>
            <w:tcW w:w="2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22,567,575</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23,110,633</w:t>
            </w:r>
          </w:p>
        </w:tc>
        <w:tc>
          <w:tcPr>
            <w:tcW w:w="2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21,709,799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22,629,776</w:t>
            </w: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2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2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(3,365)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(9,794)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 of property and equipment leased to customers under operating leases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(7,375)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Sale of short-term investments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5,522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patents and licenses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sales of long-term assets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23"/>
        </w:trPr>
        <w:tc>
          <w:tcPr>
            <w:tcW w:w="34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Payment of long-term debt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shareholder notes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financing costs and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23,364</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34"/>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issued from treasury for stock note receivable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30"/>
        </w:trPr>
        <w:tc>
          <w:tcPr>
            <w:tcW w:w="34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Shares surrendered into treasury for stock option exercise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5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August 2009, we created Orion Engineered Systems, a new operating division offering additional alternative renewable energy systems. During the quarter ended December 31, 2010, the new division exceeded the thresholds for segment reporting and, accordingly, the Company has introduced the presentation of operating segments in this quarter. See Note I “Segment Reporting” of these financial statements for further discussion of our reportable segments.</w:t>
      </w:r>
    </w:p>
    <w:p>
      <w:pPr>
        <w:spacing w:after="0" w:line="14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corporate offices and manufacturing operations are located in Manitowoc, Wisconsin and an operations facility is located in Plymouth, Wisconsin.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Certain items have been reclassified from the fiscal year 2010 classifications to conform to the fiscal year 2011 presentation. The reclassification had no effect on net cash used in operating activities, total assets, net income (loss) or income (loss) per share.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2011 or other interim periods.</w:t>
      </w:r>
    </w:p>
    <w:p>
      <w:pPr>
        <w:spacing w:after="0" w:line="151"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condensed consolidated balance sheet at March 31, 2010 has been derived from the audited consolidated financial statements at that date but does not include all of the information required by GAAP for complete financial statements.</w:t>
      </w:r>
    </w:p>
    <w:p>
      <w:pPr>
        <w:spacing w:after="0" w:line="10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2010 filed with the SEC on June 14, 2010.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amortized cost and fair value of marketable securities, with gross unrealized gains and losses, as of March 31, 2010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2010 were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2010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7"/>
        </w:trPr>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March 31, 2010 and December 31, 2010, the Company’s financial assets described in the table above were measured at fair value on a recurring basis employing quoted prices in active markets for identical assets (level 1 inputs).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carrying amounts of the Company’s financial instruments, which include cash and cash equivalents, short-term investments, accounts receivable, and accounts payable and deferred revenue,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or systems,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2010 and December 31, 2010, the Company had inventory obsolescence reserves of $756,000 and $798,000,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80" w:firstLine="38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Inventories were comprised of the following (in thousands):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Work in process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40" w:type="dxa"/>
            <w:vAlign w:val="bottom"/>
          </w:tcPr>
          <w:p>
            <w:pPr>
              <w:ind w:left="38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Buildings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Equipment leased to customers under finance agreements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60" w:firstLine="389"/>
        <w:spacing w:after="0" w:line="279" w:lineRule="auto"/>
        <w:rPr>
          <w:sz w:val="20"/>
          <w:szCs w:val="20"/>
          <w:color w:val="auto"/>
        </w:rPr>
      </w:pPr>
      <w:r>
        <w:rPr>
          <w:rFonts w:ascii="Arial" w:cs="Arial" w:eastAsia="Arial" w:hAnsi="Arial"/>
          <w:sz w:val="17"/>
          <w:szCs w:val="17"/>
          <w:color w:val="auto"/>
        </w:rPr>
        <w:t>The Company capitalized $21,000 and none, respectively, of the interest costs for construction in progress for the nine months ended December 31, 2009 and 2010, respectively. Included in construction in progress are costs related to Company-owned equipment leased to customers under Orion Throughput Agreements, or OTAs, and solar power purchase agreements, or PPAs, of $3.7 million and $4.0 million as of March 31, 2010 and December 31, 2010, respectively.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85" w:lineRule="exact"/>
        <w:rPr>
          <w:sz w:val="20"/>
          <w:szCs w:val="20"/>
          <w:color w:val="auto"/>
        </w:rPr>
      </w:pPr>
    </w:p>
    <w:p>
      <w:pPr>
        <w:jc w:val="both"/>
        <w:ind w:left="340" w:right="1360" w:firstLine="389"/>
        <w:spacing w:after="0" w:line="277" w:lineRule="auto"/>
        <w:rPr>
          <w:sz w:val="20"/>
          <w:szCs w:val="20"/>
          <w:color w:val="auto"/>
        </w:rPr>
      </w:pPr>
      <w:r>
        <w:rPr>
          <w:rFonts w:ascii="Arial" w:cs="Arial" w:eastAsia="Arial" w:hAnsi="Arial"/>
          <w:sz w:val="18"/>
          <w:szCs w:val="18"/>
          <w:color w:val="auto"/>
        </w:rPr>
        <w:t>Other long-term assets include $27,000 and $68,000 of deferred financing costs as of March 31, 2010 and December 31, 2010, respectively.</w:t>
      </w:r>
    </w:p>
    <w:p>
      <w:pPr>
        <w:spacing w:after="0" w:line="130" w:lineRule="exact"/>
        <w:rPr>
          <w:sz w:val="20"/>
          <w:szCs w:val="20"/>
          <w:color w:val="auto"/>
        </w:rPr>
      </w:pPr>
    </w:p>
    <w:p>
      <w:pPr>
        <w:jc w:val="both"/>
        <w:ind w:left="340" w:right="1380" w:firstLine="389"/>
        <w:spacing w:after="0" w:line="259" w:lineRule="auto"/>
        <w:rPr>
          <w:sz w:val="20"/>
          <w:szCs w:val="20"/>
          <w:color w:val="auto"/>
        </w:rPr>
      </w:pPr>
      <w:r>
        <w:rPr>
          <w:rFonts w:ascii="Arial" w:cs="Arial" w:eastAsia="Arial" w:hAnsi="Arial"/>
          <w:sz w:val="18"/>
          <w:szCs w:val="18"/>
          <w:color w:val="auto"/>
        </w:rPr>
        <w:t>Also included in other long-term assets are amounts due from a third party finance company to which the Company has sold, without recourse, the future cash flows from OTAs entered into with customers. Such receivables are recorded at the present value of the future cash flows discounted at 7.5%. As of December 31, 2010, the following amounts were due from the third party finance company in future periods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5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Fiscal 2014</w:t>
            </w:r>
          </w:p>
        </w:tc>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5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5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50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20" w:type="dxa"/>
            <w:vAlign w:val="bottom"/>
            <w:vMerge w:val="restart"/>
          </w:tcPr>
          <w:p>
            <w:pPr>
              <w:jc w:val="right"/>
              <w:ind w:right="367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Accrued expenses include warranty accruals, accrued wages and benefits, accrued vacation, sales tax payable and other various unpaid expenses. Accrued legal costs were $1.2 million and $1.1 million as of March 31, 2010 and December 31, 2010, respectively.</w:t>
      </w:r>
    </w:p>
    <w:p>
      <w:pPr>
        <w:spacing w:after="0" w:line="8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7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(44)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(18)</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(77)</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(94)</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an operating lease and upon successful installation of the system and customer acknowledgement that the system is operating as specified, product revenue is recognized on a monthly basis over the life of the OTA contract, typically a 12-month renewable agreement with a maximum term of between two and five years.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a separate financing program, called a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than for OTA and PPA sales, revenue is recognized when the following four criteria are met:</w:t>
      </w:r>
    </w:p>
    <w:p>
      <w:pPr>
        <w:spacing w:after="0" w:line="185" w:lineRule="exact"/>
        <w:rPr>
          <w:sz w:val="20"/>
          <w:szCs w:val="20"/>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54"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As discussed in “Recent Accounting Pronouncements”, the Company elected to adopt the revised guidance of ASC 605-25 related to multiple-element arrangements during the quarter ended December 31, 2010. This guidance was retrospectively applied to the beginning of the Company’s fiscal year.</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For sales contracts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established VSOE of selling price for its HIF lighting and energy management system products using the price charged for a deliverable when sold separately. In addition, the Company determines the selling price for its installation and recycling services through establishing TPE by obtaining independent quotes from installation contractors and evaluating similar services in standalone arrangements with similarly situated customers. Service revenue is recognized when services are complete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6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To determine the selling price for solar renewable product and services sold through the Company’s Engineered Systems group, the Company uses management’s best estimate of selling price giving consideration to external and internal factors including, but not limited to, pricing practices, margin objectives, competition, scope and size of individual projects, geographies in which the Company offers its products and services and internal costs. The Company has completed a limited number of renewable project sales and accordingly, does not have sufficient VSOE or TPE evidence.</w:t>
      </w:r>
    </w:p>
    <w:p>
      <w:pPr>
        <w:spacing w:after="0" w:line="14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nature of the Company’s multiple element arrangements are similar to a construction project with materials being delivered and contracting and project management activities occurring according to an installation schedule. The significant deliverables include the shipment of products and related transfer of title and the installation. The Company’s manufactured technologies are typically delivered within two weeks of receipt of a customer’s purchase order. The timing of delivery on renewable projects through the Company’s Engineered Systems division is dependent upon a contractual schedule agreed upon with the customer and executed in advance of the project start date. Installation for lighting and energy management projects is typically completed within four to six weeks, but can be longer dependent upon the size of the project, the complexity of the interior facility layout and the availability of the customer’s schedule to complete the project. Installation for renewable projects completed through the Company’s Engineered Systems division can often take three to six months to complete and can be longer dependent upon weather issues during installation.</w:t>
      </w:r>
    </w:p>
    <w:p>
      <w:pPr>
        <w:spacing w:after="0" w:line="12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prepaid expenses and other current assets on the Condensed Consolidated Balance Sheet. These deferred costs are expensed at the time the related revenue is recognized. Deferred costs amounted to $415,000 and $436,000 as of March 31, 2010 and December 31, 2010, respectively.</w:t>
      </w:r>
    </w:p>
    <w:p>
      <w:pPr>
        <w:spacing w:after="0" w:line="160"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Deferred revenue relates to advance customer billings, energy efficiency rebates received related to OTAs, investment tax grants received related to PPAs and a separate obligation to provide maintenance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Deferred revenue was comprised of the following (in thousands):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r>
      <w:tr>
        <w:trPr>
          <w:trHeight w:val="27"/>
        </w:trPr>
        <w:tc>
          <w:tcPr>
            <w:tcW w:w="6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0"/>
        </w:trPr>
        <w:tc>
          <w:tcPr>
            <w:tcW w:w="6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Accrued penalties and interest were immaterial as of the date of adoption and are included in the unrecognized tax benefits.</w:t>
      </w:r>
    </w:p>
    <w:p>
      <w:pPr>
        <w:sectPr>
          <w:pgSz w:w="11900" w:h="16838" w:orient="portrait"/>
          <w:cols w:equalWidth="0" w:num="1">
            <w:col w:w="10219"/>
          </w:cols>
          <w:pgMar w:left="240" w:top="419" w:right="1440" w:bottom="1149"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49"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nine months ended December 31, 2009 and 2010, realized tax benefits from the exercise of stock options were $0.1 million and $0.2 million, respectively.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fair value of each option grant for the three and nine months ended December 31, 2009 and 2010 was determined using the assumptions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1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1"/>
              </w:rPr>
              <w:t>Three Months Ended December 31,</w:t>
            </w:r>
          </w:p>
        </w:tc>
        <w:tc>
          <w:tcPr>
            <w:tcW w:w="28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Nine Months Ended December 31,</w:t>
            </w:r>
          </w:p>
        </w:tc>
      </w:tr>
      <w:tr>
        <w:trPr>
          <w:trHeight w:val="210"/>
        </w:trPr>
        <w:tc>
          <w:tcPr>
            <w:tcW w:w="37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 years</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 years</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 years</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74.8%</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 74.8%</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income (loss) per share of common stock was as follows for the three and nine months ended December 31, 2009 and 2010:</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89"/>
              </w:rPr>
              <w:t>Three months Ended December 31,</w:t>
            </w:r>
          </w:p>
        </w:tc>
        <w:tc>
          <w:tcPr>
            <w:tcW w:w="360" w:type="dxa"/>
            <w:vAlign w:val="bottom"/>
          </w:tcPr>
          <w:p>
            <w:pPr>
              <w:spacing w:after="0"/>
              <w:rPr>
                <w:sz w:val="20"/>
                <w:szCs w:val="20"/>
                <w:color w:val="auto"/>
              </w:rPr>
            </w:pPr>
          </w:p>
        </w:tc>
        <w:tc>
          <w:tcPr>
            <w:tcW w:w="27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w w:val="91"/>
              </w:rPr>
              <w:t>Nine months Ended December 31,</w:t>
            </w: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Net income (loss)(in thousands)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807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r>
      <w:tr>
        <w:trPr>
          <w:trHeight w:val="202"/>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6"/>
              </w:rPr>
              <w:t>Weighted-average common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21,792,175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22,726,426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21,709,799</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22,629,776</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effect of assumed conversion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stock options and warrants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775,400</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384,207</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w w:val="93"/>
              </w:rPr>
              <w:t>Weighted-average common shares and common</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share equivalents outstanding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22,567,575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23,110,633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21,709,799</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22,629,776</w:t>
            </w: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66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Basic net income (loss) per common share is computed by dividing net income (loss) by the weighted-average number of common shares outstanding during the period. Diluted net income (loss) per common share is computed by dividing the net income (loss) by the weighted-average number of diluted common shares outstanding during the period. Diluted shares outstanding are calculated by adding to the weighted average shares any outstanding stock options and warrants based upon the treasury stock method. Diluted net loss per share is the same as basic net loss per share for periods with a net loss because the effects of potentially dilutive securities are anti-dilutive.</w:t>
      </w:r>
    </w:p>
    <w:p>
      <w:pPr>
        <w:spacing w:after="0" w:line="15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had the following anti-dilutive securities outstanding which were excluded from the calculation of diluted net loss per share for the nine months ended: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430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100" w:type="dxa"/>
            <w:vAlign w:val="bottom"/>
          </w:tcPr>
          <w:p>
            <w:pPr>
              <w:spacing w:after="0"/>
              <w:rPr>
                <w:sz w:val="20"/>
                <w:szCs w:val="20"/>
                <w:color w:val="auto"/>
              </w:rPr>
            </w:pPr>
          </w:p>
        </w:tc>
        <w:tc>
          <w:tcPr>
            <w:tcW w:w="41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357,144</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45,040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 Options</w:t>
            </w:r>
          </w:p>
        </w:tc>
        <w:tc>
          <w:tcPr>
            <w:tcW w:w="30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3,564,200</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3,651,648</w:t>
            </w:r>
          </w:p>
        </w:tc>
      </w:tr>
      <w:tr>
        <w:trPr>
          <w:trHeight w:val="27"/>
        </w:trPr>
        <w:tc>
          <w:tcPr>
            <w:tcW w:w="4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3,921,344</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3,696,688</w:t>
            </w:r>
          </w:p>
        </w:tc>
      </w:tr>
      <w:tr>
        <w:trPr>
          <w:trHeight w:val="20"/>
        </w:trPr>
        <w:tc>
          <w:tcPr>
            <w:tcW w:w="4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47% and 17% of total cost of revenue for the three months ended December 31, 2009 and 2010, respectively, and 28% of total cost of revenue for both the nine months ended December 31, 2009 and 2010, respectively.</w:t>
      </w:r>
    </w:p>
    <w:p>
      <w:pPr>
        <w:spacing w:after="0" w:line="131"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For the three and nine months ended December 31, 2009, no customers accounted for more than 10% of revenue. For the three and nine months ended December 31, 2010, one customer accounted for 20% and 10% of revenue, respectively.</w:t>
      </w:r>
    </w:p>
    <w:p>
      <w:pPr>
        <w:spacing w:after="0" w:line="10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March 31, 2010, no customer accounted for more than 10% of the accounts receivable balance. As of December 31, 2010, one customer accounted for more than 10% of the accounts receivable balance.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 xml:space="preserve">In July 2010, the FASB issued Accounting Standards Update 2010-20, </w:t>
      </w:r>
      <w:r>
        <w:rPr>
          <w:rFonts w:ascii="Arial" w:cs="Arial" w:eastAsia="Arial" w:hAnsi="Arial"/>
          <w:sz w:val="17"/>
          <w:szCs w:val="17"/>
          <w:i w:val="1"/>
          <w:iCs w:val="1"/>
          <w:color w:val="auto"/>
        </w:rPr>
        <w:t>Disclosures about the Credit Quality of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and the Allowance for Credit Losses </w:t>
      </w:r>
      <w:r>
        <w:rPr>
          <w:rFonts w:ascii="Arial" w:cs="Arial" w:eastAsia="Arial" w:hAnsi="Arial"/>
          <w:sz w:val="17"/>
          <w:szCs w:val="17"/>
          <w:color w:val="auto"/>
        </w:rPr>
        <w:t>(ASU 2010-20). ASU 2010-20 requires further disaggregated disclosures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financial statement users’ understanding of (1) the nature of an entity’s credit 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did not have a material impact on the Company’s consolidated results of operations and financial condition.</w:t>
      </w:r>
    </w:p>
    <w:p>
      <w:pPr>
        <w:spacing w:after="0" w:line="13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 xml:space="preserve">Effective April 1, 2010, the Company adopted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which amends ASC Subtopic 650-25 Revenue Recognition—Multiple-Element Arrangements to eliminate the requirement that all undelivered elements have vendor-specific objective evidence (“VSOE”) or third-party evidence (“TPE”) before an entity can recognize the portion of an overall arrangement fee that is attributable to items that already have been delivered. In the absence of VSOE or TPE of the standalone selling price for one or more delivered or undelivered elements in a multiple-element arrangement, entities will be required to estimate the selling prices of those elements. The overall arrangement fee will be allocated to each element (both delivered and undelivered items) based on their relative selling prices, regardless of whether those selling prices are evidenced by VSOE or TPE or are based on the entity’s estimated selling price. Additionally, the new guidance will require entities to disclose more information about their multiple-element revenue arrangements. The adoption of this ASU did not result in a material change in either the units of accounting or a change in the pattern or timing of revenue recognition. Additionally, the adoption of this ASU did not have a material impact on the Company’s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C — RELATED PARTY TRANSACTIONS</w:t>
      </w:r>
    </w:p>
    <w:p>
      <w:pPr>
        <w:spacing w:after="0" w:line="20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During the nine months ended December 31, 2009 and 2010, the Company recorded revenue of $27,000 and $18,000 for products and services sold to an entity for which a director of the Company was formerly the executive chairman. The Company also entered into an OTA finance contract with such entity in September 2010 with future expected gross contracted revenue to the Company of $2.9 million. During the same nine month periods, the Company purchased goods and services from the same entity in the amounts of $30,000 and none. The terms and conditions of such relationship are believed to be not materially more favorable to the Company or the entity than could be obtained from an independent third party.</w:t>
      </w:r>
    </w:p>
    <w:p>
      <w:pPr>
        <w:spacing w:after="0" w:line="13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nine months ended December 31, 2009 and 2010, the Company recorded revenue of $705,000 and $183,000 for products and services sold to various entities affiliated or associated with an entity for which a director of the Company previously served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executive officer serves. The terms and conditions of such relationship are believed to be not materially more favorable to the Company or the entity than could be obtained from an independent third party.</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D — LONG-TERM DEBT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as of March 31, 2010 and December 31, 2010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2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Customer equipment finance note payable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Debenture payable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long-term debt</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7"/>
        </w:trPr>
        <w:tc>
          <w:tcPr>
            <w:tcW w:w="5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r>
      <w:tr>
        <w:trPr>
          <w:trHeight w:val="27"/>
        </w:trPr>
        <w:tc>
          <w:tcPr>
            <w:tcW w:w="5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3,156</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w:t>
            </w:r>
          </w:p>
        </w:tc>
      </w:tr>
      <w:tr>
        <w:trPr>
          <w:trHeight w:val="20"/>
        </w:trPr>
        <w:tc>
          <w:tcPr>
            <w:tcW w:w="5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Debt Arrangements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September 2010, the Company entered into a note agreement with a financial institution that provided the Company with $2.4 million to fund completed customer contracts under the Company’s OTA finance program. This note is included in the table above as customer equipment finance note payable. The note is collateralized by the OTA-related equipment and the expected future monthly payments under the supporting 57 individual OTA customer contracts. The note bears interest at 7% and matures in September 2015. The note agreement includes certain prepayment penalties and a covenant that the Company maintain at least $5 million in cash liquidity. The Company was in compliance with all covenants in the note agreement as of December 31, 2010.</w:t>
      </w:r>
    </w:p>
    <w:p>
      <w:pPr>
        <w:spacing w:after="0" w:line="13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September 2010, the Company entered into a note agreement with the Wisconsin Department of Commerce that provided the Company with $0.3 million to fund the Company’s rooftop solar project at its Manitowoc manufacturing facility. This note is included in the table above as other long-term debt. The note is collateralized by the related solar equipment. The note allows for two years without interest accruing or principal payments due. Beginning in June 2012, the note bears interest at 2%. The note matures in June 2017. The note agreement requires the Company to maintain a certain number of jobs at its Manitowoc facilities during the note’s duration. The Company was in compliance with all covenants in the note agreement as of December 31, 2010.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On June 30, 2010, the Company entered into a new credit agreement (Credit Agreement) with JP Morgan Chase Bank, N.A. (JP Morgan). The Credit Agreement replaced the Company’s former credit agreement with a different bank.</w:t>
      </w:r>
    </w:p>
    <w:p>
      <w:pPr>
        <w:spacing w:after="0" w:line="143"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December 31, 2010, the Company had outstanding letters of credit totaling $1.7 million, primarily for securing collateral requirements under equipment operating leases. The Company incurred $61,000 of deferred financing costs related to the Credit Agreement which will be amortized over the two-year term of the Credit Agreement. There were no borrowings by the Company under the Credit Agreement as of December 31, 2010. The Company was in compliance with all of its covenants under the Credit Agreement as of December 31, 2010.</w:t>
      </w:r>
    </w:p>
    <w:p>
      <w:pPr>
        <w:spacing w:after="0" w:line="14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photovoltaic and wind turbine systems or facilities, as well as all accounts receivable and assets of the Company related to the foregoing, are excluded from these liens.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not met as of December 31, 2010.</w:t>
      </w:r>
    </w:p>
    <w:p>
      <w:pPr>
        <w:sectPr>
          <w:pgSz w:w="11900" w:h="16838" w:orient="portrait"/>
          <w:cols w:equalWidth="0" w:num="1">
            <w:col w:w="10219"/>
          </w:cols>
          <w:pgMar w:left="240" w:top="419" w:right="1440" w:bottom="1163"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63"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INCOME TAXES</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income tax provision for the nine months ended December 31, 2010 was determined by applying an estimated annual effective tax rate of 57.9% to income before taxes. The estimated effective income tax rate was determined by applying statutory tax rates to pretax income adjusted for certain permanent book to tax differences and tax credits.</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9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1"/>
              </w:rPr>
              <w:t>Nine Months Ended December 31,</w:t>
            </w:r>
          </w:p>
        </w:tc>
      </w:tr>
      <w:tr>
        <w:trPr>
          <w:trHeight w:val="210"/>
        </w:trPr>
        <w:tc>
          <w:tcPr>
            <w:tcW w:w="67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taxes, net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Federal tax credit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valuation allowance</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net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7"/>
        </w:trPr>
        <w:tc>
          <w:tcPr>
            <w:tcW w:w="6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r>
      <w:tr>
        <w:trPr>
          <w:trHeight w:val="20"/>
        </w:trPr>
        <w:tc>
          <w:tcPr>
            <w:tcW w:w="6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over the fair value determined at the grant date. The amount of the benefit is based on the ultimate deduction reflected in the applicable income tax return. Benefits of $0.1 million were recorded in fiscal 2010 as a reduction in taxes payable and a credit to additional paid in capital based on the amount that was utilized during the year. Benefits of $0.1 million and $0.2 million were recorded for the nine-month periods ended December 31, 2009 and 2010, respectively.</w:t>
      </w:r>
    </w:p>
    <w:p>
      <w:pPr>
        <w:spacing w:after="0" w:line="14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2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As of December 31, 2010, the Company had federal net operating loss carryforwards of approximately $13.4 million, of which $6.1 million are associated with the exercise of non-qualified stock options that have not yet been recognized by the Company in its financial statements. The Company also has state net operating loss carryforwards of approximately $7.9 million, of which $3.2 million are associated with the exercise of non-qualified stock options. The Company also has federal tax credit carryforwards of approximately $712,000, but it does not currently record any state tax credit carryforwards after giving effect to its related valuation allowance of $572,000. The Company has not recorded a valuation allowance for federal loss carryforwards or tax credits. Both the net operating losses and tax credit carryforwards expire between 2014 and 2030.</w:t>
      </w:r>
    </w:p>
    <w:p>
      <w:pPr>
        <w:spacing w:after="0" w:line="137"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As of December 31, 2010, the balance of gross unrecognized tax benefits was approximately $399,000,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 For the nine months ended December 31, 2009 and 2010, the Company had the following unrecognized tax benefit activity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2009</w:t>
            </w:r>
          </w:p>
        </w:tc>
        <w:tc>
          <w:tcPr>
            <w:tcW w:w="340" w:type="dxa"/>
            <w:vAlign w:val="bottom"/>
            <w:gridSpan w:val="2"/>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December 31, 2010</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leases vehicles and equipment under operating leases. Rent expense under operating leases was $385,000 and $483,000 for the three months ended December 31, 2009 and 2010; and $1.0 million and $1.3 million for the nine months ended December 31, 2009 and 2010. In addition, the Company enters into non-cancellable purchase commitments for certain inventory items in order to secure better pricing and ensure materials on hand, as well as for capital expenditures. As of December 31, 2010, the Company had entered into $22.7 million of purchase commitments, including $0.1 million related to the remaining capital committed for information technology improvements and other manufacturing equipment, $9.2 million for commitments under operating leases and $13.4 million for inventory purchases.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The plaintiffs claimed to represent those persons who purchased shares of the Company’s common stock from December 18, 2007 through February 6, 2008. The plaintiffs alleged, among other things, that the defendants made misstatements and failed to disclose material information in the Company’s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2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6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the fourth quarter of fiscal 2010, the Company reached a preliminary agreement to settle the class action lawsuits and on January 3, 2011, the court issued an order granting preliminary approval of the settlement. The court has scheduled a fairness hearing for April 14, 2011. Substantially all of the proposed preliminary settlement amount will be covered by the Company’s insurance. However, for the Company’s share of the proposed preliminary settlement not covered by insurance, the Company recorded an after-tax charge in the fourth quarter of fiscal 2010 of approximately $0.02 per share. The Company deposited its uninsured share of the settlement amount in escrow on February 1, 2011.</w:t>
      </w:r>
    </w:p>
    <w:p>
      <w:pPr>
        <w:spacing w:after="0" w:line="153"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If the preliminary settlement is not finally approved or the other conditions are not met, the Company will continue to defend against the lawsuits and believes that it and the other defendants have substantial legal and factual defenses to the claims and allegations contained in the consolidated complaint. In such a case, the Company would intend to pursue these defenses vigorously. There can be no assurance, however, that the Company would be successful, and an adverse resolution of the lawsuits could have a material adverse effect on the Company’s financial condition,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If the preliminary settlement is not finally approved or the other conditions are not met, the Company is not presently able to reasonably estimate potential costs and/or losses, if any, related to the lawsuit.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G — SHAREHOLDERS’ EQUITY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Amex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for the first nine months of fiscal 2011:</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89"/>
              </w:rPr>
              <w:t>As of December 31, 2010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8"/>
              </w:rPr>
              <w:t>Shares Issued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6"/>
              </w:rPr>
              <w:t>Closing</w:t>
            </w:r>
          </w:p>
        </w:tc>
        <w:tc>
          <w:tcPr>
            <w:tcW w:w="240" w:type="dxa"/>
            <w:vAlign w:val="bottom"/>
          </w:tcPr>
          <w:p>
            <w:pPr>
              <w:spacing w:after="0"/>
              <w:rPr>
                <w:sz w:val="16"/>
                <w:szCs w:val="16"/>
                <w:color w:val="auto"/>
              </w:rPr>
            </w:pPr>
          </w:p>
        </w:tc>
        <w:tc>
          <w:tcPr>
            <w:tcW w:w="18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Shares Issued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Dollar Value</w:t>
            </w:r>
          </w:p>
        </w:tc>
        <w:tc>
          <w:tcPr>
            <w:tcW w:w="120" w:type="dxa"/>
            <w:vAlign w:val="bottom"/>
          </w:tcPr>
          <w:p>
            <w:pPr>
              <w:spacing w:after="0"/>
              <w:rPr>
                <w:sz w:val="16"/>
                <w:szCs w:val="16"/>
                <w:color w:val="auto"/>
              </w:rPr>
            </w:pPr>
          </w:p>
        </w:tc>
        <w:tc>
          <w:tcPr>
            <w:tcW w:w="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Repayment</w:t>
            </w:r>
          </w:p>
        </w:tc>
        <w:tc>
          <w:tcPr>
            <w:tcW w:w="80" w:type="dxa"/>
            <w:vAlign w:val="bottom"/>
          </w:tcPr>
          <w:p>
            <w:pPr>
              <w:spacing w:after="0"/>
              <w:rPr>
                <w:sz w:val="16"/>
                <w:szCs w:val="16"/>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Under ESPP Plan</w:t>
            </w:r>
          </w:p>
        </w:tc>
        <w:tc>
          <w:tcPr>
            <w:tcW w:w="1180" w:type="dxa"/>
            <w:vAlign w:val="bottom"/>
            <w:gridSpan w:val="4"/>
          </w:tcPr>
          <w:p>
            <w:pPr>
              <w:ind w:left="140"/>
              <w:spacing w:after="0"/>
              <w:rPr>
                <w:sz w:val="20"/>
                <w:szCs w:val="20"/>
                <w:color w:val="auto"/>
              </w:rPr>
            </w:pPr>
            <w:r>
              <w:rPr>
                <w:rFonts w:ascii="Arial" w:cs="Arial" w:eastAsia="Arial" w:hAnsi="Arial"/>
                <w:sz w:val="18"/>
                <w:szCs w:val="18"/>
                <w:b w:val="1"/>
                <w:bCs w:val="1"/>
                <w:color w:val="auto"/>
                <w:w w:val="95"/>
              </w:rPr>
              <w:t>Market Price</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Under Loan Program</w:t>
            </w:r>
          </w:p>
        </w:tc>
        <w:tc>
          <w:tcPr>
            <w:tcW w:w="152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Of Loans Issued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Loans</w:t>
            </w:r>
          </w:p>
        </w:tc>
      </w:tr>
      <w:tr>
        <w:trPr>
          <w:trHeight w:val="195"/>
        </w:trPr>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8"/>
              </w:rPr>
              <w:t>Quarter Ended September 30,</w:t>
            </w:r>
          </w:p>
        </w:tc>
        <w:tc>
          <w:tcPr>
            <w:tcW w:w="18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40,560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38,202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0"/>
              </w:rPr>
              <w:t>Quarter Ended December 31,</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20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12,274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10,898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36,400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844</w:t>
            </w:r>
          </w:p>
        </w:tc>
      </w:tr>
      <w:tr>
        <w:trPr>
          <w:trHeight w:val="27"/>
        </w:trPr>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52,834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OPTIONS AND WARRANTS</w:t>
      </w:r>
    </w:p>
    <w:p>
      <w:pPr>
        <w:spacing w:after="0" w:line="189"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grants stock options under its 2003 Stock Option and 2004 Stock and Incentive Awards Plans (the Plans). Under the terms of the Plans, the Company has reserved 12,000,000 shares for issuance to key employees, consultants and directors. The Company’s board of directors approved an increase to the number of shares available under the 2004 Stock and Incentive Awards Plan of 1,500,000 shares, and such share increase was approved by the Company’s shareholders at the 2010 annual shareholders meeting and such shares are included above.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incentive stock options and non-qualified stock options, although in July 2008, the Company adopted a policy of thereafter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4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For the three and nine months ended December 31, 2010, the Company granted none and 11,976 shares from the 2004 Stock and Incentive Awards Plan to certain non-employee directors who elected to receive stock awards in lieu of cash compensation. The shares were valued ranging from $2.86 to $3.46 per share, the market prices as of the grant dates.</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December 31,</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10"/>
        </w:trPr>
        <w:tc>
          <w:tcPr>
            <w:tcW w:w="39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135</w:t>
            </w: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205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3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December 31, 2010, compensation cost related to non-vested stock-based compensation amounted to $4.3 million over a remaining weighted average expected term of 6.7 years.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6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Available for</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of Shares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569,690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3,546,249</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Amendment to Plan</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1,500,000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Granted stock options</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(609,077)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609,077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0"/>
              </w:rPr>
              <w:t>Granted shares in lieu of cash compensation</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(11,976)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218,658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1,667,295</w:t>
            </w:r>
          </w:p>
        </w:tc>
        <w:tc>
          <w:tcPr>
            <w:tcW w:w="3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3,651,648</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2,080,575</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Exercisable at December 31, 2010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1,748,281</w:t>
            </w: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3.34</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1,581,405</w:t>
            </w: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$3.34 as of December 31, 2010.</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2010 was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1,789,119</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609,077</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(276,171)</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(218,658)</w:t>
            </w:r>
          </w:p>
        </w:tc>
      </w:tr>
      <w:tr>
        <w:trPr>
          <w:trHeight w:val="27"/>
        </w:trPr>
        <w:tc>
          <w:tcPr>
            <w:tcW w:w="8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1,903,367</w:t>
            </w:r>
          </w:p>
        </w:tc>
      </w:tr>
      <w:tr>
        <w:trPr>
          <w:trHeight w:val="20"/>
        </w:trPr>
        <w:tc>
          <w:tcPr>
            <w:tcW w:w="8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2010 or for the nine months ended December 31, 2010.</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gridSpan w:val="2"/>
          </w:tcPr>
          <w:p>
            <w:pPr>
              <w:ind w:left="380"/>
              <w:spacing w:after="0"/>
              <w:rPr>
                <w:sz w:val="20"/>
                <w:szCs w:val="20"/>
                <w:color w:val="auto"/>
              </w:rPr>
            </w:pPr>
            <w:r>
              <w:rPr>
                <w:rFonts w:ascii="Arial" w:cs="Arial" w:eastAsia="Arial" w:hAnsi="Arial"/>
                <w:sz w:val="18"/>
                <w:szCs w:val="18"/>
                <w:color w:val="auto"/>
              </w:rPr>
              <w:t>Outstanding warrants are comprised of the following:</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Issued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380"/>
              <w:spacing w:after="0"/>
              <w:rPr>
                <w:sz w:val="20"/>
                <w:szCs w:val="20"/>
                <w:color w:val="auto"/>
              </w:rPr>
            </w:pPr>
            <w:r>
              <w:rPr>
                <w:rFonts w:ascii="Arial" w:cs="Arial" w:eastAsia="Arial" w:hAnsi="Arial"/>
                <w:sz w:val="18"/>
                <w:szCs w:val="18"/>
                <w:color w:val="auto"/>
              </w:rPr>
              <w:t>A summary of outstanding warrants at December 31, 2010 follows: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w:t>
            </w:r>
          </w:p>
        </w:tc>
        <w:tc>
          <w:tcPr>
            <w:tcW w:w="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Fiscal 2014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Fiscal 2011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45,040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I — SEGMENTS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fiscal 2011 third quarter, certain activity of the Company’s Engineered Systems division exceeded the thresholds required for segment reporting. As such, descriptions of the Company’s segments and their summary financial information are presented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Energy Management division develops, manufactures and sells commercial high intensity fluorescent, or HIF, lighting systems and energy management systems.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and provides technical services for the Company’s sale of HIF lighting systems and energy management systems.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Operating (Loss) Profit</w:t>
            </w:r>
          </w:p>
        </w:tc>
        <w:tc>
          <w:tcPr>
            <w:tcW w:w="0" w:type="dxa"/>
            <w:vAlign w:val="bottom"/>
          </w:tcPr>
          <w:p>
            <w:pPr>
              <w:spacing w:after="0"/>
              <w:rPr>
                <w:sz w:val="1"/>
                <w:szCs w:val="1"/>
                <w:color w:val="auto"/>
              </w:rPr>
            </w:pPr>
          </w:p>
        </w:tc>
      </w:tr>
      <w:tr>
        <w:trPr>
          <w:trHeight w:val="210"/>
        </w:trPr>
        <w:tc>
          <w:tcPr>
            <w:tcW w:w="250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332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For the Three Months Ended December 31,</w:t>
            </w:r>
          </w:p>
        </w:tc>
        <w:tc>
          <w:tcPr>
            <w:tcW w:w="280" w:type="dxa"/>
            <w:vAlign w:val="bottom"/>
          </w:tcPr>
          <w:p>
            <w:pPr>
              <w:spacing w:after="0"/>
              <w:rPr>
                <w:sz w:val="18"/>
                <w:szCs w:val="18"/>
                <w:color w:val="auto"/>
              </w:rPr>
            </w:pPr>
          </w:p>
        </w:tc>
        <w:tc>
          <w:tcPr>
            <w:tcW w:w="33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For the Three Months Ended 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Energy Management</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16,672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19,354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2,384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10,317</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19,295</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29,671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Operating (Loss) Profit</w:t>
            </w:r>
          </w:p>
        </w:tc>
        <w:tc>
          <w:tcPr>
            <w:tcW w:w="0" w:type="dxa"/>
            <w:vAlign w:val="bottom"/>
          </w:tcPr>
          <w:p>
            <w:pPr>
              <w:spacing w:after="0"/>
              <w:rPr>
                <w:sz w:val="1"/>
                <w:szCs w:val="1"/>
                <w:color w:val="auto"/>
              </w:rPr>
            </w:pPr>
          </w:p>
        </w:tc>
      </w:tr>
      <w:tr>
        <w:trPr>
          <w:trHeight w:val="210"/>
        </w:trPr>
        <w:tc>
          <w:tcPr>
            <w:tcW w:w="250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33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For the Nine Months Ended December 31,</w:t>
            </w:r>
          </w:p>
        </w:tc>
        <w:tc>
          <w:tcPr>
            <w:tcW w:w="280" w:type="dxa"/>
            <w:vAlign w:val="bottom"/>
          </w:tcPr>
          <w:p>
            <w:pPr>
              <w:spacing w:after="0"/>
              <w:rPr>
                <w:sz w:val="18"/>
                <w:szCs w:val="18"/>
                <w:color w:val="auto"/>
              </w:rPr>
            </w:pPr>
          </w:p>
        </w:tc>
        <w:tc>
          <w:tcPr>
            <w:tcW w:w="33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For the Nine Months Ended 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Energy Management</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40,447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44,696</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928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13,378</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(4,905)</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46,542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58,074</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0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Deferred Revenue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March 31, 2010</w:t>
            </w:r>
          </w:p>
        </w:tc>
        <w:tc>
          <w:tcPr>
            <w:tcW w:w="2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December 31, 2010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March 31, 2010</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w w:val="88"/>
              </w:rPr>
              <w:t>December 31, 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Segments:</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Energy Management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55,771</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70,003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390</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12,199</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103,621</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00" w:right="179" w:hanging="76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2010 Annual Report filed on Form 10-K for the year ended March 31, 2010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that sell to their own customer bases.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have sold and installed more than 1,972,000 of our HIF lighting systems in over 6,500 facilities from December 1, 2001 through December 31, 2010. We have sold our products to 130 Fortune 500 companies, many of which have installed our HIF lighting systems in multiple facilities. Our top direct customers by revenue in fiscal 2010 included Coca-Cola Enterprises Inc., U.S. Foodservice, SYSCO Corp., Ball Corporation, MillerCoors and Pepsico, Inc. and its affiliates.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fiscal year ends on March 31. We call our prior fiscal year which ended on March 31, 2010, “fiscal 2010”. We call our current fiscal year, which will end on March 31, 2011, “fiscal 2011.” Our fiscal 2011 first quarter ended on June 30, our fiscal 2011 second quarter ended on September 30, our fiscal 2011 third quarter ended on December 31 and our fiscal 2011 fourth quarter will end on March 31.</w:t>
      </w:r>
    </w:p>
    <w:p>
      <w:pPr>
        <w:spacing w:after="0" w:line="14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Because of the recessed state of the global economy, especially as it relates to capital equipment manufacturers, our fiscal 2011 first half results continued to be impacted by lengthened customer sales cycles and sluggish customer capital spending. During the fiscal 2011 third quarter, capital equipment purchases were slightly improved and we continue to remain optimistic regarding customer behaviors heading into calendar year 2011. To address the economic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half of fiscal 2011. During the second quarter of fiscal 2011, we identified an additional $2 million of annualized cost reductions related to decreased product costs, improved manufacturing efficiencies and reduced operating expenses. We began to realize some of these cost reductions during the fiscal 2011 third quarter through reduction in general and administrative expenses and improved product margins for our HIF lighting systems.</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Despite the recent economic challenges, we remain optimistic about our near-term and long-term financial performance. Our near- term optimism is based upon our record level of revenue and operating income for the third quarter of fiscal 2011, our increased backlog of cash orders at the end of our fiscal 2011 third quarter versus our backlog at the end of our fiscal 2010 third quarter, the increase in the number of our value-added resellers and their sales staffs and our cost reduction plans for the remainder of fiscal 2011.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our participation in the replacement part aftermarket and the increasing national recognition of the importance of environmental stewardship, including legislation within the State of Wisconsin passed earlier this fiscal year that recognized our solar Apollo Light Pipe as a renewable product offering and qualified it for incentives currently offered to other renewable technologies.</w:t>
      </w:r>
    </w:p>
    <w:p>
      <w:pPr>
        <w:spacing w:after="0" w:line="15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 August 2009, we created Orion Engineered Systems, a new operating division which has been offering our customers additional alternative renewable energy systems. In fiscal 2010, we sold and installed three solar photovoltaic, or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the quarter ended September 30, 2010, we received an $8.2 million cash order for a solar PV generating system for which we recognized $6.0 million of revenue in the third quarter. Additionally, Orion Engineered Systems is responsible for our project management activities and related service revenues for both HIF lighting and renewable technology projects.</w:t>
      </w:r>
    </w:p>
    <w:p>
      <w:pPr>
        <w:spacing w:after="0" w:line="13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During our fiscal 2011 third quarter, revenue from our Orion Engineered Systems group exceeded the quantitative threshold for GAAP segment accounting. We have now introduced segment reporting for our Energy Management and Engineered Systems groups. Our Energy Management division develops, manufactures and sells commercial high intensity fluorescent, or HIF, lighting systems and energy management systems. Our Engineered Systems division sells and integrates alternative renewable energy systems and provides technical services for the Company’s sale of HIF lighting systems and energy management systems.</w:t>
      </w:r>
    </w:p>
    <w:p>
      <w:pPr>
        <w:spacing w:after="0" w:line="118"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financing program, as well as our solar PPA, as an alternative to purchasing our systems for cash. Our OTA financing program provides for our customer’s purchase of our energy management systems without an up-front capital outlay. The OTA is structured as a supply agreement in which we receive monthly rental payments over the life of the contract, typically 12 months, with an annual renewable agreement with a maximum term between two and five years. The PPA is a supply side agreement for the generation of electricity and subsequent sale to the end user. We expect that the number of customers who choose to purchase our systems by using our OTA financing program will continue to increase in future periods. While our OTA program creates a recurring revenue stream over the term of the annually renewable OTA, it results in a mis-match between the timing of our recognition of revenues and expenses under generally accepted accounting principles, or GAAP. This consequence has negatively impacted our near-term revenue and net income. Under GAAP, all of our selling, marketing and administrative expenses related to new OTAs are expensed up front as incurred, while the related OTA revenue is recognized on a monthly basis over the life of the contract. We are in the process of revising our existing OTA contract to conform to a more traditional capital lease document, eliminating the annual renewable component of the contract and replacing it with standard capital lease end-of-term contract language. Customer acceptance of this document would reduce the mis-match between revenue and expenses on our GAAP financial statements. We expect that it will take approximately two quarters for this change to impact our financial statements from the time these new contracts are introduced to our customers to the time that the projects become implemented and we recognize revenue. With the expectation that these changes will result in near-term revenue recognition changes for us and allow for immediate GAAP revenue recognition upon successful installation of an OTA project, we will no longer provide non-GAAP financial disclosures, other than reporting our contracted revenues which are described below.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and Expense Components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2010 and continuing into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43% of our total revenue volume in fiscal 2010 which was an increase from the 40% of total revenue contributed in fiscal 2009. This growth trend in our wholesale mix of total revenue continued to increase during the first nine months of fiscal 2011, with our wholesale mix of total revenue, not taking into consideration our renewable technologies revenue generated through our Orion Engineered Systems division, equaling 51% compared to 43% for the first nine months of fiscal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Our OTA financing program provides for our customer’s purchase of our energy management systems without an up-front capital outlay. Our OTA is structured as a supply agreement in which we receive monthly rental payments over the life of the contract, typically 12 months, with an annual renewable agreement with a maximum term between two and five years. This program creates an ongoing recurring revenue stream, but reduces near-term revenue as the payments are recognized as revenue on a monthly basis over the life of the contract versus upfront upon product shipment or project completion. However, we do retain the option to sell the payment stream to a third party finance company, in which case the revenue is recognized at the net present value of the total future payments from the finance company upon completion of the sale transaction. The OTA program was established to assist customers who are interested in purchasing our energy management systems but who have capital expenditure budget limitations. For the first nine months of fiscal 2010, we recognized $0.5 million of revenue from completed OTAs. For the first nine months of fiscal 2011, we recognized $1.3 million of revenue from completed OTAs. As of December 31, 2010, we had signed 167 customers to OTAs representing future potential gross revenue streams of $16.6 million. We report the gross value of future revenue from OTAs due to the short-term nature of the contracts and because we often receive cash energy efficiency rebates from utilities which is recorded as deferred revenue on our balance sheet. In the future, we expect an increase in the volume of OTAs as our customers take advantage of our value proposition without incurring up-front capital cost. The timing of expected future GAAP product revenue recognition and the resulting operating cash inflows from OTAs, assuming all renewal periods will be exercised over the term of the contracts, was as follows as of December 31, 2010 (in thousands):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2011 remainder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2012</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expected future gross revenue from OTAs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For the first nine months of fiscal 2010, we did not recognize any revenue from completed PPAs. For the first nine months of fiscal 2011, we recognized $0.3 million of revenue from completed PPAs. As of December 31, 2010, we had signed one customer to two separate PPAs representing future potential discounted revenue streams of $3.4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December 31, 2010 (in thousands):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2011 remainder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2012</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expected future discounted revenue from PPAs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Other than for OTA and PPA revenue, 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38% and 29% of our total revenue for the first nine months of fiscal 2011 and fiscal 2010, respectively. One customer accounted for 10% of our total revenue for our first nine months of fiscal 2011 and no customer accounted for more than 10% of our total revenue for the first nine months of fiscal 2010.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65"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w:t>
      </w:r>
    </w:p>
    <w:p>
      <w:pPr>
        <w:jc w:val="both"/>
        <w:ind w:left="340" w:right="159" w:hanging="8"/>
        <w:spacing w:after="0" w:line="281" w:lineRule="auto"/>
        <w:tabs>
          <w:tab w:leader="none" w:pos="67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level of our wholesale sales; (iv) our ability to realize revenue from our services; (v) the relative mix of our sales that are completed through our OTA program and the impact of such OTA program sales on our revenue recognition under GAAP, including whether we decide to either retain or resell the expected future cash flows under our OTA program and the relative timing of the resultant revenue recognition; (vi) market conditions; (vii) our execution of our sales process; (viii) our ability to compete in a highly competitive market and our ability to respond successfully to market competition; (ix) the selling price of our products and services;</w:t>
      </w:r>
    </w:p>
    <w:p>
      <w:pPr>
        <w:spacing w:after="0" w:line="3" w:lineRule="exact"/>
        <w:rPr>
          <w:rFonts w:ascii="Arial" w:cs="Arial" w:eastAsia="Arial" w:hAnsi="Arial"/>
          <w:sz w:val="16"/>
          <w:szCs w:val="16"/>
          <w:color w:val="auto"/>
        </w:rPr>
      </w:pPr>
    </w:p>
    <w:p>
      <w:pPr>
        <w:ind w:left="340" w:right="179" w:hanging="8"/>
        <w:spacing w:after="0" w:line="323" w:lineRule="auto"/>
        <w:tabs>
          <w:tab w:leader="none" w:pos="601"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capital investment levels by our customers and prospects; and (xi) customer sales cycles. As a result, our total revenue may be subject to quarterly variations and our total revenue for any particular fiscal quarter may not be indicative of future results.</w:t>
      </w:r>
    </w:p>
    <w:p>
      <w:pPr>
        <w:spacing w:after="0" w:line="98"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i w:val="1"/>
          <w:iCs w:val="1"/>
          <w:color w:val="auto"/>
        </w:rPr>
        <w:t xml:space="preserve">Contracted Revenue. </w:t>
      </w:r>
      <w:r>
        <w:rPr>
          <w:rFonts w:ascii="Arial" w:cs="Arial" w:eastAsia="Arial" w:hAnsi="Arial"/>
          <w:sz w:val="16"/>
          <w:szCs w:val="16"/>
          <w:color w:val="auto"/>
        </w:rPr>
        <w:t>Although “Contracted Revenue” is not a term recognized under GAAP, since the volume of our OTA and</w:t>
      </w:r>
      <w:r>
        <w:rPr>
          <w:rFonts w:ascii="Arial" w:cs="Arial" w:eastAsia="Arial" w:hAnsi="Arial"/>
          <w:sz w:val="16"/>
          <w:szCs w:val="16"/>
          <w:i w:val="1"/>
          <w:iCs w:val="1"/>
          <w:color w:val="auto"/>
        </w:rPr>
        <w:t xml:space="preserve"> </w:t>
      </w:r>
      <w:r>
        <w:rPr>
          <w:rFonts w:ascii="Arial" w:cs="Arial" w:eastAsia="Arial" w:hAnsi="Arial"/>
          <w:sz w:val="16"/>
          <w:szCs w:val="16"/>
          <w:color w:val="auto"/>
        </w:rPr>
        <w:t>PPA business is expected to continue to increase and because of the deferred revenue recognition of our retained OTA and PPA projects, we believe Contracted Revenue provides our management and investors with an informative measure of our relative order activity for any particular period. We define Contracted Revenue as the total contractual value of all firm purchase orders received for our products and services and the expected future potential gross revenue streams, including all renewal periods, for all OTAs upon the execution of the contract and the discounted value of future potential revenue from energy generation over the life of all PPAs along with the discounted value of revenue for renewable energy credits, or RECs, for as long as the REC programs are currently defined to be in existence with the governing body. For OTA and cash Contracted Revenue, we generally expect that we will begin to recognize GAAP revenue under the terms of the agreements within 90 days from the firm contract date. For PPA Contracted Revenue, we generally expect that we will begin to recognize GAAP revenue under the terms of the PPAs within 180 days from the firm contract date. We believe that total Contracted Revenues are a key financial metric for evaluating and measuring our performance because the measure is an indicator of our success in our customers’ adoption and acceptance of our energy products and services as it measures firm contracted revenue value, regardless of the contract’s cash or deferred financial structure and the related different GAAP revenue recognition treatment. For our first nine months of fiscal 2010, total Contracted Revenue was $57.2 million, which included $6.4 million of future expected potential gross revenue streams associated with OTAs and $1.7 million of potential discounted revenue streams from PPAs. For our fiscal first nine months of fiscal 2011, total Contracted Revenue was $74.8 million, an increase of 31% compared to the same period in fiscal 2010, which included of $10.9 million of expected future potential gross revenue streams associated with OTAs and $1.9 million of potential discounted revenue streams from PPAs. A reconciliation of our Contracted Revenue to our GAAP revenue for the three and nine months ended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3"/>
              </w:rPr>
              <w:t>Nine months ended</w:t>
            </w:r>
          </w:p>
        </w:tc>
      </w:tr>
      <w:tr>
        <w:trPr>
          <w:trHeight w:val="234"/>
        </w:trPr>
        <w:tc>
          <w:tcPr>
            <w:tcW w:w="6220" w:type="dxa"/>
            <w:vAlign w:val="bottom"/>
          </w:tcPr>
          <w:p>
            <w:pPr>
              <w:spacing w:after="0"/>
              <w:rPr>
                <w:sz w:val="20"/>
                <w:szCs w:val="20"/>
                <w:color w:val="auto"/>
              </w:rPr>
            </w:pPr>
          </w:p>
        </w:tc>
        <w:tc>
          <w:tcPr>
            <w:tcW w:w="17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2010</w:t>
            </w:r>
          </w:p>
        </w:tc>
        <w:tc>
          <w:tcPr>
            <w:tcW w:w="14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2010</w:t>
            </w:r>
          </w:p>
        </w:tc>
      </w:tr>
      <w:tr>
        <w:trPr>
          <w:trHeight w:val="210"/>
        </w:trPr>
        <w:tc>
          <w:tcPr>
            <w:tcW w:w="6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Contracted Revenues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rPr>
              <w:t>Change in backlog (1)</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6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Contracted Revenue from OTAs and PPAs (2)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rPr>
              <w:t>OTA and PPA GAAP revenue recognized</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6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220" w:type="dxa"/>
            <w:vAlign w:val="bottom"/>
          </w:tcPr>
          <w:p>
            <w:pPr>
              <w:spacing w:after="0"/>
              <w:rPr>
                <w:sz w:val="20"/>
                <w:szCs w:val="20"/>
                <w:color w:val="auto"/>
              </w:rPr>
            </w:pPr>
            <w:r>
              <w:rPr>
                <w:rFonts w:ascii="Arial" w:cs="Arial" w:eastAsia="Arial" w:hAnsi="Arial"/>
                <w:sz w:val="18"/>
                <w:szCs w:val="18"/>
                <w:color w:val="auto"/>
              </w:rPr>
              <w:t>Revenue — GAAP basis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r>
      <w:tr>
        <w:trPr>
          <w:trHeight w:val="20"/>
        </w:trPr>
        <w:tc>
          <w:tcPr>
            <w:tcW w:w="6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79" w:hanging="388"/>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backlog reflects the (increase) or decrease in cash orders at the end of the respective period where product delivery or service performance has not yet occurred. GAAP revenue will be recognized when the performance conditions have been satisfied, typically within 90 days from the end of the period.</w:t>
      </w:r>
    </w:p>
    <w:p>
      <w:pPr>
        <w:spacing w:after="0" w:line="32"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Contracted Revenue from OTAs and PPAs are subtracted to reconcile the GAAP revenue as recognition of GAAP revenue will occur in future periods.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received for our lighting products and services where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product or completion of services has not yet occurred as of the end of any particular reporting period. Such orders must be evidenced by a signed proposal acceptance or purchase order from the customer. Our backlog does not include OTAs, PPAs or national contracts that have been negotiated, but under which we have not yet received a purchase order for the specific location. As of December 31, 2010, we had a backlog of firm purchase orders of approximately $8.6 million, which included $3.9 million of solar PV orders, compared to a backlog of firm purchase orders of approximately $5.1 million as of December 31, 2009. We generally expect this level of firm purchase order backlog related to HIF lighting systems to be converted into revenue within the following quarter and our firm purchase order backlog related to solar PV systems to be recognized within the following two quarters. Principally as a result of the continued lengthening of our customer’s purchasing decisions because of current recessed economic conditions and related factors, the continued shortening of our installation cycles and the number of projects sold through national and OTAs, a comparison of backlog from period to period is not necessarily meaningful and may not be indicative of actual revenue recognized in future periods.</w:t>
      </w:r>
    </w:p>
    <w:p>
      <w:pPr>
        <w:spacing w:after="0" w:line="153"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17% of our total cost of revenue for the first nine months of fiscal 2011 and were 28% of total cost of revenue for the first nine months of fiscal 2010. Our cost of revenue from OTA projects is recorded as an asset on our balance sheet with the related costs amortized monthly over the life of the contract. Our production labor force is non-union and, as a result, our production labor costs have been relatively stable. We have been expanding our network of qualified third-party installers to realize efficiencies in the installation process. During the first nine months of fiscal 2010, we reduced headcounts and improved production product flow through reengineering of our assembly stations.</w:t>
      </w:r>
    </w:p>
    <w:p>
      <w:pPr>
        <w:spacing w:after="0" w:line="14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revenue, and as a result, our gross profit may be subject to quarterly variation. Our gross profit as a percentage of total revenue, or gross margin, is affected by a number of factors, including: (i) our level of solar PV sales which generally have substantially lower relative gross margins than our traditional energy management systems; (ii) our mix of large retrofit and multi-facility roll-out projects with national accounts; (iii) the level of our wholesale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(iii) research and development expenses. Personnel related costs are our largest operating expense.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(vi) bad debt and asset impairment charges; and (vii) corporate-related travel.</w:t>
      </w:r>
    </w:p>
    <w:p>
      <w:pPr>
        <w:spacing w:after="0" w:line="12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w:t>
      </w:r>
    </w:p>
    <w:p>
      <w:pPr>
        <w:ind w:left="340" w:right="159" w:hanging="8"/>
        <w:spacing w:after="0" w:line="261" w:lineRule="auto"/>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travel, lodging and other out-of-pocket expenses associated with our selling efforts; (iv) marketing programs; (v) pre-sales costs; and (vi) other related overhead.</w:t>
      </w:r>
    </w:p>
    <w:p>
      <w:pPr>
        <w:spacing w:after="0" w:line="143"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fiscal 2010, our operating expenses increased as a result of the completion of our new technology center and the related building occupancy costs. During fiscal 2011, we have invested in marketing efforts to our direct end customers and to our channel partners through increasing advertising, marketing collateral materials and participating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13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We recognize compensation expense for the fair value of our stock option awards granted over their related vesting period. We recognized $0.9 million in the first nine months of fiscal 2011 and $1.1 million of stock-based compensation expense in the same period in fiscal 2010. As a result of prior option grants, we expect to recognize an additional $4.3 million of stock-based compensation over a weighted average period of approximately seven years, including $0.4 million in the fourth quarter of fiscal 2011.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described under “— Liquidity and Capital Resources — Indebtedness” below, including the amortization of previously incurred financing costs. We amortize deferred financing costs to interest expense over the life of the related debt instrument, ranging from two to fifteen years.</w:t>
      </w:r>
    </w:p>
    <w:p>
      <w:pPr>
        <w:spacing w:after="0" w:line="146"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i w:val="1"/>
          <w:iCs w:val="1"/>
          <w:color w:val="auto"/>
        </w:rPr>
        <w:t xml:space="preserve">Dividend and Interest Income. </w:t>
      </w:r>
      <w:r>
        <w:rPr>
          <w:rFonts w:ascii="Arial" w:cs="Arial" w:eastAsia="Arial" w:hAnsi="Arial"/>
          <w:sz w:val="17"/>
          <w:szCs w:val="17"/>
          <w:color w:val="auto"/>
        </w:rPr>
        <w:t>We report interest income earned on our cash and cash equivalents and short term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first nine months of fiscal 2011, our interest income declined compared to the first nine months of fiscal 2010 as a result of the decrease in our cash and cash equivalents and lower market rates of return on our investments.</w:t>
      </w:r>
    </w:p>
    <w:p>
      <w:pPr>
        <w:spacing w:after="0" w:line="13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December 31, 2010, we had net operating loss carryforwards of approximately $13.4 million for federal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and $7.9 million for state tax purposes. Included in these loss carryforwards were $6.1 million for federal and $3.2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$712,000, but we have not currently recorded any state credit carryforwards after giving effect to our related state valuation allowance of $572,000. We believe it is more likely than not that we will realize the benefits of our federal loss carryforwards. We have reserved for an allowance on our state carryforwards due to a reduction in our Wisconsin state apportioned income as our business has grown nationally and for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3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There was no limitation that occurred for fiscal 2010. For fiscal 2011, we do not anticipate a limitation on the use of our net operating loss carryforwards.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6"/>
                <w:szCs w:val="16"/>
                <w:b w:val="1"/>
                <w:bCs w:val="1"/>
                <w:color w:val="auto"/>
                <w:w w:val="92"/>
              </w:rPr>
              <w:t>Three Months Ended December 31,</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6"/>
                <w:szCs w:val="16"/>
                <w:b w:val="1"/>
                <w:bCs w:val="1"/>
                <w:color w:val="auto"/>
                <w:w w:val="91"/>
              </w:rPr>
              <w:t>Nine Months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2009</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39"/>
              <w:spacing w:after="0" w:line="182" w:lineRule="exact"/>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5"/>
                <w:szCs w:val="15"/>
                <w:color w:val="auto"/>
              </w:rPr>
            </w:pPr>
          </w:p>
        </w:tc>
        <w:tc>
          <w:tcPr>
            <w:tcW w:w="560" w:type="dxa"/>
            <w:vAlign w:val="bottom"/>
          </w:tcPr>
          <w:p>
            <w:pPr>
              <w:jc w:val="right"/>
              <w:ind w:right="119"/>
              <w:spacing w:after="0" w:line="182"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5"/>
                <w:szCs w:val="15"/>
                <w:color w:val="auto"/>
              </w:rPr>
            </w:pPr>
          </w:p>
        </w:tc>
        <w:tc>
          <w:tcPr>
            <w:tcW w:w="540" w:type="dxa"/>
            <w:vAlign w:val="bottom"/>
          </w:tcPr>
          <w:p>
            <w:pPr>
              <w:jc w:val="right"/>
              <w:ind w:right="99"/>
              <w:spacing w:after="0" w:line="182"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9"/>
              </w:rPr>
              <w:t>Revenue</w:t>
            </w:r>
          </w:p>
        </w:tc>
        <w:tc>
          <w:tcPr>
            <w:tcW w:w="2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6"/>
              </w:rPr>
              <w:t>Revenue</w:t>
            </w: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4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Revenue</w:t>
            </w:r>
          </w:p>
        </w:tc>
        <w:tc>
          <w:tcPr>
            <w:tcW w:w="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Revenue</w:t>
            </w: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Product revenue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17,205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27,663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41,645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89.5%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54,080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Service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2,090</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4,897</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3,994</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6.9%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19,295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29,671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46,542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58,074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10,633</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18,784</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63.3%</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27,727</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59.6%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35,566</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61.3%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revenue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3,455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Total cost of revenue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12,201</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20,458</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31,182</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67.0%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38,655</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66.6%</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0"/>
        </w:trPr>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15,360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19,419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33.4%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20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3,051</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2,709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9,357</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8,642</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14.9%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9,176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10,124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Arial" w:cs="Arial" w:eastAsia="Arial" w:hAnsi="Arial"/>
                <w:sz w:val="16"/>
                <w:szCs w:val="16"/>
                <w:color w:val="auto"/>
                <w:w w:val="99"/>
              </w:rPr>
              <w:t>Research and development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60" w:type="dxa"/>
            <w:vAlign w:val="bottom"/>
          </w:tcPr>
          <w:p>
            <w:pPr>
              <w:ind w:left="20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1,315</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1,797</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3.1%</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w:t>
            </w: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(4,488)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(99)</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(197)</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(223)</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0.3%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Dividend and interest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20"/>
                <w:szCs w:val="20"/>
                <w:color w:val="auto"/>
              </w:rPr>
            </w:pPr>
            <w:r>
              <w:rPr>
                <w:rFonts w:ascii="Arial" w:cs="Arial" w:eastAsia="Arial" w:hAnsi="Arial"/>
                <w:sz w:val="16"/>
                <w:szCs w:val="16"/>
                <w:color w:val="auto"/>
                <w:w w:val="96"/>
              </w:rPr>
              <w:t>Income (loss) before income</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200"/>
              <w:spacing w:after="0"/>
              <w:rPr>
                <w:sz w:val="20"/>
                <w:szCs w:val="20"/>
                <w:color w:val="auto"/>
              </w:rPr>
            </w:pPr>
            <w:r>
              <w:rPr>
                <w:rFonts w:ascii="Arial" w:cs="Arial" w:eastAsia="Arial" w:hAnsi="Arial"/>
                <w:sz w:val="16"/>
                <w:szCs w:val="16"/>
                <w:color w:val="auto"/>
              </w:rPr>
              <w:t>tax</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558</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2,559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358.6%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(4,437)</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(1,348)</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w w:val="94"/>
              </w:rPr>
              <w:t>Income tax expense (benefit)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(869.1)%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(1,072)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807</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(20.2)% $</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(3,365)</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(7.2)% $</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(571)</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$10.5 million, or 61%, from $17.2 million for the fiscal 2010 third quarter to $27.7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fiscal 2011 third quarter. The increase was a result of $8.0 million of revenue from sales of renewable solar PV systems through our Orion Engineered Systems division and increased sales of our HIF lighting systems to both our national account and wholesale customers. Product revenue increased $12.5 million, or 30%, from $41.6 million for the first nine months of fiscal 2010 to $54.1 million for the first nine months of fiscal 2011. Service revenue decreased $0.1 million, or 5%, from $2.1 million for the fiscal 2010 third quarter to $2.0 million for the fiscal 2011 third quarter. Service revenue decreased $0.9 million, or 18%, from $4.9 million for the first nine months of fiscal 2010 to $4.0 million for the first nine months of fiscal 2011. The decrease in service revenue was a result of the continued percentage increase of total revenue to our wholesale channels where services are not provided.</w:t>
      </w:r>
    </w:p>
    <w:p>
      <w:pPr>
        <w:spacing w:after="0" w:line="139"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increased $8.2 million, or 77%, from $10.6 million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2010 third quarter to $18.8 million for the fiscal 2011 third quarter. Our cost of product revenue increased $7.9 million, or 29%, from $27.7 million for the first nine months of fiscal 2010 to $35.6 million for the first nine months of fiscal 2011. Our cost of service revenues increased $0.1 million, or 6%, from $1.6 million for the fiscal 2010 third quarter to $1.7 million for the fiscal 2011 third quarter. Our cost of service revenue decreased $0.4 million, or 11%, from $3.5 million for the first nine months of fiscal 2010 to $3.1 million for the first nine months of fiscal 2011. Total gross margin decreased from 36.8% for the fiscal 2010 third quarter to 31.1% for the fiscal 2011 third quarter and increased from 33.0% for the first nine months of fiscal 2010 to 33.4% for the first nine months of fiscal 2011. For the fiscal 2011 third quarter, our gross margins declined due to a higher mix of renewable product revenue from our Orion Engineered Systems division. Our gross margin percentage for the fiscal 2011 third quarter on renewable product revenue from this division was 17.2%. Gross margin from our HIF integrated systems revenue for the fiscal 2011 third quarter was 38.2%. For the first nine months of fiscal 2011, our increase in gross margin on product revenues versus the first nine months of fiscal 2010 was attributable to cost containment efforts through the reduction of direct and indirect headcounts, improved production efficiencies resulting from the reengineering of our assembly process, negotiated price decreases on raw materials and reductions in discretionary spending.</w:t>
      </w:r>
    </w:p>
    <w:p>
      <w:pPr>
        <w:spacing w:after="0" w:line="14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Our general and administrative expenses decreased $0.4 million, or 13%, from $3.1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fiscal 2010 third quarter to $2.7 million for the fiscal 2011 third quarter. The decrease was a result of $0.2 million for decreased litigation-related and other legal expenses, $0.1 million in reduced compensation costs resulting from headcount reductions and $0.1 million in discretionary spending reductions. General and administrative expenses decreased $0.8 million, or 9%, from $9.4 million for the first nine months of fiscal 2010 to $8.6 million for the first nine months of fiscal 2011. The decrease was a result of $0.4 million in reduced compensation costs resulting from headcount reductions and reduced severance payments, a $0.3 million decrease in consulting and auditing services, a $0.2 million reduction in bad debt expense and $0.2 million in discretionary spending reductions. These reductions were offset by increased legal expenses of $0.3 million related to the settlement efforts of the class action litigation and general corporate matters.</w:t>
      </w:r>
    </w:p>
    <w:p>
      <w:pPr>
        <w:sectPr>
          <w:pgSz w:w="11900" w:h="16838" w:orient="portrait"/>
          <w:cols w:equalWidth="0" w:num="1">
            <w:col w:w="10219"/>
          </w:cols>
          <w:pgMar w:left="240" w:top="419" w:right="1440" w:bottom="163"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63"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Our sales and marketing expenses increased $0.1 million, or 3%, from $3.1 million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third quarter to $3.2 million for the fiscal 2011 third quarter. The increase was a result of increased costs for headcount additions and increased travel for customer site visits. Sales and marketing expenses increased $0.9 million, or 10%, from $9.2 million for the first nine months of fiscal 2010 to $10.1 million for the first nine months of fiscal 2011. The increase was a result of $0.2 million for advertising and marketing expenses and $0.2 million in business development expenses related to our efforts to expand our partner channels, $0.3 million in increased travel costs for customer site visits and $0.1 million for additional technology costs, including depreciation, for improvements to our customer relationship management system and computer investments to improve our sales presentation process. Total sales and marketing headcount as of December 31, 2010 was 87 compared to 78 at December 31, 2009.</w:t>
      </w:r>
    </w:p>
    <w:p>
      <w:pPr>
        <w:spacing w:after="0" w:line="13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Our research and development expenses increased $0.2 million, or 50%, from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fiscal 2010 third quarter to $0.6 million for the fiscal 2011 third quarter. Research and development expenses increased $0.5 million, or 38%, from $1.3 million for the first nine months of fiscal 2010 to $1.8 million for the first nine months of fiscal 2011. The increase was a result of headcount additions in our engineering and product development group and materials for new product development and testing. Expenses incurred within the fiscal 2011 third quarter related to compensation costs for the development and support of new products, depreciation expenses for lab and research equipment and sample and testing costs related to our new exterior lighting and our light emitting diode, or LED, product initiatives.</w:t>
      </w:r>
    </w:p>
    <w:p>
      <w:pPr>
        <w:spacing w:after="0" w:line="137"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increased $32,000, or 48%, from $67,000 for the fiscal 2010 third quarter to $99,000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fiscal 2011 third quarter. Our interest expense increased $26,000, or 13%, from $197,000 for the first nine months of fiscal 2010 to $223,000 for the first nine months of fiscal 2011. The increase in interest expense for the fiscal 2011 third quarter was due to the additional debt funding completed during our fiscal 2010 second quarter for the purpose of financing our OTA projects. For the first nine months of fiscal 2010 and fiscal 2011, we capitalized $21,000 and $0 of interest for construction in progress, respectively.</w:t>
      </w:r>
    </w:p>
    <w:p>
      <w:pPr>
        <w:spacing w:after="0" w:line="11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$46,000, or 94%, from $49,000 for the fiscal 2010 third quarter to $3,000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2011 third quarter. Interest income decreased $0.2 million, or 100%, from $0.2 million for the first nine months of fiscal 2010 to $19,000 for the first nine months of fiscal 2011. The decrease in investment income was a result of less cash invested and a decrease in interest rates on our short-term investments.</w:t>
      </w:r>
    </w:p>
    <w:p>
      <w:pPr>
        <w:spacing w:after="0" w:line="160"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increased from a benefit of $0.2 million for the fiscal 2010 third quarter to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$1.9 million for the fiscal 2011 third quarter. Our income tax benefit decreased from a benefit of $1.1 million for the first nine months of fiscal 2010 to a benefit of $0.8 million for the first nine months of fiscal 2011. Our effective income tax rate for the first nine months of fiscal 2010 was a benefit rate of 24.2%, compared to a benefit rate of 57.9% for the first nine months of fiscal 2011. The change in tax rate versus the prior year is due to the difference between expected taxable losses during fiscal 2010 and expected taxable income during fiscal 2011, along with the impact of non-deductible expenses incurred for incentive stock option compensation expense. Our estimated annual effective tax rate decreased from a benefit rate of 68.9% for our fiscal 2011 second quarter to the benefit rate of 57.9% for our fiscal 2011 third quarter. The effective tax rate is based upon estimates of annualized temporary and permanent tax differences along with our estimated annualized taxable income. The decrease in our estimated effective tax rate as of the end of our fiscal 2011 third quarter was primarily due to additional federal research and development credits made available to us with the passage of the tax bill by Congress during December 2010. As a result of this decrease in our estimated annual tax rate and based upon our taxable loss as of the end of our fiscal 2011 third quarter, our third quarter income tax expense included the impact of this reduced benefit on a cumulative year-to-date basis which resulted in a higher than expected income tax expense for the fiscal 2011 third quarter.</w:t>
      </w:r>
    </w:p>
    <w:p>
      <w:pPr>
        <w:spacing w:after="0" w:line="14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Contracted Revenue. </w:t>
      </w:r>
      <w:r>
        <w:rPr>
          <w:rFonts w:ascii="Arial" w:cs="Arial" w:eastAsia="Arial" w:hAnsi="Arial"/>
          <w:sz w:val="17"/>
          <w:szCs w:val="17"/>
          <w:color w:val="auto"/>
        </w:rPr>
        <w:t>Total Contracted Revenue increased $5.3 million, or 25%, from $21.4 million (which included $1.7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future potential revenue streams associated with OTAs and $1.7 million of future potential revenue streams associated with PPAs) for the fiscal 2010 third quarter to $26.7 million (which included $3.4 million of future potential revenue streams associated with OTAs) for the fiscal 2011 third quarter. The increase in Contracted Revenue was due to increased order activity for our integrated lighting systems, increased orders for renewable technologies through our Orion Engineered Systems division and an increase in new customer OTA contracts completed. Total Contracted Revenue increased $17.6 million, or 31%, from $57.2 million (which included $6.4 million of future potential revenue streams associated with OTAs and $1.7 million of future potential revenue streams associated with PPAs) for the first nine months of fiscal 2010 to $74.8 million (which included $10.9 million of future potential revenue streams associated with OTAs and $1.9 million of future potential revenue streams associated with PPAs) for the first nine months of fiscal 2011. This improvement in Contracted Revenue was attributable to an increase in the number of OTAs and renewable project sales through our Orion Engineered Systems division, along with an improved economic environment during the third quarter of fiscal 2011.</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Management Segment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Energy Management segment operating results: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6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vMerge w:val="restart"/>
          </w:tcPr>
          <w:p>
            <w:pPr>
              <w:spacing w:after="0"/>
              <w:rPr>
                <w:sz w:val="20"/>
                <w:szCs w:val="20"/>
                <w:color w:val="auto"/>
              </w:rPr>
            </w:pPr>
          </w:p>
        </w:tc>
        <w:tc>
          <w:tcPr>
            <w:tcW w:w="3620" w:type="dxa"/>
            <w:vAlign w:val="bottom"/>
            <w:gridSpan w:val="6"/>
          </w:tcPr>
          <w:p>
            <w:pPr>
              <w:spacing w:after="0"/>
              <w:rPr>
                <w:sz w:val="20"/>
                <w:szCs w:val="20"/>
                <w:color w:val="auto"/>
              </w:rPr>
            </w:pPr>
            <w:r>
              <w:rPr>
                <w:rFonts w:ascii="Arial" w:cs="Arial" w:eastAsia="Arial" w:hAnsi="Arial"/>
                <w:sz w:val="18"/>
                <w:szCs w:val="18"/>
                <w:b w:val="1"/>
                <w:bCs w:val="1"/>
                <w:color w:val="auto"/>
                <w:w w:val="98"/>
              </w:rPr>
              <w:t>For the Three Months Ended December 31,</w:t>
            </w:r>
          </w:p>
        </w:tc>
        <w:tc>
          <w:tcPr>
            <w:tcW w:w="10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For the Nine Months Ended December 31,</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19,354</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40,447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44,696</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2,384</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928</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Energy Management segment revenue increased $2.7 million, or 16%, from $16.7 million for the fiscal 2010 third quarter to $19.4 million for the fiscal 2011 third quarter. The increase was due to increased sales of our HIF lighting systems to our national account and wholesale customers, increased revenue from new product offerings, including exterior lighting and LED fixtures. Energy Management segment revenue increased $4.3 million, or 11%, from $40.4 million for the first nine months of fiscal 2010 to $44.7 million for the first nine months of fiscal 2011.</w:t>
      </w:r>
    </w:p>
    <w:p>
      <w:pPr>
        <w:spacing w:after="0" w:line="14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Energy Management segment operating income increased $0.9 million, or 38%, from $2.4 million for the fiscal 2010 third quarter to $3.3 million for the fiscal 2011 third quarter. Energy Management segment operating income increased $2.8 million, or 311%, from $0.9 million for the first nine months of fiscal 2010 to $3.7 million for the first nine months of fiscal 2011. The increase in operating income for both the quarter and year-to-date, was a result of improved gross margins on HIF lighting product sales due to cost reduction efforts to reduce labor costs and plant reengineering of our manufacturing processes to improve production efficiencies.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Engineered Systems Segment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Engineered Systems segment operating results: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372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1"/>
              </w:rPr>
              <w:t>For the Three Months Ended December 31,</w:t>
            </w:r>
          </w:p>
        </w:tc>
        <w:tc>
          <w:tcPr>
            <w:tcW w:w="34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1"/>
              </w:rPr>
              <w:t>For the Nine Months Ended December 31,</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2,623</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10,317</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6,095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Engineered Systems segment revenue increased $7.7 million, or 296%, from $2.6 million for the fiscal 2010 third quarter to $10.3 million for the fiscal 2011 third quarter. Energy Systems segment revenue increased $7.3 million, or 120%, from $6.1 million for the first nine months of fiscal 2010 to $13.4 million for the first nine months of fiscal 2011. The increase was due to increased sales of solar renewable technologies for the fiscal 2011 third quarter and the first nine months of fiscal 2011. During the same periods of fiscal 2010, our Engineered Systems segment efforts were primarily focused on research of renewable technology products and understanding if there was a market for these technologies within our customer base.</w:t>
      </w:r>
    </w:p>
    <w:p>
      <w:pPr>
        <w:spacing w:after="0" w:line="15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Engineered Systems segment operating income increased $1.2 million from an operating loss of $0.2 million for the fiscal 2010 third quarter to operating income of $1.0 million for the fiscal 2011 third quarter. Energy Systems segment operating income increased $0.6 million from an operating loss of $0.5 million for the first nine months of fiscal 2010 to operating income of $0.1 million for the first nine months of fiscal 2011. The increase in operating income for both the quarter and year-to-date, was a result of the increased revenue volume and resulting contribution margin from sales of solar renewable energy systems.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We had approximately $9.9 million in cash and cash equivalents and $1.0 million in short-term investments as of December 31, 2010, compared to $23.4 million and $1.0 million at March 31, 2010. Our cash equivalents are invested in money market accounts with maturities of less than 90 days and an average yield of 0.2%. Our short-term investment account consists of a bank certificate of deposit in the amount of $1.0 million with an expiration date of March 2011 and a yield of 0.50%.</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our cash flows for the nine months ended December 31, 2009 and 2010 (in thousands):</w:t>
      </w:r>
    </w:p>
    <w:p>
      <w:pPr>
        <w:spacing w:after="0" w:line="23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7960"/>
        <w:spacing w:after="0"/>
        <w:tabs>
          <w:tab w:leader="none" w:pos="928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-130810</wp:posOffset>
            </wp:positionV>
            <wp:extent cx="1475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(5,417)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(4,254)</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(10,757)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loss adjusted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items, including depreciation and amortization, stock-based compensation expenses, income taxes and the effect of changes in working capital and other activities.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Cash used in operating activities for the first nine months of fiscal 2011 was $5.4 million and consisted of net cash of $8.4 million used for working capital purposes, partially offset by a net loss adjusted for non-cash expense items of $3.0 million. Cash used for working capital consisted of an increase of $9.8 million in accounts receivable due to the increase in revenue and an increase of $6.2 million in inventory for purchases described under “— Liquidity and Capital Resources — Working Capital” below. Cash provided by working capital included a $7.6 million increase in accounts payable related to payment terms on inventory purchases during the fiscal 2011 third quarter.</w:t>
      </w:r>
    </w:p>
    <w:p>
      <w:pPr>
        <w:spacing w:after="0" w:line="16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Cash used in operating activities for the first nine months of fiscal 2010, was $0.2 million and consisted of net cash of $1.0 million provided from working capital decreases, offset by net loss adjusted non-cash expense items of $1.2 million. Cash used for working capital purposes consisted of an increase of $1.9 million in trade receivables and a $4.3 million increase in inventories resulting from purchases of ballast and wireless component inventories. We increased our level of inventory for these components due to longer lead times and supply availability concerns for inventory components shipping out of Asia. These amounts were offset by an increase of $5.2 million in accounts payable for inventory purchases with payment terms, a $1.4 million decrease in prepaids resulting from refunds of deposits held under construction projects and for operating leases and the amortization of expenses and a $0.6 million increase in accrued expenses resulting from increases in accrued severance costs, increases in accrued legal expenses and increased deposit payments for OVPP contracts.</w:t>
      </w:r>
    </w:p>
    <w:p>
      <w:pPr>
        <w:spacing w:after="0" w:line="141"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first nine months of fiscal 2011, cash used in investing activities was</w:t>
      </w:r>
      <w:r>
        <w:rPr>
          <w:rFonts w:ascii="Arial" w:cs="Arial" w:eastAsia="Arial" w:hAnsi="Arial"/>
          <w:sz w:val="17"/>
          <w:szCs w:val="17"/>
          <w:i w:val="1"/>
          <w:iCs w:val="1"/>
          <w:color w:val="auto"/>
        </w:rPr>
        <w:t xml:space="preserve"> </w:t>
      </w:r>
      <w:r>
        <w:rPr>
          <w:rFonts w:ascii="Arial" w:cs="Arial" w:eastAsia="Arial" w:hAnsi="Arial"/>
          <w:sz w:val="17"/>
          <w:szCs w:val="17"/>
          <w:color w:val="auto"/>
        </w:rPr>
        <w:t>$10.8 million. This included $7.4 million invested in equipment related to our OTA and PPA finance programs, $2.9 million for capital improvements related to our information technology systems, renewable technologies, manufacturing and tooling improvements and facility investments, $0.3 million for long-term investments and $0.2 million for patent investments.</w:t>
      </w:r>
    </w:p>
    <w:p>
      <w:pPr>
        <w:spacing w:after="0" w:line="13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For the first nine months of fiscal 2010, cash used in investing activities was $4.3 million. This included $4.3 million for capital expenditures related to the technology center, operating software systems, and processing equipment for capacity and cost improvement measures, $5.3 million for OTA energy-efficient lighting systems and Orion Engineered Systems solar PV equipment installed and operating at customer locations and $0.2 million for investment into patents. These amounts were partially offset by cash provided from the maturation of short-term investments of $5.6 million.</w:t>
      </w:r>
    </w:p>
    <w:p>
      <w:pPr>
        <w:spacing w:after="0" w:line="16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nine months of fiscal 2011, cash flows provided by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$2.7 million. This included $2.7 million in new debt borrowings to fund OTA and capital projects, $0.4 million received from stock option and warrant exercises and $0.2 million for excess tax benefits from stock based compensation. Cash flows used in financing activities included $0.5 million for repayment of long-term debt and $0.1 million for costs related to our new Credit Agreement.</w:t>
      </w:r>
    </w:p>
    <w:p>
      <w:pPr>
        <w:spacing w:after="0" w:line="14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For the first nine months of fiscal 2010, cash flows provided by financing activities were $0.2 million. This included proceeds of $0.9 million received from stock option and warrant exercises, $0.2 million for proceeds from long-term debt and $0.1 million for excess tax benefits from stock based compensation. These amounts were partially offset by cash flows used in financing activities, which included $0.4 million for common share repurchases and $0.6 million used for the repayment of long-term debt.</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Our net working capital as of December 31, 2010 was $50.3 million, consisting of $71.1 million in current assets and $20.8 million in current liabilities. Our net working capital as of March 31, 2010 was $55.7 million, consisting of $67.9 million in current assets and $12.2 million in current liabilities. Our accounts receivables have increased from fiscal 2010 year-end by $9.8 million as a result of our increased sales activity and related revenue during our fiscal 2011 third quarter. Our inventories have increased from fiscal 2010 year-end by $6.2 million due to an increase in the level of our wireless control inventories of $1.8 million based upon our Phase 2 initiatives and a $4.4 million increase in ballast component inventories to avoid potential supply disruptions. The vast majority of our wireless components are assembled overseas and require longer delivery lead times. In addition, overseas suppliers require deposit payments at time of purchase order. As of August 2010, we had completed our initial purchase and investment in wireless component inventories. Since that period, we have been reducing our wireless inventories as we sell the products to our customers. During the first nine months of fiscal 2011, we continued to increase our inventory levels of key electronic components, specifically electronic ballasts, to avoid potential shortages and customer service issues as a result of lengthening supply lead times and product availability issues. We continue to monitor supply side concerns within the electronic components market and believe that our current inventory levels are sufficient to protect us against the risk of being unable to deliver product as specified by our customers’ requirements. We also are continually monitoring supply side concerns through conversations with our key vendors and currently believe that supply availability concerns, previously thought to be improving, have not diminished to the point where we anticipate reducing safety stock to the levels that existed prior to the electrical components supply issues. Accordingly, we expect to reduce inventories by approximately $4.0 million during our fiscal 2011 fourth quarter by selling wireless control inventory and through the shipment of our remaining solar panel inventories to customers during our fiscal 2011 fourth quarter. We generally attempt to maintain at least a three-month supply of on-hand inventory of purchased components and raw materials to meet anticipated demand, as well as to reduce our risk of unexpected raw material component shortages or supply interruptions. Our accounts receivables, inventory and payables may increase to the extent our revenue and order levels increase.</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historically have funded the system costs of our OTAs and PPAs with our own cash. However, we have more recently begun obtaining debt financing alternatives to support our OTA growth. During the fiscal 2011 second quarter, we entered into a note agreement with a financial institution that provided us with $2.4 million of funding for our OTA projects. We expect to close a second round of funding with the same financial institution during the fourth fiscal quarter that will provide us with an additional $1.3 million for funding OTA projects. To ensure long-term capital support for our expected growth of these financing programs, we are currently pursuing several additional debt financing alternatives to provide funding to specifically support the equipment and purchases that underlie our OTAs and PPAs.</w:t>
      </w:r>
    </w:p>
    <w:p>
      <w:pPr>
        <w:spacing w:after="0" w:line="149"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believe that our existing cash and cash equivalents, our anticipated cash flows from operating activities and our borrowing capacity under our revolving credit facility will be sufficient to meet our anticipated cash needs for at least the next 12 months, dependent upon the growth of our OTA finance programs and the extent to which we support such contracts with our own cash.</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On June 30, 2010, we entered into a new credit agreement, or Credit Agreement, with JP Morgan Chase Bank, N.A., or JP Morgan. The Credit Agreement replaced our former credit agreement.</w:t>
      </w:r>
    </w:p>
    <w:p>
      <w:pPr>
        <w:spacing w:after="0" w:line="14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Credit Agreement provides for a revolving credit facility, or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As of December 31, 2010, we had outstanding letters of credit totaling $1.7 million, primarily for securing collateral requirements under equipment operating leases. We had no outstanding borrowings under the Credit Agreement as of December 31, 2010. We were in compliance with all of our covenants under the credit agreement as of December 31, 2010.</w:t>
      </w: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did not meet the deposit requirement to waive the unused fee as of December 31,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We expect to incur approximately $0.3 million in capital expenditures during the remainder of fiscal 2011, excluding capital to support expected OTA growth. We spent approximately $2.9 million in the first nine months of fiscal 2011 on information technologies, renewable energy-related investments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information systems critical to our long-term success and our ability to ensure a strong control environment over financial reporting and operations. We expect to finance these capital expenditures primarily through our existing cash, equipment secured loans and leases, to the extent needed, long-term debt financing, or by using our available capacity under our credit facility.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is a summary of our long-term contractual obligations as of December 31, 2010 (dollars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Less than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1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1-3 Years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3-5 Years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 payments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order and cap-ex commitments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5" w:lineRule="exact"/>
        <w:rPr>
          <w:sz w:val="20"/>
          <w:szCs w:val="20"/>
          <w:color w:val="auto"/>
        </w:rPr>
      </w:pPr>
    </w:p>
    <w:p>
      <w:pPr>
        <w:jc w:val="both"/>
        <w:ind w:left="720" w:right="159" w:hanging="388"/>
        <w:spacing w:after="0" w:line="31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non-cancellable purchase order commitment in the amount of $13.4 million for certain inventory items entered into in order to secure better pricing and ensure materials on hand and capital expenditure commitments in the amount of $0.1 million for improvements to information technology systems, renewable energy products and manufacturing equipment and tooling.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 off-balance sheet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340" w:right="1679" w:firstLine="389"/>
        <w:spacing w:after="0" w:line="454" w:lineRule="auto"/>
        <w:rPr>
          <w:sz w:val="20"/>
          <w:szCs w:val="20"/>
          <w:color w:val="auto"/>
        </w:rPr>
      </w:pPr>
      <w:r>
        <w:rPr>
          <w:rFonts w:ascii="Arial" w:cs="Arial" w:eastAsia="Arial" w:hAnsi="Arial"/>
          <w:sz w:val="18"/>
          <w:szCs w:val="18"/>
          <w:color w:val="auto"/>
        </w:rPr>
        <w:t xml:space="preserve">Our results from operations have not been, and we do not expect them to be, materially affected by inflation. </w:t>
      </w:r>
      <w:r>
        <w:rPr>
          <w:rFonts w:ascii="Arial" w:cs="Arial" w:eastAsia="Arial" w:hAnsi="Arial"/>
          <w:sz w:val="18"/>
          <w:szCs w:val="18"/>
          <w:b w:val="1"/>
          <w:bCs w:val="1"/>
          <w:color w:val="auto"/>
        </w:rPr>
        <w:t>Critical Accounting Policies and Estimates</w:t>
      </w:r>
    </w:p>
    <w:p>
      <w:pPr>
        <w:jc w:val="both"/>
        <w:ind w:left="340" w:right="159" w:firstLine="389"/>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2010. During the quarter ended December 31, 2010, we adopted new accounting guidance related to revenue recognition and estimated selling price on multiple element deliverables and updated our accounting policy accordingly. There have been no other material changes in any of our accounting policies since March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Our exposure to market risk was discussed in the “Quantitative and Qualitative Disclosures About Market Risk” section contained in our Annual Report on Form 10-K for the year ended March 31, 2010. There have been no material changes to such exposures since March 31,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as amended (the “Exchange Act”)) as of the end of the quarter ended December 31, 2010 pursuant to the requirements of the Exchange Act. Based upon their evaluation, our Chief Executive Officer and our Chief Financial Officer concluded that our disclosure controls and procedures were effective as of the end of the quarter ended December 31, 2010.</w:t>
      </w:r>
    </w:p>
    <w:p>
      <w:pPr>
        <w:spacing w:after="0" w:line="151"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quarter ended December 31, 2010 that has materially affected, or is reasonably likely to materially affect, our internal control over financial reporting.</w:t>
      </w:r>
    </w:p>
    <w:p>
      <w:pPr>
        <w:spacing w:after="0" w:line="10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13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us, several of our officers, all members of our then existing board of directors, and certain underwriters relating to our December 2007 IPO. The plaintiffs claimed to represent those persons who purchased shares of our common stock from December 18, 2007 through February 6, 2008. The plaintiffs alleged, among other things, that the defendants made misstatements and failed to disclose material information in our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3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6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the fourth quarter of fiscal 2010, we reached a preliminary agreement to settle the class action lawsuits and on January 3, 2011, the court issued an order granting preliminary approval of the settlement. The court has scheduled a fairness hearing for April 14, 2011. Substantially all of the proposed preliminary settlement amount will be covered by our insurance. However, for our share of the proposed preliminary settlement not covered by insurance, we recorded an after-tax charge in the fourth quarter of fiscal 2010 of approximately $0.02 per share. We deposited our uninsured share of the settlement amount in escrow on February 1, 2011.</w:t>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If the preliminary settlement is not finally approved or the other conditions are not met, we will continue to defend against the lawsuits and believe that we and the other defendants have substantial legal and factual defenses to the claims and allegations contained in the consolidated complaint. In such a case, we would intend to pursue these defenses vigorously. There can be no assurance, however, that we would be successful, and an adverse resolution of the lawsuits could have a material adverse effect on our financial condition,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If the preliminary settlement is not finally approved or the other conditions are not met, we are not presently able to reasonably estimate potential costs and/or losses, if any, related to the lawsuit.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2010, which we filed with the SEC on June 14, 2010. During the three months ended December 31, 2010, there were no material changes to the risk factors that were disclosed in Part I — Item 1A under the heading “Risk Factors” in our Annual Report on Form 10-K for the fiscal year ended March 31, 2010.</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Use of Proceeds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IPO was declared effective by the SEC on December 18, 2007. The net offering proceeds received by us, after deducting underwriting discounts and commissions and expenses incurred in connection with the offering, were approximately $78.6 million. Through December 31, 2010, approximately $43.1 million of the proceeds from our IPO have been used to fund operations of our business and for general corporate purposes and approximately $29.8 million was used for the repurchase of common shares. The remainder of the net proceeds from the IPO are invested in bank certificates of deposit and money market accounts. Other than for our share repurchases, there has been no material change in the planned use of proceeds from our IPO as described in our final prospectus filed with the SEC on December 18, 2007 pursuant to Rule 424(b).</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REMOVED AND RESERVED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Statistical Data</w:t>
      </w:r>
    </w:p>
    <w:p>
      <w:pPr>
        <w:spacing w:after="0" w:line="189"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following table presents certain statistical data, cumulative from December 1, 2001 through December 31, 2010,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Cumulative From</w:t>
            </w:r>
          </w:p>
        </w:tc>
      </w:tr>
      <w:tr>
        <w:trPr>
          <w:trHeight w:val="216"/>
        </w:trPr>
        <w:tc>
          <w:tcPr>
            <w:tcW w:w="17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December 1, 2001</w:t>
            </w:r>
          </w:p>
        </w:tc>
      </w:tr>
      <w:tr>
        <w:trPr>
          <w:trHeight w:val="234"/>
        </w:trPr>
        <w:tc>
          <w:tcPr>
            <w:tcW w:w="17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9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0"/>
              </w:rPr>
              <w:t>Through December 31, 2010</w:t>
            </w:r>
          </w:p>
        </w:tc>
      </w:tr>
      <w:tr>
        <w:trPr>
          <w:trHeight w:val="210"/>
        </w:trPr>
        <w:tc>
          <w:tcPr>
            <w:tcW w:w="17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thousands, unaudited)</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Total units sold (including HIF lighting systems)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2,593</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Customer kilowatt hours saved(2)(3)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14,321,538</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1,102,758</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9,519</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1,010,057</w:t>
            </w:r>
          </w:p>
        </w:tc>
      </w:tr>
      <w:tr>
        <w:trPr>
          <w:trHeight w:val="189"/>
        </w:trPr>
        <w:tc>
          <w:tcPr>
            <w:tcW w:w="1740" w:type="dxa"/>
            <w:vAlign w:val="bottom"/>
            <w:tcBorders>
              <w:bottom w:val="single" w:sz="8" w:color="auto"/>
            </w:tcBorders>
          </w:tcPr>
          <w:p>
            <w:pPr>
              <w:spacing w:after="0"/>
              <w:rPr>
                <w:sz w:val="16"/>
                <w:szCs w:val="16"/>
                <w:color w:val="auto"/>
              </w:rPr>
            </w:pPr>
          </w:p>
        </w:tc>
        <w:tc>
          <w:tcPr>
            <w:tcW w:w="5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5"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“HIF lighting systems” includes all HIF units sold under the brand name “Compact Modular” and its predecessor, “Illuminator.”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720" w:right="159" w:hanging="388"/>
        <w:spacing w:after="0" w:line="269"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2.59 million units).</w:t>
      </w:r>
    </w:p>
    <w:p>
      <w:pPr>
        <w:spacing w:after="0" w:line="34" w:lineRule="exact"/>
        <w:rPr>
          <w:rFonts w:ascii="Arial" w:cs="Arial" w:eastAsia="Arial" w:hAnsi="Arial"/>
          <w:sz w:val="17"/>
          <w:szCs w:val="17"/>
          <w:color w:val="auto"/>
        </w:rPr>
      </w:pPr>
    </w:p>
    <w:p>
      <w:pPr>
        <w:jc w:val="both"/>
        <w:ind w:left="720" w:right="179" w:hanging="388"/>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32" w:lineRule="exact"/>
        <w:rPr>
          <w:rFonts w:ascii="Arial" w:cs="Arial" w:eastAsia="Arial" w:hAnsi="Arial"/>
          <w:sz w:val="18"/>
          <w:szCs w:val="18"/>
          <w:color w:val="auto"/>
        </w:rPr>
      </w:pPr>
    </w:p>
    <w:p>
      <w:pPr>
        <w:jc w:val="both"/>
        <w:ind w:left="720" w:right="159" w:hanging="388"/>
        <w:spacing w:after="0" w:line="311"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calculate our customers’ electricity costs saved by multiplying the cumulative total customer kilowatt hours saved indicated in the table by $0.077 per kilowatt hour. The national average rate for 2009, which is the most current full year for which this information is available, was $0.0989 per kilowatt hour according to the United States Energy Information Administration.</w:t>
      </w:r>
    </w:p>
    <w:p>
      <w:pPr>
        <w:jc w:val="both"/>
        <w:ind w:left="720" w:right="159" w:hanging="388"/>
        <w:spacing w:after="0" w:line="25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9" w:lineRule="exact"/>
        <w:rPr>
          <w:rFonts w:ascii="Arial" w:cs="Arial" w:eastAsia="Arial" w:hAnsi="Arial"/>
          <w:sz w:val="18"/>
          <w:szCs w:val="18"/>
          <w:color w:val="auto"/>
        </w:rPr>
      </w:pPr>
    </w:p>
    <w:p>
      <w:pPr>
        <w:jc w:val="both"/>
        <w:ind w:left="720" w:right="179" w:hanging="388"/>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2.59 million total units sold, which contain a total of approximately 12.95 million lamps. Each lamp illuminates approximately 75 square feet. The majority of our installed fixtures contain six lamps and typically illuminate approximately 450 square feet.</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(a) Exhibits</w:t>
            </w:r>
          </w:p>
        </w:tc>
        <w:tc>
          <w:tcPr>
            <w:tcW w:w="8380" w:type="dxa"/>
            <w:vAlign w:val="bottom"/>
          </w:tcPr>
          <w:p>
            <w:pPr>
              <w:spacing w:after="0"/>
              <w:rPr>
                <w:sz w:val="20"/>
                <w:szCs w:val="20"/>
                <w:color w:val="auto"/>
              </w:rPr>
            </w:pPr>
          </w:p>
        </w:tc>
      </w:tr>
      <w:tr>
        <w:trPr>
          <w:trHeight w:val="418"/>
        </w:trPr>
        <w:tc>
          <w:tcPr>
            <w:tcW w:w="12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8380" w:type="dxa"/>
            <w:vAlign w:val="bottom"/>
          </w:tcPr>
          <w:p>
            <w:pPr>
              <w:ind w:left="340"/>
              <w:spacing w:after="0"/>
              <w:rPr>
                <w:sz w:val="20"/>
                <w:szCs w:val="20"/>
                <w:color w:val="auto"/>
              </w:rPr>
            </w:pPr>
            <w:r>
              <w:rPr>
                <w:rFonts w:ascii="Arial" w:cs="Arial" w:eastAsia="Arial" w:hAnsi="Arial"/>
                <w:sz w:val="18"/>
                <w:szCs w:val="18"/>
                <w:color w:val="auto"/>
                <w:w w:val="91"/>
              </w:rPr>
              <w:t>Orion Energy Systems, Inc. 2004 Stock and Incentive Awards Plan, as amended (incorporated by reference to</w:t>
            </w:r>
          </w:p>
        </w:tc>
      </w:tr>
      <w:tr>
        <w:trPr>
          <w:trHeight w:val="216"/>
        </w:trPr>
        <w:tc>
          <w:tcPr>
            <w:tcW w:w="120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Appendix A to the definitive proxy statement of Orion Energy Systems, Inc. filed on Schedule 14A on</w:t>
            </w:r>
          </w:p>
        </w:tc>
      </w:tr>
      <w:tr>
        <w:trPr>
          <w:trHeight w:val="230"/>
        </w:trPr>
        <w:tc>
          <w:tcPr>
            <w:tcW w:w="120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September 10, 2010).</w:t>
            </w:r>
          </w:p>
        </w:tc>
      </w:tr>
      <w:tr>
        <w:trPr>
          <w:trHeight w:val="418"/>
        </w:trPr>
        <w:tc>
          <w:tcPr>
            <w:tcW w:w="120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8380" w:type="dxa"/>
            <w:vAlign w:val="bottom"/>
          </w:tcPr>
          <w:p>
            <w:pPr>
              <w:ind w:left="3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w:t>
            </w:r>
          </w:p>
        </w:tc>
      </w:tr>
      <w:tr>
        <w:trPr>
          <w:trHeight w:val="230"/>
        </w:trPr>
        <w:tc>
          <w:tcPr>
            <w:tcW w:w="120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20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8380" w:type="dxa"/>
            <w:vAlign w:val="bottom"/>
          </w:tcPr>
          <w:p>
            <w:pPr>
              <w:ind w:left="3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w:t>
            </w:r>
          </w:p>
        </w:tc>
      </w:tr>
      <w:tr>
        <w:trPr>
          <w:trHeight w:val="230"/>
        </w:trPr>
        <w:tc>
          <w:tcPr>
            <w:tcW w:w="120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200" w:type="dxa"/>
            <w:vAlign w:val="bottom"/>
          </w:tcPr>
          <w:p>
            <w:pPr>
              <w:jc w:val="right"/>
              <w:ind w:right="330"/>
              <w:spacing w:after="0"/>
              <w:rPr>
                <w:sz w:val="20"/>
                <w:szCs w:val="20"/>
                <w:color w:val="auto"/>
              </w:rPr>
            </w:pPr>
            <w:r>
              <w:rPr>
                <w:rFonts w:ascii="Arial" w:cs="Arial" w:eastAsia="Arial" w:hAnsi="Arial"/>
                <w:sz w:val="18"/>
                <w:szCs w:val="18"/>
                <w:color w:val="auto"/>
              </w:rPr>
              <w:t>32.1</w:t>
            </w:r>
          </w:p>
        </w:tc>
        <w:tc>
          <w:tcPr>
            <w:tcW w:w="838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13a-14(b) promulgated</w:t>
            </w:r>
          </w:p>
        </w:tc>
      </w:tr>
      <w:tr>
        <w:trPr>
          <w:trHeight w:val="216"/>
        </w:trPr>
        <w:tc>
          <w:tcPr>
            <w:tcW w:w="120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20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200" w:type="dxa"/>
            <w:vAlign w:val="bottom"/>
          </w:tcPr>
          <w:p>
            <w:pPr>
              <w:jc w:val="right"/>
              <w:ind w:right="330"/>
              <w:spacing w:after="0"/>
              <w:rPr>
                <w:sz w:val="20"/>
                <w:szCs w:val="20"/>
                <w:color w:val="auto"/>
              </w:rPr>
            </w:pPr>
            <w:r>
              <w:rPr>
                <w:rFonts w:ascii="Arial" w:cs="Arial" w:eastAsia="Arial" w:hAnsi="Arial"/>
                <w:sz w:val="18"/>
                <w:szCs w:val="18"/>
                <w:color w:val="auto"/>
              </w:rPr>
              <w:t>32.2</w:t>
            </w:r>
          </w:p>
        </w:tc>
        <w:tc>
          <w:tcPr>
            <w:tcW w:w="8380" w:type="dxa"/>
            <w:vAlign w:val="bottom"/>
          </w:tcPr>
          <w:p>
            <w:pPr>
              <w:ind w:left="3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13a-14(b) promulgated</w:t>
            </w:r>
          </w:p>
        </w:tc>
      </w:tr>
      <w:tr>
        <w:trPr>
          <w:trHeight w:val="216"/>
        </w:trPr>
        <w:tc>
          <w:tcPr>
            <w:tcW w:w="120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20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2011.</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5126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December 31, 2010</w:t>
            </w: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3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1"/>
              </w:rPr>
              <w:t>Orion Energy Systems, Inc. 2004 Stock and Incentive Awards Plan, as amended (incorporated by reference to</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Appendix A to the definitive proxy statement of Orion Energy Systems, Inc. filed on Schedule 14A on</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September 10, 2010).</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13a-14(b) promulgated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13a-14(b) promulgated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05"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85" w:lineRule="exact"/>
        <w:rPr>
          <w:sz w:val="20"/>
          <w:szCs w:val="20"/>
          <w:color w:val="auto"/>
        </w:rPr>
      </w:pPr>
    </w:p>
    <w:p>
      <w:pPr>
        <w:ind w:left="740" w:hanging="370"/>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59" w:hanging="386"/>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Neal R. Verfuerth</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85"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59" w:hanging="386"/>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CEO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1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2010,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87" w:lineRule="exact"/>
        <w:rPr>
          <w:sz w:val="20"/>
          <w:szCs w:val="20"/>
          <w:color w:val="auto"/>
        </w:rPr>
      </w:pPr>
    </w:p>
    <w:p>
      <w:pPr>
        <w:ind w:left="780" w:hanging="42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780" w:right="699" w:hanging="423"/>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 February 9, 2011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470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Neal R. Verfuerth</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CFO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2010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87" w:lineRule="exact"/>
        <w:rPr>
          <w:sz w:val="20"/>
          <w:szCs w:val="20"/>
          <w:color w:val="auto"/>
        </w:rPr>
      </w:pPr>
    </w:p>
    <w:p>
      <w:pPr>
        <w:ind w:left="780" w:hanging="423"/>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780" w:right="699" w:hanging="423"/>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 February 9, 2011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470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1)"/>
      <w:numFmt w:val="lowerRoman"/>
      <w:start w:val="10"/>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2019-12-11T05:56:48Z</dcterms:created>
  <dcterms:modified xsi:type="dcterms:W3CDTF">2019-12-11T05:56:48Z</dcterms:modified>
</cp:coreProperties>
</file>