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esx-20260915.htm"/>
      <w:bookmarkStart w:id="1" w:name="ksoesx20260915"/>
      <w:bookmarkEnd w:id="0"/>
      <w:bookmarkEnd w:id="1"/>
      <w:r>
        <w:rPr/>
        <w:t> </w:t>
      </w:r>
    </w:p>
    <w:p>
      <w:pPr>
        <w:pStyle w:val="TextBody"/>
        <w:bidi w:val="0"/>
        <w:jc w:val="left"/>
        <w:rPr/>
      </w:pPr>
      <w:r>
        <w:rPr/>
        <w:t> </w:t>
      </w:r>
    </w:p>
    <w:p>
      <w:pPr>
        <w:pStyle w:val="TextBody"/>
        <w:bidi w:val="0"/>
        <w:jc w:val="center"/>
        <w:rPr>
          <w:rFonts w:ascii="Times New Roman" w:hAnsi="Times New Roman"/>
          <w:color w:val="000000"/>
          <w:sz w:val="32"/>
        </w:rPr>
      </w:pPr>
      <w:r>
        <w:rPr>
          <w:rFonts w:ascii="Times New Roman" w:hAnsi="Times New Roman"/>
          <w:color w:val="000000"/>
          <w:sz w:val="32"/>
        </w:rPr>
        <w:t>UNITED STATES</w:t>
      </w:r>
    </w:p>
    <w:p>
      <w:pPr>
        <w:pStyle w:val="TextBody"/>
        <w:bidi w:val="0"/>
        <w:jc w:val="center"/>
        <w:rPr>
          <w:rFonts w:ascii="Times New Roman" w:hAnsi="Times New Roman"/>
          <w:color w:val="000000"/>
          <w:sz w:val="32"/>
        </w:rPr>
      </w:pPr>
      <w:r>
        <w:rPr>
          <w:rFonts w:ascii="Times New Roman" w:hAnsi="Times New Roman"/>
          <w:color w:val="000000"/>
          <w:sz w:val="32"/>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color w:val="000000"/>
          <w:sz w:val="32"/>
        </w:rPr>
      </w:pPr>
      <w:r>
        <w:rPr>
          <w:rFonts w:ascii="Times New Roman" w:hAnsi="Times New Roman"/>
          <w:color w:val="000000"/>
          <w:sz w:val="32"/>
        </w:rPr>
        <w:t>FORM 8-K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CURRENT REPORT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Pursuant to Section 13 or 15(d) of</w:t>
      </w:r>
    </w:p>
    <w:p>
      <w:pPr>
        <w:pStyle w:val="TextBody"/>
        <w:bidi w:val="0"/>
        <w:jc w:val="center"/>
        <w:rPr>
          <w:rFonts w:ascii="Times New Roman" w:hAnsi="Times New Roman"/>
          <w:color w:val="000000"/>
          <w:sz w:val="24"/>
        </w:rPr>
      </w:pPr>
      <w:r>
        <w:rPr>
          <w:rFonts w:ascii="Times New Roman" w:hAnsi="Times New Roman"/>
          <w:color w:val="000000"/>
          <w:sz w:val="24"/>
        </w:rPr>
        <w:t>the Securities Exchange Act of 1934</w:t>
      </w:r>
    </w:p>
    <w:p>
      <w:pPr>
        <w:pStyle w:val="TextBody"/>
        <w:pBdr>
          <w:bottom w:val="single" w:sz="4" w:space="1" w:color="000000"/>
        </w:pBdr>
        <w:bidi w:val="0"/>
        <w:jc w:val="center"/>
        <w:rPr/>
      </w:pPr>
      <w:r>
        <w:rPr/>
        <w:t> </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3961"/>
        <w:gridCol w:w="146"/>
        <w:gridCol w:w="177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15, 2026</w:t>
            </w:r>
          </w:p>
        </w:tc>
      </w:tr>
      <w:tr>
        <w:trPr/>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40"/>
          <w:u w:val="single"/>
        </w:rPr>
      </w:pPr>
      <w:r>
        <w:rPr>
          <w:rFonts w:ascii="Times New Roman" w:hAnsi="Times New Roman"/>
          <w:color w:val="000000"/>
          <w:sz w:val="40"/>
          <w:u w:val="single"/>
        </w:rPr>
        <w:t>ORION ENERGY SYSTEMS,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p>
      <w:pPr>
        <w:pStyle w:val="TextBody"/>
        <w:bidi w:val="0"/>
        <w:jc w:val="left"/>
        <w:rPr/>
      </w:pPr>
      <w:r>
        <w:rPr/>
        <w:t> </w:t>
      </w:r>
    </w:p>
    <w:tbl>
      <w:tblPr>
        <w:tblW w:w="3888" w:type="dxa"/>
        <w:jc w:val="left"/>
        <w:tblInd w:w="0" w:type="dxa"/>
        <w:tblLayout w:type="fixed"/>
        <w:tblCellMar>
          <w:top w:w="28" w:type="dxa"/>
          <w:left w:w="28" w:type="dxa"/>
          <w:bottom w:w="28" w:type="dxa"/>
          <w:right w:w="28" w:type="dxa"/>
        </w:tblCellMar>
      </w:tblPr>
      <w:tblGrid>
        <w:gridCol w:w="1126"/>
        <w:gridCol w:w="1321"/>
        <w:gridCol w:w="1441"/>
      </w:tblGrid>
      <w:tr>
        <w:trPr/>
        <w:tc>
          <w:tcPr>
            <w:tcW w:w="112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Wisconsin</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01-33887</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39-1847269</w:t>
            </w:r>
          </w:p>
        </w:tc>
      </w:tr>
      <w:tr>
        <w:trPr/>
        <w:tc>
          <w:tcPr>
            <w:tcW w:w="11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w:t>
            </w:r>
          </w:p>
          <w:p>
            <w:pPr>
              <w:pStyle w:val="TableContents"/>
              <w:bidi w:val="0"/>
              <w:jc w:val="center"/>
              <w:rPr>
                <w:rFonts w:ascii="Times New Roman" w:hAnsi="Times New Roman"/>
                <w:color w:val="000000"/>
                <w:sz w:val="16"/>
              </w:rPr>
            </w:pPr>
            <w:r>
              <w:rPr>
                <w:rFonts w:ascii="Times New Roman" w:hAnsi="Times New Roman"/>
                <w:color w:val="000000"/>
                <w:sz w:val="16"/>
              </w:rPr>
              <w:t>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w:t>
            </w:r>
          </w:p>
        </w:tc>
        <w:tc>
          <w:tcPr>
            <w:tcW w:w="13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 File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u w:val="single"/>
        </w:rPr>
        <w:t>2210 Woodland Drive, Manitowoc, Wisconsin, 54220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u w:val="single"/>
        </w:rPr>
        <w:t>(920) 892-9340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u w:val="single"/>
        </w:rPr>
        <w:t>Not Applicable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p>
    <w:p>
      <w:pPr>
        <w:pStyle w:val="TextBody"/>
        <w:bidi w:val="0"/>
        <w:spacing w:before="120" w:after="283"/>
        <w:jc w:val="both"/>
        <w:rPr/>
      </w:pPr>
      <w:r>
        <w:rPr>
          <w:color w:val="000000"/>
        </w:rPr>
        <w:t xml:space="preserve">☐ </w:t>
      </w:r>
      <w:r>
        <w:rPr>
          <w:rFonts w:ascii="Times New Roman" w:hAnsi="Times New Roman"/>
          <w:color w:val="000000"/>
          <w:sz w:val="16"/>
        </w:rPr>
        <w:t>Written communications pursuant to Rule 425 under the Securities Act (17 CFR 230.425)</w:t>
      </w:r>
    </w:p>
    <w:p>
      <w:pPr>
        <w:pStyle w:val="TextBody"/>
        <w:bidi w:val="0"/>
        <w:spacing w:before="120" w:after="283"/>
        <w:jc w:val="both"/>
        <w:rPr/>
      </w:pPr>
      <w:r>
        <w:rPr>
          <w:color w:val="000000"/>
        </w:rPr>
        <w:t xml:space="preserve">☐ </w:t>
      </w:r>
      <w:r>
        <w:rPr>
          <w:rFonts w:ascii="Times New Roman" w:hAnsi="Times New Roman"/>
          <w:color w:val="000000"/>
          <w:sz w:val="16"/>
        </w:rPr>
        <w:t>Soliciting material pursuant to Rule 14a-12 under the Exchange Act (17 CFR 240.14a-12)</w:t>
      </w:r>
    </w:p>
    <w:p>
      <w:pPr>
        <w:pStyle w:val="TextBody"/>
        <w:bidi w:val="0"/>
        <w:spacing w:before="120" w:after="283"/>
        <w:jc w:val="both"/>
        <w:rPr/>
      </w:pPr>
      <w:r>
        <w:rPr>
          <w:color w:val="000000"/>
        </w:rPr>
        <w:t xml:space="preserve">☐ </w:t>
      </w:r>
      <w:r>
        <w:rPr>
          <w:rFonts w:ascii="Times New Roman" w:hAnsi="Times New Roman"/>
          <w:color w:val="000000"/>
          <w:sz w:val="16"/>
        </w:rPr>
        <w:t>Pre-commencement communications pursuant to Rule 14d-2(b) under the Exchange Act (17 CFR 240.14d-2(b))</w:t>
      </w:r>
    </w:p>
    <w:p>
      <w:pPr>
        <w:pStyle w:val="TextBody"/>
        <w:bidi w:val="0"/>
        <w:spacing w:before="120" w:after="283"/>
        <w:jc w:val="both"/>
        <w:rPr/>
      </w:pPr>
      <w:r>
        <w:rPr>
          <w:color w:val="000000"/>
        </w:rPr>
        <w:t xml:space="preserve">☐ </w:t>
      </w:r>
      <w:r>
        <w:rPr>
          <w:rFonts w:ascii="Times New Roman" w:hAnsi="Times New Roman"/>
          <w:color w:val="000000"/>
          <w:sz w:val="16"/>
        </w:rPr>
        <w:t>Pre-commencement communications pursuant to Rule 13e-4(c) under the Exchange Act (17 CFR 240.13e-4(c)</w:t>
      </w:r>
    </w:p>
    <w:p>
      <w:pPr>
        <w:pStyle w:val="TextBody"/>
        <w:bidi w:val="0"/>
        <w:spacing w:before="40" w:after="16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OESX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Emerging growth company ☐</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2"/>
        </w:rPr>
      </w:pPr>
      <w:bookmarkStart w:id="2" w:name="orion_form8xkforearningsre_htm_sb508d3cc"/>
      <w:bookmarkStart w:id="3" w:name="eolpage2"/>
      <w:bookmarkEnd w:id="2"/>
      <w:bookmarkEnd w:id="3"/>
      <w:r>
        <w:rPr>
          <w:rFonts w:ascii="Times New Roman" w:hAnsi="Times New Roman"/>
          <w:b/>
          <w:color w:val="000000"/>
          <w:sz w:val="22"/>
          <w:u w:val="single"/>
        </w:rPr>
        <w:t>Item 2.02</w:t>
      </w:r>
      <w:r>
        <w:rPr>
          <w:rFonts w:ascii="Times New Roman" w:hAnsi="Times New Roman"/>
          <w:color w:val="000000"/>
          <w:sz w:val="22"/>
        </w:rPr>
        <w:t xml:space="preserve"> </w:t>
      </w:r>
      <w:r>
        <w:rPr>
          <w:rFonts w:ascii="Times New Roman" w:hAnsi="Times New Roman"/>
          <w:b/>
          <w:color w:val="000000"/>
          <w:sz w:val="22"/>
        </w:rPr>
        <w:t>.</w:t>
      </w:r>
      <w:r>
        <w:rPr>
          <w:rFonts w:ascii="Times New Roman" w:hAnsi="Times New Roman"/>
          <w:color w:val="000000"/>
          <w:sz w:val="22"/>
        </w:rPr>
        <w:t xml:space="preserve"> </w:t>
      </w:r>
      <w:r>
        <w:rPr>
          <w:rFonts w:ascii="Times New Roman" w:hAnsi="Times New Roman"/>
          <w:b/>
          <w:color w:val="000000"/>
          <w:sz w:val="22"/>
          <w:u w:val="single"/>
        </w:rPr>
        <w:t>Results of Operations and Financial Condition.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On September 15, 2026, Orion Energy Systems, Inc. (the “Company”) issued a press release updating its revenue outlook for fiscal 2027. A copy of the press release is furnished as Exhibit 99.1 to this Current Report on Form 8-K.</w:t>
      </w:r>
    </w:p>
    <w:p>
      <w:pPr>
        <w:pStyle w:val="TextBody"/>
        <w:bidi w:val="0"/>
        <w:jc w:val="left"/>
        <w:rPr>
          <w:rFonts w:ascii="Times New Roman" w:hAnsi="Times New Roman"/>
          <w:color w:val="000000"/>
          <w:sz w:val="24"/>
        </w:rPr>
      </w:pPr>
      <w:bookmarkStart w:id="4" w:name="fis_financial_statements_and_exhibits"/>
      <w:bookmarkStart w:id="5" w:name="fis_section_9_financial_statements_and_e"/>
      <w:bookmarkEnd w:id="4"/>
      <w:bookmarkEnd w:id="5"/>
      <w:r>
        <w:rPr>
          <w:rFonts w:ascii="Times New Roman" w:hAnsi="Times New Roman"/>
          <w:color w:val="000000"/>
          <w:sz w:val="24"/>
        </w:rPr>
        <w:t xml:space="preserve">. </w:t>
      </w:r>
    </w:p>
    <w:p>
      <w:pPr>
        <w:pStyle w:val="TextBody"/>
        <w:bidi w:val="0"/>
        <w:spacing w:before="240" w:after="283"/>
        <w:jc w:val="left"/>
        <w:rPr>
          <w:rFonts w:ascii="Times New Roman" w:hAnsi="Times New Roman"/>
          <w:sz w:val="22"/>
        </w:rPr>
      </w:pPr>
      <w:r>
        <w:rPr>
          <w:rFonts w:ascii="Times New Roman" w:hAnsi="Times New Roman"/>
          <w:b/>
          <w:color w:val="000000"/>
          <w:sz w:val="22"/>
          <w:u w:val="single"/>
        </w:rPr>
        <w:t>Item 9.01(d)</w:t>
      </w:r>
      <w:r>
        <w:rPr>
          <w:rFonts w:ascii="Times New Roman" w:hAnsi="Times New Roman"/>
          <w:color w:val="000000"/>
          <w:sz w:val="22"/>
        </w:rPr>
        <w:t xml:space="preserve"> </w:t>
      </w:r>
      <w:r>
        <w:rPr>
          <w:rFonts w:ascii="Times New Roman" w:hAnsi="Times New Roman"/>
          <w:b/>
          <w:color w:val="000000"/>
          <w:sz w:val="22"/>
        </w:rPr>
        <w:t>.</w:t>
      </w:r>
      <w:r>
        <w:rPr>
          <w:rFonts w:ascii="Times New Roman" w:hAnsi="Times New Roman"/>
          <w:color w:val="000000"/>
          <w:sz w:val="22"/>
        </w:rPr>
        <w:t xml:space="preserve"> </w:t>
      </w:r>
      <w:r>
        <w:rPr>
          <w:rFonts w:ascii="Times New Roman" w:hAnsi="Times New Roman"/>
          <w:b/>
          <w:color w:val="000000"/>
          <w:sz w:val="22"/>
          <w:u w:val="single"/>
        </w:rPr>
        <w:t>Financial Statements and Exhibits.</w:t>
      </w:r>
    </w:p>
    <w:p>
      <w:pPr>
        <w:pStyle w:val="TextBody"/>
        <w:bidi w:val="0"/>
        <w:jc w:val="both"/>
        <w:rPr/>
      </w:pPr>
      <w:r>
        <w:rPr/>
        <w:t> </w:t>
      </w:r>
    </w:p>
    <w:p>
      <w:pPr>
        <w:pStyle w:val="TextBody"/>
        <w:bidi w:val="0"/>
        <w:jc w:val="both"/>
        <w:rPr/>
      </w:pPr>
      <w:r>
        <w:rPr/>
        <w:t> </w:t>
      </w:r>
    </w:p>
    <w:tbl>
      <w:tblPr>
        <w:tblW w:w="8942" w:type="dxa"/>
        <w:jc w:val="left"/>
        <w:tblInd w:w="0" w:type="dxa"/>
        <w:tblLayout w:type="fixed"/>
        <w:tblCellMar>
          <w:top w:w="28" w:type="dxa"/>
          <w:left w:w="28" w:type="dxa"/>
          <w:bottom w:w="28" w:type="dxa"/>
          <w:right w:w="28" w:type="dxa"/>
        </w:tblCellMar>
      </w:tblPr>
      <w:tblGrid>
        <w:gridCol w:w="1276"/>
        <w:gridCol w:w="7666"/>
      </w:tblGrid>
      <w:tr>
        <w:trPr/>
        <w:tc>
          <w:tcPr>
            <w:tcW w:w="1276"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99.1</w:t>
            </w:r>
          </w:p>
        </w:tc>
        <w:tc>
          <w:tcPr>
            <w:tcW w:w="7666" w:type="dxa"/>
            <w:tcBorders/>
            <w:tcMar>
              <w:top w:w="0" w:type="dxa"/>
              <w:left w:w="0" w:type="dxa"/>
              <w:bottom w:w="0" w:type="dxa"/>
              <w:right w:w="0" w:type="dxa"/>
            </w:tcMar>
            <w:vAlign w:val="center"/>
          </w:tcPr>
          <w:p>
            <w:pPr>
              <w:pStyle w:val="TableContents"/>
              <w:bidi w:val="0"/>
              <w:spacing w:before="0" w:after="283"/>
              <w:jc w:val="left"/>
              <w:rPr/>
            </w:pPr>
            <w:hyperlink w:anchor="oesx-ex99_1.htm">
              <w:r>
                <w:rPr>
                  <w:rStyle w:val="InternetLink"/>
                  <w:rFonts w:ascii="Times New Roman" w:hAnsi="Times New Roman"/>
                  <w:color w:val="0000FF"/>
                  <w:sz w:val="20"/>
                  <w:u w:val="single"/>
                </w:rPr>
                <w:t>Exhibit 99.1 Press Release of Orion Energy Systems, Inc. dated September 15, 2026</w:t>
              </w:r>
            </w:hyperlink>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104</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SIGNATURES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287" w:type="dxa"/>
        <w:jc w:val="left"/>
        <w:tblInd w:w="0" w:type="dxa"/>
        <w:tblLayout w:type="fixed"/>
        <w:tblCellMar>
          <w:top w:w="28" w:type="dxa"/>
          <w:left w:w="28" w:type="dxa"/>
          <w:bottom w:w="28" w:type="dxa"/>
          <w:right w:w="28" w:type="dxa"/>
        </w:tblCellMar>
      </w:tblPr>
      <w:tblGrid>
        <w:gridCol w:w="2596"/>
        <w:gridCol w:w="3691"/>
      </w:tblGrid>
      <w:tr>
        <w:trPr/>
        <w:tc>
          <w:tcPr>
            <w:tcW w:w="259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2"/>
              </w:rPr>
            </w:pPr>
            <w:r>
              <w:rPr>
                <w:rFonts w:ascii="Times New Roman" w:hAnsi="Times New Roman"/>
                <w:b/>
                <w:color w:val="000000"/>
                <w:sz w:val="22"/>
              </w:rPr>
              <w:t>ORION ENERGY SYSTEMS, INC.</w:t>
            </w:r>
          </w:p>
        </w:tc>
      </w:tr>
      <w:tr>
        <w:trPr/>
        <w:tc>
          <w:tcPr>
            <w:tcW w:w="259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Date: September 15, 2026</w:t>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By: /s/ J. Per Brodin</w:t>
            </w:r>
          </w:p>
        </w:tc>
      </w:tr>
      <w:tr>
        <w:trPr/>
        <w:tc>
          <w:tcPr>
            <w:tcW w:w="25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J. Per Brodin</w:t>
            </w:r>
          </w:p>
        </w:tc>
      </w:tr>
      <w:tr>
        <w:trPr/>
        <w:tc>
          <w:tcPr>
            <w:tcW w:w="25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spacing w:before="0" w:after="5"/>
        <w:jc w:val="left"/>
        <w:rPr/>
      </w:pPr>
      <w:bookmarkStart w:id="6" w:name="oesx-ex99_1.htm"/>
      <w:bookmarkStart w:id="7" w:name="ksoesxex99_1"/>
      <w:bookmarkEnd w:id="6"/>
      <w:bookmarkEnd w:id="7"/>
      <w:r>
        <w:rPr/>
        <w:drawing>
          <wp:inline distT="0" distB="0" distL="0" distR="0">
            <wp:extent cx="178117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00050"/>
                    </a:xfrm>
                    <a:prstGeom prst="rect">
                      <a:avLst/>
                    </a:prstGeom>
                  </pic:spPr>
                </pic:pic>
              </a:graphicData>
            </a:graphic>
          </wp:inline>
        </w:drawing>
      </w:r>
      <w:r>
        <w:rPr>
          <w:color w:val="000000"/>
        </w:rPr>
        <w:t xml:space="preserve"> </w:t>
      </w:r>
      <w:r>
        <w:br w:type="page"/>
      </w:r>
    </w:p>
    <w:p>
      <w:pPr>
        <w:pStyle w:val="TextBody"/>
        <w:bidi w:val="0"/>
        <w:spacing w:before="0" w:after="17"/>
        <w:jc w:val="center"/>
        <w:rPr>
          <w:rFonts w:ascii="sans-serif" w:hAnsi="sans-serif"/>
          <w:b/>
          <w:color w:val="000000"/>
          <w:sz w:val="24"/>
        </w:rPr>
      </w:pPr>
      <w:r>
        <w:rPr>
          <w:rFonts w:ascii="sans-serif" w:hAnsi="sans-serif"/>
          <w:b/>
          <w:color w:val="000000"/>
          <w:sz w:val="24"/>
        </w:rPr>
        <w:t>Orion Announces Major US Retailer’s Additional Commitment for Estimated $10M-15M;</w:t>
      </w:r>
    </w:p>
    <w:p>
      <w:pPr>
        <w:pStyle w:val="TextBody"/>
        <w:bidi w:val="0"/>
        <w:spacing w:before="0" w:after="17"/>
        <w:jc w:val="center"/>
        <w:rPr>
          <w:rFonts w:ascii="sans-serif" w:hAnsi="sans-serif"/>
          <w:sz w:val="24"/>
        </w:rPr>
      </w:pPr>
      <w:r>
        <w:rPr>
          <w:rFonts w:ascii="sans-serif" w:hAnsi="sans-serif"/>
          <w:b/>
          <w:color w:val="000000"/>
          <w:sz w:val="24"/>
        </w:rPr>
        <w:t>Increases FY27 Revenue Outlook to $100M - $102M</w:t>
      </w:r>
      <w:r>
        <w:rPr>
          <w:rFonts w:ascii="sans-serif" w:hAnsi="sans-serif"/>
          <w:color w:val="000000"/>
          <w:sz w:val="24"/>
        </w:rPr>
        <w:t xml:space="preserve"> </w:t>
      </w:r>
    </w:p>
    <w:p>
      <w:pPr>
        <w:pStyle w:val="TextBody"/>
        <w:bidi w:val="0"/>
        <w:spacing w:before="0" w:after="17"/>
        <w:jc w:val="center"/>
        <w:rPr/>
      </w:pPr>
      <w:r>
        <w:rPr/>
        <w:t> </w:t>
      </w:r>
    </w:p>
    <w:p>
      <w:pPr>
        <w:pStyle w:val="TextBody"/>
        <w:bidi w:val="0"/>
        <w:spacing w:before="0" w:after="5"/>
        <w:jc w:val="left"/>
        <w:rPr>
          <w:rFonts w:ascii="sans-serif" w:hAnsi="sans-serif"/>
          <w:sz w:val="22"/>
        </w:rPr>
      </w:pPr>
      <w:r>
        <w:rPr>
          <w:rFonts w:ascii="sans-serif" w:hAnsi="sans-serif"/>
          <w:b/>
          <w:color w:val="000000"/>
          <w:sz w:val="22"/>
        </w:rPr>
        <w:t>Manitowoc, WI – September 15, 2026 – Orion Energy Systems, Inc.</w:t>
      </w:r>
      <w:r>
        <w:rPr>
          <w:rFonts w:ascii="sans-serif" w:hAnsi="sans-serif"/>
          <w:color w:val="000000"/>
          <w:sz w:val="22"/>
        </w:rPr>
        <w:t xml:space="preserve"> (NASDAQ: OESX) (Orion Lighting), a provider of energy-efficient LED lighting, electric vehicle (EV) charging stations and maintenance services solutions, today announced that a longtime customer has made a follow-on commitment to the Company for a new LED lighting project estimated to represent revenue of $10 million to $15 million. The new project is at additional locations operated by this retailer.</w:t>
      </w:r>
    </w:p>
    <w:p>
      <w:pPr>
        <w:pStyle w:val="TextBody"/>
        <w:bidi w:val="0"/>
        <w:spacing w:before="0" w:after="5"/>
        <w:jc w:val="left"/>
        <w:rPr/>
      </w:pPr>
      <w:r>
        <w:rPr/>
        <w:t> </w:t>
      </w:r>
    </w:p>
    <w:p>
      <w:pPr>
        <w:pStyle w:val="TextBody"/>
        <w:bidi w:val="0"/>
        <w:spacing w:before="0" w:after="5"/>
        <w:jc w:val="left"/>
        <w:rPr>
          <w:rFonts w:ascii="sans-serif" w:hAnsi="sans-serif"/>
          <w:color w:val="000000"/>
          <w:sz w:val="22"/>
        </w:rPr>
      </w:pPr>
      <w:r>
        <w:rPr>
          <w:rFonts w:ascii="sans-serif" w:hAnsi="sans-serif"/>
          <w:color w:val="000000"/>
          <w:sz w:val="22"/>
        </w:rPr>
        <w:t>This latest commitment involves retrofitting interior LED Lighting and IoT system installations at selected locations not previously retrofitted by Orion. Orion maintains that this most recent expansion of work demonstrates the confidence that Orion has earned with this leading retailer over the course of numerous projects spanning several years.</w:t>
      </w:r>
    </w:p>
    <w:p>
      <w:pPr>
        <w:pStyle w:val="TextBody"/>
        <w:bidi w:val="0"/>
        <w:spacing w:before="0" w:after="5"/>
        <w:jc w:val="left"/>
        <w:rPr/>
      </w:pPr>
      <w:r>
        <w:rPr/>
        <w:t> </w:t>
      </w:r>
    </w:p>
    <w:p>
      <w:pPr>
        <w:pStyle w:val="TextBody"/>
        <w:bidi w:val="0"/>
        <w:spacing w:before="0" w:after="5"/>
        <w:jc w:val="left"/>
        <w:rPr>
          <w:rFonts w:ascii="sans-serif" w:hAnsi="sans-serif"/>
          <w:color w:val="000000"/>
          <w:sz w:val="22"/>
        </w:rPr>
      </w:pPr>
      <w:r>
        <w:rPr>
          <w:rFonts w:ascii="sans-serif" w:hAnsi="sans-serif"/>
          <w:color w:val="000000"/>
          <w:sz w:val="22"/>
        </w:rPr>
        <w:t>The customer’s latest commitment is expected to be fulfilled on the basis of individual purchase orders, the timing of which is not certain at this time. However, Orion expects to recognize a significant majority of the revenue from this project in the second half of the current Fiscal Year 2027, which ends March 31, 2027.</w:t>
      </w:r>
    </w:p>
    <w:p>
      <w:pPr>
        <w:pStyle w:val="TextBody"/>
        <w:bidi w:val="0"/>
        <w:spacing w:before="0" w:after="5"/>
        <w:jc w:val="left"/>
        <w:rPr/>
      </w:pPr>
      <w:r>
        <w:rPr/>
        <w:t> </w:t>
      </w:r>
    </w:p>
    <w:p>
      <w:pPr>
        <w:pStyle w:val="TextBody"/>
        <w:bidi w:val="0"/>
        <w:spacing w:before="0" w:after="5"/>
        <w:jc w:val="left"/>
        <w:rPr>
          <w:rFonts w:ascii="sans-serif" w:hAnsi="sans-serif"/>
          <w:color w:val="000000"/>
          <w:sz w:val="22"/>
        </w:rPr>
      </w:pPr>
      <w:r>
        <w:rPr>
          <w:rFonts w:ascii="sans-serif" w:hAnsi="sans-serif"/>
          <w:color w:val="000000"/>
          <w:sz w:val="22"/>
        </w:rPr>
        <w:t xml:space="preserve">As a result of today’s announcement, Orion also announced that it expects to achieve total revenue of $100 million to $102 million for FY 2027, representing an increase from its previous outlook of $95 million to $97 million. As previously announced, Orion expects FY’Q2 revenues to decrease compared to the recently announced FY’Q1 revenue of $25.7M. The Company continues to expect to achieve positive Adjusted EBITDA for the fiscal year as a whole. </w:t>
      </w:r>
    </w:p>
    <w:p>
      <w:pPr>
        <w:pStyle w:val="TextBody"/>
        <w:bidi w:val="0"/>
        <w:spacing w:before="0" w:after="5"/>
        <w:jc w:val="left"/>
        <w:rPr/>
      </w:pPr>
      <w:r>
        <w:rPr/>
        <w:t> </w:t>
      </w:r>
    </w:p>
    <w:p>
      <w:pPr>
        <w:pStyle w:val="TextBody"/>
        <w:bidi w:val="0"/>
        <w:spacing w:before="0" w:after="5"/>
        <w:jc w:val="left"/>
        <w:rPr>
          <w:color w:val="000000"/>
        </w:rPr>
      </w:pPr>
      <w:r>
        <w:rPr>
          <w:color w:val="000000"/>
        </w:rPr>
        <w:t>“</w:t>
      </w:r>
      <w:r>
        <w:rPr>
          <w:rFonts w:ascii="sans-serif" w:hAnsi="sans-serif"/>
          <w:color w:val="000000"/>
          <w:sz w:val="22"/>
        </w:rPr>
        <w:t>Orion has once again earned a significant increase in its scope of work on behalf of one of the biggest names in retailing,” said Orion Chief Executive Officer Sally Washlow. “Orion continues to add substantially to its workflow with this Global Fortune 50 company, as we expand our management of LED Lighting, IoT, Maintenance and Electrical Contracting. We are pleased to continue to earn increasing trust, confidence and business from this industry leader.”</w:t>
      </w:r>
    </w:p>
    <w:p>
      <w:pPr>
        <w:pStyle w:val="TextBody"/>
        <w:bidi w:val="0"/>
        <w:spacing w:before="0" w:after="5"/>
        <w:jc w:val="left"/>
        <w:rPr/>
      </w:pPr>
      <w:r>
        <w:rPr/>
        <w:t> </w:t>
      </w:r>
    </w:p>
    <w:p>
      <w:pPr>
        <w:pStyle w:val="TextBody"/>
        <w:bidi w:val="0"/>
        <w:spacing w:before="0" w:after="5"/>
        <w:jc w:val="left"/>
        <w:rPr>
          <w:rFonts w:ascii="sans-serif" w:hAnsi="sans-serif"/>
          <w:b/>
          <w:color w:val="000000"/>
          <w:sz w:val="21"/>
        </w:rPr>
      </w:pPr>
      <w:r>
        <w:rPr>
          <w:rFonts w:ascii="sans-serif" w:hAnsi="sans-serif"/>
          <w:b/>
          <w:color w:val="000000"/>
          <w:sz w:val="21"/>
        </w:rPr>
        <w:t>About Orion Energy Systems</w:t>
      </w:r>
    </w:p>
    <w:p>
      <w:pPr>
        <w:pStyle w:val="TextBody"/>
        <w:bidi w:val="0"/>
        <w:spacing w:before="0" w:after="5"/>
        <w:jc w:val="left"/>
        <w:rPr>
          <w:rFonts w:ascii="sans-serif" w:hAnsi="sans-serif"/>
          <w:color w:val="000000"/>
          <w:sz w:val="21"/>
        </w:rPr>
      </w:pPr>
      <w:r>
        <w:rPr>
          <w:rFonts w:ascii="sans-serif" w:hAnsi="sans-serif"/>
          <w:color w:val="000000"/>
          <w:sz w:val="21"/>
        </w:rPr>
        <w:t xml:space="preserve">Orion provides energy efficiency and clean tech solutions, including LED lighting and controls, electrical vehicle (EV) charging solutions, and maintenance services. Orion specializes in turnkey design-through-installation solutions for large national customers as well as projects through ESCO and distribution partners, with a commitment to helping customers achieve their business and environmental goals with healthy, safe, and sustainable solutions that reduce their carbon footprint and enhance business performance. </w:t>
      </w:r>
    </w:p>
    <w:p>
      <w:pPr>
        <w:pStyle w:val="TextBody"/>
        <w:bidi w:val="0"/>
        <w:spacing w:before="0" w:after="5"/>
        <w:jc w:val="left"/>
        <w:rPr/>
      </w:pPr>
      <w:r>
        <w:rPr/>
        <w:t> </w:t>
      </w:r>
    </w:p>
    <w:p>
      <w:pPr>
        <w:pStyle w:val="TextBody"/>
        <w:bidi w:val="0"/>
        <w:spacing w:before="0" w:after="5"/>
        <w:jc w:val="left"/>
        <w:rPr>
          <w:rFonts w:ascii="sans-serif" w:hAnsi="sans-serif"/>
          <w:color w:val="000000"/>
          <w:sz w:val="21"/>
        </w:rPr>
      </w:pPr>
      <w:r>
        <w:rPr>
          <w:rFonts w:ascii="sans-serif" w:hAnsi="sans-serif"/>
          <w:color w:val="000000"/>
          <w:sz w:val="21"/>
        </w:rPr>
        <w:t>For more information about Orion, please visit our website at www.orionlighting.com.</w:t>
      </w:r>
    </w:p>
    <w:p>
      <w:pPr>
        <w:pStyle w:val="TextBody"/>
        <w:bidi w:val="0"/>
        <w:spacing w:before="0" w:after="5"/>
        <w:jc w:val="left"/>
        <w:rPr/>
      </w:pPr>
      <w:r>
        <w:rPr/>
        <w:t> </w:t>
      </w:r>
    </w:p>
    <w:p>
      <w:pPr>
        <w:pStyle w:val="TextBody"/>
        <w:bidi w:val="0"/>
        <w:jc w:val="left"/>
        <w:rPr>
          <w:rFonts w:ascii="sans-serif" w:hAnsi="sans-serif"/>
          <w:sz w:val="21"/>
        </w:rPr>
      </w:pPr>
      <w:r>
        <w:rPr>
          <w:rFonts w:ascii="sans-serif" w:hAnsi="sans-serif"/>
          <w:b/>
          <w:color w:val="000000"/>
          <w:sz w:val="21"/>
        </w:rPr>
        <w:t>Safe Harbor Statement</w:t>
      </w:r>
      <w:r>
        <w:rPr>
          <w:rFonts w:ascii="sans-serif" w:hAnsi="sans-serif"/>
          <w:color w:val="000000"/>
          <w:sz w:val="21"/>
        </w:rPr>
        <w:t xml:space="preserve"> </w:t>
      </w:r>
    </w:p>
    <w:p>
      <w:pPr>
        <w:pStyle w:val="TextBody"/>
        <w:bidi w:val="0"/>
        <w:spacing w:before="0" w:after="5"/>
        <w:jc w:val="left"/>
        <w:rPr>
          <w:rFonts w:ascii="sans-serif" w:hAnsi="sans-serif"/>
          <w:color w:val="000000"/>
          <w:sz w:val="21"/>
        </w:rPr>
      </w:pPr>
      <w:r>
        <w:rPr>
          <w:rFonts w:ascii="sans-serif" w:hAnsi="sans-serif"/>
          <w:color w:val="000000"/>
          <w:sz w:val="21"/>
        </w:rPr>
        <w:t>Certain matters discussed in this press release, are “forward-looking statements” intended to qualify for the safe harbor from liability established by the Private Securities Litigation Reform Act of 1995. These forward-looking statements may generally be identified as such because the context of such statements will include words such as “anticipate,” “believe,” “could,” “estimate,” “expect,” “intend,” “may,” “plan,” “potential,” “predict,” “project,” “should,” “will,” “would” or words of similar import. Similarly, statements that describe our future plans, objectives or goals, including business relationships with government customers, are also forward-looking statements. Such forward-looking statements are subject to certain risks and uncertainties that could cause results to differ materially from those expected including, but not limited to, the risks described in our filings with the Securities and Exchange Commission.</w:t>
      </w:r>
    </w:p>
    <w:p>
      <w:pPr>
        <w:pStyle w:val="TextBody"/>
        <w:bidi w:val="0"/>
        <w:spacing w:before="0" w:after="5"/>
        <w:jc w:val="left"/>
        <w:rPr/>
      </w:pPr>
      <w:r>
        <w:rPr/>
        <w:t> </w:t>
      </w:r>
    </w:p>
    <w:p>
      <w:pPr>
        <w:pStyle w:val="HorizontalLine"/>
        <w:pBdr>
          <w:bottom w:val="double" w:sz="2" w:space="0" w:color="808080"/>
        </w:pBdr>
        <w:bidi w:val="0"/>
        <w:spacing w:before="0" w:after="283"/>
        <w:jc w:val="left"/>
        <w:rPr/>
      </w:pPr>
      <w:r>
        <w:rPr/>
      </w:r>
    </w:p>
    <w:p>
      <w:pPr>
        <w:pStyle w:val="TextBody"/>
        <w:bidi w:val="0"/>
        <w:spacing w:before="0" w:after="5"/>
        <w:jc w:val="left"/>
        <w:rPr>
          <w:rFonts w:ascii="sans-serif" w:hAnsi="sans-serif"/>
          <w:sz w:val="21"/>
        </w:rPr>
      </w:pPr>
      <w:r>
        <w:rPr>
          <w:rFonts w:ascii="sans-serif" w:hAnsi="sans-serif"/>
          <w:color w:val="000000"/>
          <w:sz w:val="21"/>
        </w:rPr>
        <w:t xml:space="preserve">Shareholders, potential investors and other readers are urged to consider risks and uncertainties carefully in evaluating the forward-looking statements and are cautioned not to place undue reliance on such forward-looking statements. The forward-looking statements made herein are made only as of the date of this press release and we undertake no obligation to publicly update any forward-looking statements, whether as a result of new information, future events or otherwise. More detailed information about factors that may affect our performance may be found in our filings with the Securities and Exchange Commission, which are available at </w:t>
      </w:r>
      <w:r>
        <w:rPr>
          <w:rFonts w:ascii="sans-serif" w:hAnsi="sans-serif"/>
          <w:color w:val="000000"/>
          <w:sz w:val="21"/>
          <w:u w:val="single"/>
        </w:rPr>
        <w:t>http://www.sec.gov</w:t>
      </w:r>
      <w:r>
        <w:rPr>
          <w:rFonts w:ascii="sans-serif" w:hAnsi="sans-serif"/>
          <w:color w:val="000000"/>
          <w:sz w:val="21"/>
        </w:rPr>
        <w:t xml:space="preserve"> or at </w:t>
      </w:r>
      <w:r>
        <w:rPr>
          <w:rFonts w:ascii="sans-serif" w:hAnsi="sans-serif"/>
          <w:color w:val="000000"/>
          <w:sz w:val="21"/>
          <w:u w:val="single"/>
        </w:rPr>
        <w:t>http://investor.oriones.com/</w:t>
      </w:r>
      <w:r>
        <w:rPr>
          <w:rFonts w:ascii="sans-serif" w:hAnsi="sans-serif"/>
          <w:color w:val="000000"/>
          <w:sz w:val="21"/>
        </w:rPr>
        <w:t xml:space="preserve"> in the Investor Relations section of our Website. 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pStyle w:val="TextBody"/>
        <w:bidi w:val="0"/>
        <w:spacing w:before="0" w:after="5"/>
        <w:jc w:val="both"/>
        <w:rPr>
          <w:rFonts w:ascii="sans-serif" w:hAnsi="sans-serif"/>
          <w:b/>
          <w:color w:val="000000"/>
          <w:sz w:val="22"/>
        </w:rPr>
      </w:pPr>
      <w:r>
        <w:rPr>
          <w:rFonts w:ascii="sans-serif" w:hAnsi="sans-serif"/>
          <w:b/>
          <w:color w:val="000000"/>
          <w:sz w:val="22"/>
        </w:rPr>
        <w:t>Engage with Us</w:t>
      </w:r>
    </w:p>
    <w:p>
      <w:pPr>
        <w:pStyle w:val="TextBody"/>
        <w:bidi w:val="0"/>
        <w:spacing w:before="0" w:after="5"/>
        <w:jc w:val="left"/>
        <w:rPr>
          <w:rFonts w:ascii="sans-serif" w:hAnsi="sans-serif"/>
          <w:sz w:val="22"/>
        </w:rPr>
      </w:pPr>
      <w:r>
        <w:rPr>
          <w:rFonts w:ascii="sans-serif" w:hAnsi="sans-serif"/>
          <w:b/>
          <w:color w:val="000000"/>
          <w:sz w:val="22"/>
        </w:rPr>
        <w:t>X</w:t>
      </w:r>
      <w:r>
        <w:rPr>
          <w:rFonts w:ascii="sans-serif" w:hAnsi="sans-serif"/>
          <w:color w:val="000000"/>
          <w:sz w:val="22"/>
        </w:rPr>
        <w:t xml:space="preserve">: </w:t>
      </w:r>
      <w:r>
        <w:rPr>
          <w:rFonts w:ascii="sans-serif" w:hAnsi="sans-serif"/>
          <w:color w:val="0432FF"/>
          <w:sz w:val="22"/>
        </w:rPr>
        <w:t xml:space="preserve">@OrionLighting </w:t>
      </w:r>
      <w:r>
        <w:rPr>
          <w:rFonts w:ascii="sans-serif" w:hAnsi="sans-serif"/>
          <w:color w:val="000000"/>
          <w:sz w:val="22"/>
        </w:rPr>
        <w:t xml:space="preserve">and </w:t>
      </w:r>
      <w:r>
        <w:rPr>
          <w:rFonts w:ascii="sans-serif" w:hAnsi="sans-serif"/>
          <w:color w:val="0432FF"/>
          <w:sz w:val="22"/>
        </w:rPr>
        <w:t>@OrionLightingIR</w:t>
      </w:r>
    </w:p>
    <w:p>
      <w:pPr>
        <w:pStyle w:val="TextBody"/>
        <w:bidi w:val="0"/>
        <w:spacing w:before="0" w:after="5"/>
        <w:jc w:val="left"/>
        <w:rPr>
          <w:rFonts w:ascii="sans-serif" w:hAnsi="sans-serif"/>
          <w:sz w:val="22"/>
        </w:rPr>
      </w:pPr>
      <w:r>
        <w:rPr>
          <w:rFonts w:ascii="sans-serif" w:hAnsi="sans-serif"/>
          <w:b/>
          <w:color w:val="000000"/>
          <w:sz w:val="22"/>
        </w:rPr>
        <w:t xml:space="preserve">StockTwits: </w:t>
      </w:r>
      <w:r>
        <w:rPr>
          <w:rFonts w:ascii="sans-serif" w:hAnsi="sans-serif"/>
          <w:color w:val="0432FF"/>
          <w:sz w:val="22"/>
        </w:rPr>
        <w:t>@OESX_IR</w:t>
      </w:r>
    </w:p>
    <w:p>
      <w:pPr>
        <w:pStyle w:val="TextBody"/>
        <w:bidi w:val="0"/>
        <w:spacing w:before="0" w:after="5"/>
        <w:jc w:val="left"/>
        <w:rPr/>
      </w:pPr>
      <w:r>
        <w:rPr/>
        <w:t> </w:t>
      </w:r>
    </w:p>
    <w:p>
      <w:pPr>
        <w:pStyle w:val="TextBody"/>
        <w:bidi w:val="0"/>
        <w:spacing w:before="0" w:after="5"/>
        <w:jc w:val="left"/>
        <w:rPr/>
      </w:pPr>
      <w:r>
        <w:rPr/>
        <w:t> </w:t>
      </w:r>
    </w:p>
    <w:tbl>
      <w:tblPr>
        <w:tblW w:w="8231" w:type="dxa"/>
        <w:jc w:val="left"/>
        <w:tblInd w:w="0" w:type="dxa"/>
        <w:tblLayout w:type="fixed"/>
        <w:tblCellMar>
          <w:top w:w="28" w:type="dxa"/>
          <w:left w:w="28" w:type="dxa"/>
          <w:bottom w:w="28" w:type="dxa"/>
          <w:right w:w="28" w:type="dxa"/>
        </w:tblCellMar>
      </w:tblPr>
      <w:tblGrid>
        <w:gridCol w:w="4650"/>
        <w:gridCol w:w="3581"/>
      </w:tblGrid>
      <w:tr>
        <w:trPr/>
        <w:tc>
          <w:tcPr>
            <w:tcW w:w="4650"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ind w:left="0" w:right="0" w:firstLine="10"/>
              <w:jc w:val="left"/>
              <w:rPr>
                <w:sz w:val="4"/>
                <w:szCs w:val="4"/>
              </w:rPr>
            </w:pPr>
            <w:r>
              <w:rPr>
                <w:sz w:val="4"/>
                <w:szCs w:val="4"/>
              </w:rPr>
            </w:r>
          </w:p>
        </w:tc>
      </w:tr>
      <w:tr>
        <w:trPr/>
        <w:tc>
          <w:tcPr>
            <w:tcW w:w="4650" w:type="dxa"/>
            <w:tcBorders/>
            <w:tcMar>
              <w:top w:w="0" w:type="dxa"/>
              <w:left w:w="0" w:type="dxa"/>
              <w:bottom w:w="0" w:type="dxa"/>
              <w:right w:w="0" w:type="dxa"/>
            </w:tcMar>
            <w:vAlign w:val="center"/>
          </w:tcPr>
          <w:p>
            <w:pPr>
              <w:pStyle w:val="TableContents"/>
              <w:bidi w:val="0"/>
              <w:spacing w:before="0" w:after="5"/>
              <w:ind w:left="0" w:right="0" w:firstLine="1199"/>
              <w:jc w:val="left"/>
              <w:rPr>
                <w:rFonts w:ascii="sans-serif" w:hAnsi="sans-serif"/>
                <w:sz w:val="21"/>
              </w:rPr>
            </w:pPr>
            <w:r>
              <w:rPr>
                <w:rFonts w:ascii="sans-serif" w:hAnsi="sans-serif"/>
                <w:b/>
                <w:color w:val="000000"/>
                <w:sz w:val="21"/>
              </w:rPr>
              <w:t>Investor Relations Contacts</w:t>
            </w:r>
            <w:r>
              <w:rPr>
                <w:rFonts w:ascii="sans-serif" w:hAnsi="sans-serif"/>
                <w:color w:val="000000"/>
                <w:sz w:val="21"/>
              </w:rPr>
              <w:t xml:space="preserve"> </w:t>
            </w:r>
          </w:p>
        </w:tc>
        <w:tc>
          <w:tcPr>
            <w:tcW w:w="3581"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r>
      <w:tr>
        <w:trPr/>
        <w:tc>
          <w:tcPr>
            <w:tcW w:w="4650" w:type="dxa"/>
            <w:tcBorders/>
            <w:tcMar>
              <w:top w:w="0" w:type="dxa"/>
              <w:left w:w="0" w:type="dxa"/>
              <w:bottom w:w="0" w:type="dxa"/>
              <w:right w:w="0" w:type="dxa"/>
            </w:tcMar>
            <w:vAlign w:val="center"/>
          </w:tcPr>
          <w:p>
            <w:pPr>
              <w:pStyle w:val="TableContents"/>
              <w:bidi w:val="0"/>
              <w:spacing w:before="0" w:after="283"/>
              <w:ind w:left="0" w:right="0" w:firstLine="10"/>
              <w:jc w:val="left"/>
              <w:rPr>
                <w:rFonts w:ascii="sans-serif" w:hAnsi="sans-serif"/>
                <w:color w:val="000000"/>
                <w:sz w:val="21"/>
              </w:rPr>
            </w:pPr>
            <w:r>
              <w:rPr>
                <w:rFonts w:ascii="sans-serif" w:hAnsi="sans-serif"/>
                <w:color w:val="000000"/>
                <w:sz w:val="21"/>
              </w:rPr>
              <w:t xml:space="preserve">Per Brodin, CFO </w:t>
            </w:r>
          </w:p>
        </w:tc>
        <w:tc>
          <w:tcPr>
            <w:tcW w:w="3581" w:type="dxa"/>
            <w:tcBorders/>
            <w:tcMar>
              <w:top w:w="0" w:type="dxa"/>
              <w:left w:w="0" w:type="dxa"/>
              <w:bottom w:w="0" w:type="dxa"/>
              <w:right w:w="0" w:type="dxa"/>
            </w:tcMar>
            <w:vAlign w:val="center"/>
          </w:tcPr>
          <w:p>
            <w:pPr>
              <w:pStyle w:val="TableContents"/>
              <w:bidi w:val="0"/>
              <w:spacing w:before="0" w:after="5"/>
              <w:ind w:left="0" w:right="0" w:firstLine="115"/>
              <w:jc w:val="left"/>
              <w:rPr>
                <w:rFonts w:ascii="sans-serif" w:hAnsi="sans-serif"/>
                <w:color w:val="000000"/>
                <w:sz w:val="21"/>
              </w:rPr>
            </w:pPr>
            <w:r>
              <w:rPr>
                <w:rFonts w:ascii="sans-serif" w:hAnsi="sans-serif"/>
                <w:color w:val="000000"/>
                <w:sz w:val="21"/>
              </w:rPr>
              <w:t>Robert Ferri</w:t>
            </w:r>
          </w:p>
        </w:tc>
      </w:tr>
      <w:tr>
        <w:trPr/>
        <w:tc>
          <w:tcPr>
            <w:tcW w:w="4650" w:type="dxa"/>
            <w:tcBorders/>
            <w:tcMar>
              <w:top w:w="0" w:type="dxa"/>
              <w:left w:w="0" w:type="dxa"/>
              <w:bottom w:w="0" w:type="dxa"/>
              <w:right w:w="0" w:type="dxa"/>
            </w:tcMar>
            <w:vAlign w:val="center"/>
          </w:tcPr>
          <w:p>
            <w:pPr>
              <w:pStyle w:val="TableContents"/>
              <w:bidi w:val="0"/>
              <w:spacing w:before="0" w:after="283"/>
              <w:ind w:left="0" w:right="0" w:firstLine="10"/>
              <w:jc w:val="left"/>
              <w:rPr>
                <w:rFonts w:ascii="sans-serif" w:hAnsi="sans-serif"/>
                <w:color w:val="000000"/>
                <w:sz w:val="21"/>
              </w:rPr>
            </w:pPr>
            <w:r>
              <w:rPr>
                <w:rFonts w:ascii="sans-serif" w:hAnsi="sans-serif"/>
                <w:color w:val="000000"/>
                <w:sz w:val="21"/>
              </w:rPr>
              <w:t xml:space="preserve">Orion Energy Systems, Inc. </w:t>
            </w:r>
          </w:p>
        </w:tc>
        <w:tc>
          <w:tcPr>
            <w:tcW w:w="3581" w:type="dxa"/>
            <w:tcBorders/>
            <w:tcMar>
              <w:top w:w="0" w:type="dxa"/>
              <w:left w:w="0" w:type="dxa"/>
              <w:bottom w:w="0" w:type="dxa"/>
              <w:right w:w="0" w:type="dxa"/>
            </w:tcMar>
            <w:vAlign w:val="center"/>
          </w:tcPr>
          <w:p>
            <w:pPr>
              <w:pStyle w:val="TableContents"/>
              <w:bidi w:val="0"/>
              <w:spacing w:before="0" w:after="5"/>
              <w:ind w:left="0" w:right="0" w:firstLine="115"/>
              <w:jc w:val="left"/>
              <w:rPr>
                <w:rFonts w:ascii="sans-serif" w:hAnsi="sans-serif"/>
                <w:color w:val="000000"/>
                <w:sz w:val="21"/>
              </w:rPr>
            </w:pPr>
            <w:r>
              <w:rPr>
                <w:rFonts w:ascii="sans-serif" w:hAnsi="sans-serif"/>
                <w:color w:val="000000"/>
                <w:sz w:val="21"/>
              </w:rPr>
              <w:t>Robert Ferri Partners</w:t>
            </w:r>
          </w:p>
        </w:tc>
      </w:tr>
      <w:tr>
        <w:trPr/>
        <w:tc>
          <w:tcPr>
            <w:tcW w:w="4650" w:type="dxa"/>
            <w:tcBorders/>
            <w:tcMar>
              <w:top w:w="0" w:type="dxa"/>
              <w:left w:w="0" w:type="dxa"/>
              <w:bottom w:w="0" w:type="dxa"/>
              <w:right w:w="0" w:type="dxa"/>
            </w:tcMar>
            <w:vAlign w:val="center"/>
          </w:tcPr>
          <w:p>
            <w:pPr>
              <w:pStyle w:val="TableContents"/>
              <w:bidi w:val="0"/>
              <w:spacing w:before="0" w:after="283"/>
              <w:ind w:left="0" w:right="0" w:firstLine="10"/>
              <w:jc w:val="left"/>
              <w:rPr>
                <w:rFonts w:ascii="sans-serif" w:hAnsi="sans-serif"/>
                <w:sz w:val="21"/>
              </w:rPr>
            </w:pPr>
            <w:r>
              <w:rPr>
                <w:rFonts w:ascii="sans-serif" w:hAnsi="sans-serif"/>
                <w:color w:val="0432FF"/>
                <w:sz w:val="21"/>
                <w:u w:val="single"/>
              </w:rPr>
              <w:t>pbrodin@oesx.com</w:t>
            </w:r>
            <w:r>
              <w:rPr>
                <w:rFonts w:ascii="sans-serif" w:hAnsi="sans-serif"/>
                <w:color w:val="0432FF"/>
                <w:sz w:val="21"/>
              </w:rPr>
              <w:t xml:space="preserve"> </w:t>
            </w:r>
          </w:p>
        </w:tc>
        <w:tc>
          <w:tcPr>
            <w:tcW w:w="3581" w:type="dxa"/>
            <w:tcBorders/>
            <w:tcMar>
              <w:top w:w="0" w:type="dxa"/>
              <w:left w:w="0" w:type="dxa"/>
              <w:bottom w:w="0" w:type="dxa"/>
              <w:right w:w="0" w:type="dxa"/>
            </w:tcMar>
            <w:vAlign w:val="center"/>
          </w:tcPr>
          <w:p>
            <w:pPr>
              <w:pStyle w:val="TableContents"/>
              <w:bidi w:val="0"/>
              <w:spacing w:before="0" w:after="5"/>
              <w:ind w:left="0" w:right="0" w:firstLine="10"/>
              <w:jc w:val="both"/>
              <w:rPr>
                <w:rFonts w:ascii="sans-serif" w:hAnsi="sans-serif"/>
                <w:sz w:val="21"/>
              </w:rPr>
            </w:pPr>
            <w:r>
              <w:rPr>
                <w:rFonts w:ascii="sans-serif" w:hAnsi="sans-serif"/>
                <w:color w:val="000000"/>
                <w:sz w:val="21"/>
              </w:rPr>
              <w:t xml:space="preserve">(415) 575-1589 or </w:t>
            </w:r>
            <w:r>
              <w:rPr>
                <w:rFonts w:ascii="sans-serif" w:hAnsi="sans-serif"/>
                <w:color w:val="0432FF"/>
                <w:sz w:val="21"/>
                <w:u w:val="single"/>
              </w:rPr>
              <w:t>ir@oesx.com</w:t>
            </w:r>
            <w:r>
              <w:rPr>
                <w:rFonts w:ascii="sans-serif" w:hAnsi="sans-serif"/>
                <w:color w:val="0432FF"/>
                <w:sz w:val="21"/>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1168</Words>
  <Characters>6731</Characters>
  <CharactersWithSpaces>7883</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