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3926205</wp:posOffset>
            </wp:positionH>
            <wp:positionV relativeFrom="paragraph">
              <wp:posOffset>-29210</wp:posOffset>
            </wp:positionV>
            <wp:extent cx="137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 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36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Orion Energy Systems,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8"/>
          <w:szCs w:val="8"/>
          <w:color w:val="004876"/>
        </w:rPr>
        <w:t>ORION ENERGY SYSTEMS, INC.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004876"/>
        </w:rPr>
        <w:t>2210 WOODLAND DRIVE</w:t>
      </w: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004876"/>
        </w:rPr>
        <w:t>MANITOWOC, WI 54220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T01310-P53443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-141605</wp:posOffset>
            </wp:positionH>
            <wp:positionV relativeFrom="paragraph">
              <wp:posOffset>311150</wp:posOffset>
            </wp:positionV>
            <wp:extent cx="1071245" cy="857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8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 xml:space="preserve">          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-3651885</wp:posOffset>
            </wp:positionH>
            <wp:positionV relativeFrom="paragraph">
              <wp:posOffset>-450215</wp:posOffset>
            </wp:positionV>
            <wp:extent cx="7174865" cy="387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1640840</wp:posOffset>
            </wp:positionH>
            <wp:positionV relativeFrom="paragraph">
              <wp:posOffset>-167640</wp:posOffset>
            </wp:positionV>
            <wp:extent cx="1783080" cy="2832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283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3140710</wp:posOffset>
            </wp:positionH>
            <wp:positionV relativeFrom="paragraph">
              <wp:posOffset>-635</wp:posOffset>
            </wp:positionV>
            <wp:extent cx="282575" cy="162877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162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right"/>
        <w:ind w:right="2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9"/>
          <w:szCs w:val="9"/>
          <w:color w:val="auto"/>
        </w:rPr>
        <w:t xml:space="preserve">   </w:t>
      </w: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7"/>
          <w:szCs w:val="47"/>
          <w:color w:val="004876"/>
        </w:rPr>
        <w:t xml:space="preserve">Your </w:t>
      </w:r>
      <w:r>
        <w:rPr>
          <w:rFonts w:ascii="Times New Roman" w:cs="Times New Roman" w:eastAsia="Times New Roman" w:hAnsi="Times New Roman"/>
          <w:sz w:val="47"/>
          <w:szCs w:val="47"/>
          <w:b w:val="1"/>
          <w:bCs w:val="1"/>
          <w:color w:val="004876"/>
        </w:rPr>
        <w:t>Vote</w:t>
      </w:r>
      <w:r>
        <w:rPr>
          <w:rFonts w:ascii="Times New Roman" w:cs="Times New Roman" w:eastAsia="Times New Roman" w:hAnsi="Times New Roman"/>
          <w:sz w:val="47"/>
          <w:szCs w:val="47"/>
          <w:color w:val="004876"/>
        </w:rPr>
        <w:t xml:space="preserve"> Counts!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004876"/>
        </w:rPr>
        <w:t>ORION ENERGY SYSTEMS, INC.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4876"/>
        </w:rPr>
        <w:t>2026 Annual Meeting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876"/>
        </w:rPr>
        <w:t>Vote by August 5, 2026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4876"/>
        </w:rPr>
        <w:t>11:59 PM ET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483235</wp:posOffset>
            </wp:positionH>
            <wp:positionV relativeFrom="paragraph">
              <wp:posOffset>79375</wp:posOffset>
            </wp:positionV>
            <wp:extent cx="2331720" cy="17659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176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3140710</wp:posOffset>
            </wp:positionH>
            <wp:positionV relativeFrom="paragraph">
              <wp:posOffset>147955</wp:posOffset>
            </wp:positionV>
            <wp:extent cx="282575" cy="12344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1234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 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1640840</wp:posOffset>
            </wp:positionH>
            <wp:positionV relativeFrom="paragraph">
              <wp:posOffset>94615</wp:posOffset>
            </wp:positionV>
            <wp:extent cx="43180" cy="26543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" cy="26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1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auto"/>
              </w:rPr>
              <w:t xml:space="preserve">                     </w:t>
            </w:r>
          </w:p>
        </w:tc>
        <w:tc>
          <w:tcPr>
            <w:tcW w:w="2360" w:type="dxa"/>
            <w:vAlign w:val="bottom"/>
            <w:gridSpan w:val="2"/>
            <w:shd w:val="clear" w:color="auto" w:fill="00487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auto"/>
              </w:rPr>
              <w:t>  </w:t>
            </w:r>
          </w:p>
        </w:tc>
      </w:tr>
      <w:tr>
        <w:trPr>
          <w:trHeight w:val="12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shd w:val="clear" w:color="auto" w:fill="004876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auto"/>
              </w:rPr>
              <w:t> 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680" w:space="720"/>
            <w:col w:w="5280"/>
          </w:cols>
          <w:pgMar w:left="660" w:top="562" w:right="55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4876"/>
        </w:rPr>
        <w:t>You invested in ORION ENERGY SYSTEMS, INC. and it’s time to vote!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right="1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6"/>
        </w:rPr>
        <w:t xml:space="preserve">You have the right to vote on proposals being presented at the Annual Meeting.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04876"/>
        </w:rPr>
        <w:t>This is an important notice regarding the availability of proxy</w:t>
      </w:r>
      <w:r>
        <w:rPr>
          <w:rFonts w:ascii="Times New Roman" w:cs="Times New Roman" w:eastAsia="Times New Roman" w:hAnsi="Times New Roman"/>
          <w:sz w:val="18"/>
          <w:szCs w:val="18"/>
          <w:color w:val="004876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04876"/>
        </w:rPr>
        <w:t>materials for the shareholder meeting to be held on August 6, 2026.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4876"/>
        </w:rPr>
        <w:t>Get informed before you vote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 w:line="2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6"/>
        </w:rPr>
        <w:t>View the Notice and Proxy Statement and Annual Report on Form 10-K online OR you can receive a free paper or email copy of the material(s) by requesting prior to July 23, 2026. If you would like to request a copy of the material(s) for this and/or future shareholder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-141605</wp:posOffset>
            </wp:positionH>
            <wp:positionV relativeFrom="paragraph">
              <wp:posOffset>147955</wp:posOffset>
            </wp:positionV>
            <wp:extent cx="7029450" cy="23749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237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4876"/>
        </w:rPr>
        <w:t>* Please check the meeting materials for any special requirements for meeting attendance.</w:t>
      </w:r>
    </w:p>
    <w:p>
      <w:pPr>
        <w:sectPr>
          <w:pgSz w:w="11900" w:h="16838" w:orient="portrait"/>
          <w:cols w:equalWidth="0" w:num="1">
            <w:col w:w="10680"/>
          </w:cols>
          <w:pgMar w:left="660" w:top="562" w:right="559" w:bottom="1440" w:gutter="0" w:footer="0" w:header="0"/>
          <w:type w:val="continuous"/>
        </w:sectPr>
      </w:pPr>
    </w:p>
    <w:bookmarkStart w:id="2" w:name="page3"/>
    <w:bookmarkEnd w:id="2"/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007BB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141605</wp:posOffset>
            </wp:positionV>
            <wp:extent cx="6995160" cy="514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004876"/>
        </w:rPr>
        <w:t>THIS IS NOT A VOTABLE BALLOT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7"/>
        </w:rPr>
        <w:t>This is an overview of the proposals being presented at the upcoming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7"/>
        </w:rPr>
        <w:t>shareholder meeting. Please follow the instructions on the reverse side to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7"/>
        </w:rPr>
        <w:t>vote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6"/>
              </w:rPr>
              <w:t>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9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6"/>
              </w:rPr>
              <w:t>  Voting Items</w:t>
            </w: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004876"/>
              </w:rPr>
              <w:t>Recommends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320" w:type="dxa"/>
            <w:vAlign w:val="bottom"/>
            <w:vMerge w:val="restart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6"/>
              </w:rPr>
              <w:t>   1.</w:t>
            </w:r>
          </w:p>
        </w:tc>
        <w:tc>
          <w:tcPr>
            <w:tcW w:w="10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right w:val="single" w:sz="8" w:color="004876"/>
            </w:tcBorders>
            <w:gridSpan w:val="2"/>
            <w:vMerge w:val="restart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6"/>
              </w:rPr>
              <w:t>Election of Directors:</w:t>
            </w:r>
          </w:p>
        </w:tc>
        <w:tc>
          <w:tcPr>
            <w:tcW w:w="1180" w:type="dxa"/>
            <w:vAlign w:val="bottom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2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0EFF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right w:val="single" w:sz="8" w:color="004876"/>
            </w:tcBorders>
            <w:gridSpan w:val="2"/>
            <w:vMerge w:val="continue"/>
            <w:shd w:val="clear" w:color="auto" w:fill="F0EFF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F0EFF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2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right w:val="single" w:sz="8" w:color="004876"/>
            </w:tcBorders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6"/>
              </w:rPr>
              <w:t>Nominees:</w:t>
            </w:r>
          </w:p>
        </w:tc>
        <w:tc>
          <w:tcPr>
            <w:tcW w:w="1180" w:type="dxa"/>
            <w:vAlign w:val="bottom"/>
            <w:shd w:val="clear" w:color="auto" w:fill="F0EFF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6"/>
              </w:rPr>
              <w:t>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32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6"/>
              </w:rPr>
              <w:t>01)</w:t>
            </w:r>
          </w:p>
        </w:tc>
        <w:tc>
          <w:tcPr>
            <w:tcW w:w="9120" w:type="dxa"/>
            <w:vAlign w:val="bottom"/>
            <w:tcBorders>
              <w:right w:val="single" w:sz="8" w:color="004876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6"/>
              </w:rPr>
              <w:t>Richard A. Shapiro</w:t>
            </w:r>
          </w:p>
        </w:tc>
        <w:tc>
          <w:tcPr>
            <w:tcW w:w="1180" w:type="dxa"/>
            <w:vAlign w:val="bottom"/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6"/>
              </w:rPr>
              <w:t>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20" w:type="dxa"/>
            <w:vAlign w:val="bottom"/>
            <w:tcBorders>
              <w:bottom w:val="single" w:sz="8" w:color="004876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4876"/>
            </w:tcBorders>
            <w:gridSpan w:val="2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6"/>
              </w:rPr>
              <w:t>02)</w:t>
            </w:r>
          </w:p>
        </w:tc>
        <w:tc>
          <w:tcPr>
            <w:tcW w:w="9120" w:type="dxa"/>
            <w:vAlign w:val="bottom"/>
            <w:tcBorders>
              <w:bottom w:val="single" w:sz="8" w:color="004876"/>
              <w:right w:val="single" w:sz="8" w:color="004876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6"/>
              </w:rPr>
              <w:t>Heather L. Wishart-Smith</w:t>
            </w:r>
          </w:p>
        </w:tc>
        <w:tc>
          <w:tcPr>
            <w:tcW w:w="1180" w:type="dxa"/>
            <w:vAlign w:val="bottom"/>
            <w:tcBorders>
              <w:bottom w:val="single" w:sz="8" w:color="004876"/>
            </w:tcBorders>
            <w:shd w:val="clear" w:color="auto" w:fill="F0EFF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6"/>
              </w:rPr>
              <w:t>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2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6"/>
              </w:rPr>
              <w:t>   2.</w:t>
            </w:r>
          </w:p>
        </w:tc>
        <w:tc>
          <w:tcPr>
            <w:tcW w:w="10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right w:val="single" w:sz="8" w:color="004876"/>
            </w:tcBorders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6"/>
              </w:rPr>
              <w:t>Advisory vote on the approval of the compensation of the Company’s named executive officers as disclosed in the proxy</w:t>
            </w:r>
          </w:p>
        </w:tc>
        <w:tc>
          <w:tcPr>
            <w:tcW w:w="1180" w:type="dxa"/>
            <w:vAlign w:val="bottom"/>
            <w:vMerge w:val="restart"/>
            <w:shd w:val="clear" w:color="auto" w:fill="F0EFF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6"/>
              </w:rPr>
              <w:t>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20" w:type="dxa"/>
            <w:vAlign w:val="bottom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right w:val="single" w:sz="8" w:color="004876"/>
            </w:tcBorders>
            <w:gridSpan w:val="2"/>
            <w:vMerge w:val="restart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6"/>
              </w:rPr>
              <w:t>statement.</w:t>
            </w:r>
          </w:p>
        </w:tc>
        <w:tc>
          <w:tcPr>
            <w:tcW w:w="118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2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bottom w:val="single" w:sz="8" w:color="F0EFF7"/>
              <w:right w:val="single" w:sz="8" w:color="004876"/>
            </w:tcBorders>
            <w:gridSpan w:val="2"/>
            <w:vMerge w:val="continue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320" w:type="dxa"/>
            <w:vAlign w:val="bottom"/>
            <w:tcBorders>
              <w:top w:val="single" w:sz="8" w:color="004876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6"/>
              </w:rPr>
              <w:t>   3.</w:t>
            </w:r>
          </w:p>
        </w:tc>
        <w:tc>
          <w:tcPr>
            <w:tcW w:w="100" w:type="dxa"/>
            <w:vAlign w:val="bottom"/>
            <w:tcBorders>
              <w:top w:val="single" w:sz="8" w:color="004876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top w:val="single" w:sz="8" w:color="004876"/>
              <w:bottom w:val="single" w:sz="8" w:color="F0EFF7"/>
              <w:right w:val="single" w:sz="8" w:color="004876"/>
            </w:tcBorders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6"/>
              </w:rPr>
              <w:t>Ratification of BDO USA, P.C. to serve as the Company’s independent registered public accounting firm for fiscal year 2027.</w:t>
            </w:r>
          </w:p>
        </w:tc>
        <w:tc>
          <w:tcPr>
            <w:tcW w:w="1180" w:type="dxa"/>
            <w:vAlign w:val="bottom"/>
            <w:tcBorders>
              <w:top w:val="single" w:sz="8" w:color="004876"/>
              <w:bottom w:val="single" w:sz="8" w:color="F0EFF7"/>
            </w:tcBorders>
            <w:shd w:val="clear" w:color="auto" w:fill="F0EFF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6"/>
              </w:rPr>
              <w:t>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20" w:type="dxa"/>
            <w:vAlign w:val="bottom"/>
            <w:tcBorders>
              <w:top w:val="single" w:sz="8" w:color="004876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6"/>
              </w:rPr>
              <w:t>   4.</w:t>
            </w:r>
          </w:p>
        </w:tc>
        <w:tc>
          <w:tcPr>
            <w:tcW w:w="100" w:type="dxa"/>
            <w:vAlign w:val="bottom"/>
            <w:tcBorders>
              <w:top w:val="single" w:sz="8" w:color="004876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top w:val="single" w:sz="8" w:color="004876"/>
              <w:bottom w:val="single" w:sz="8" w:color="F0EFF7"/>
              <w:right w:val="single" w:sz="8" w:color="004876"/>
            </w:tcBorders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4876"/>
              </w:rPr>
              <w:t>To approve the 2016 Orion Energy Systems, Inc. Omnibus Incentive Plan, as amended and restated.</w:t>
            </w:r>
          </w:p>
        </w:tc>
        <w:tc>
          <w:tcPr>
            <w:tcW w:w="1180" w:type="dxa"/>
            <w:vAlign w:val="bottom"/>
            <w:tcBorders>
              <w:top w:val="single" w:sz="8" w:color="004876"/>
              <w:bottom w:val="single" w:sz="8" w:color="F0EFF7"/>
            </w:tcBorders>
            <w:shd w:val="clear" w:color="auto" w:fill="F0EFF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004876"/>
              </w:rPr>
              <w:t> 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20" w:type="dxa"/>
            <w:vAlign w:val="bottom"/>
            <w:shd w:val="clear" w:color="auto" w:fill="00487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487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487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120" w:type="dxa"/>
            <w:vAlign w:val="bottom"/>
            <w:tcBorders>
              <w:right w:val="single" w:sz="8" w:color="004876"/>
            </w:tcBorders>
            <w:shd w:val="clear" w:color="auto" w:fill="00487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0487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-1293495</wp:posOffset>
            </wp:positionV>
            <wp:extent cx="6995160" cy="504888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04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 w:right="4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04876"/>
        </w:rPr>
        <w:t xml:space="preserve">NOTE: </w:t>
      </w:r>
      <w:r>
        <w:rPr>
          <w:rFonts w:ascii="Times New Roman" w:cs="Times New Roman" w:eastAsia="Times New Roman" w:hAnsi="Times New Roman"/>
          <w:sz w:val="18"/>
          <w:szCs w:val="18"/>
          <w:color w:val="004876"/>
        </w:rPr>
        <w:t>THE PROXY WHEN PROPERLY EXECUTED WILL BE VOTED AS DIRECTED OR,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04876"/>
        </w:rPr>
        <w:t xml:space="preserve"> IF NO DIRECTION IS GIVEN, THE PROXY WILL BE VOTED FOR THE DIRECTOR NOMINEES INDICATED ABOVE AND FOR ITEMS 2, 3 AND 4. </w:t>
      </w:r>
      <w:r>
        <w:rPr>
          <w:rFonts w:ascii="Times New Roman" w:cs="Times New Roman" w:eastAsia="Times New Roman" w:hAnsi="Times New Roman"/>
          <w:sz w:val="18"/>
          <w:szCs w:val="18"/>
          <w:color w:val="004876"/>
        </w:rPr>
        <w:t>IT WILL ALSO BE VOTED IN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04876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4876"/>
        </w:rPr>
        <w:t>ACCORDANCE WITH BEST JUDGMENT OF THE PROXIES NAMED HEREIN ON ANY OTHER BUSINESS THAT MAY PROPERLY COME BEFORE THE ANNUAL MEETING OR ANY ADJOURNMENT OR POSTPONEMENT THEREOF.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4876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111760</wp:posOffset>
            </wp:positionV>
            <wp:extent cx="6995160" cy="1968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FFFFFF"/>
        </w:rPr>
        <w:t>Prefer to receive an email instead? While voting on www.ProxyVote.com, be sure to click “Delivery Settings”.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T01311-P53443</w:t>
      </w:r>
    </w:p>
    <w:sectPr>
      <w:pgSz w:w="11900" w:h="16838" w:orient="portrait"/>
      <w:cols w:equalWidth="0" w:num="1">
        <w:col w:w="11020"/>
      </w:cols>
      <w:pgMar w:left="440" w:top="254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2026-06-24T05:09:34Z</dcterms:created>
  <dcterms:modified xsi:type="dcterms:W3CDTF">2026-06-24T05:09:34Z</dcterms:modified>
</cp:coreProperties>
</file>