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60630.htm"/>
      <w:bookmarkStart w:id="1" w:name="ksoesx202606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There were</w:t>
      </w:r>
      <w:r>
        <w:rPr>
          <w:rFonts w:ascii="Times New Roman" w:hAnsi="Times New Roman"/>
          <w:color w:val="000000"/>
          <w:sz w:val="20"/>
        </w:rPr>
        <w:t xml:space="preserve"> </w:t>
      </w:r>
      <w:r>
        <w:rPr>
          <w:rFonts w:ascii="Times New Roman" w:hAnsi="Times New Roman"/>
          <w:color w:val="000000"/>
          <w:sz w:val="16"/>
        </w:rPr>
        <w:t>4,089,286</w:t>
      </w:r>
      <w:r>
        <w:rPr>
          <w:rFonts w:ascii="Times New Roman" w:hAnsi="Times New Roman"/>
          <w:color w:val="000000"/>
          <w:sz w:val="20"/>
        </w:rPr>
        <w:t xml:space="preserve"> </w:t>
      </w:r>
      <w:r>
        <w:rPr>
          <w:rFonts w:ascii="Times New Roman" w:hAnsi="Times New Roman"/>
          <w:color w:val="000000"/>
          <w:sz w:val="16"/>
        </w:rPr>
        <w:t>shares of the Registrant’s common stock outstanding on August 4, 2026.</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8656"/>
        <w:gridCol w:w="673"/>
      </w:tblGrid>
      <w:tr>
        <w:trPr/>
        <w:tc>
          <w:tcPr>
            <w:tcW w:w="876" w:type="dxa"/>
            <w:tcBorders/>
            <w:vAlign w:val="center"/>
          </w:tcPr>
          <w:p>
            <w:pPr>
              <w:pStyle w:val="TableContents"/>
              <w:bidi w:val="0"/>
              <w:spacing w:before="0" w:after="283"/>
              <w:jc w:val="left"/>
              <w:rPr>
                <w:sz w:val="4"/>
                <w:szCs w:val="4"/>
              </w:rPr>
            </w:pPr>
            <w:r>
              <w:rPr>
                <w:sz w:val="4"/>
                <w:szCs w:val="4"/>
              </w:rPr>
            </w:r>
          </w:p>
        </w:tc>
        <w:tc>
          <w:tcPr>
            <w:tcW w:w="865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r>
              <w:rPr/>
              <w:t> </w:t>
            </w:r>
          </w:p>
        </w:tc>
        <w:tc>
          <w:tcPr>
            <w:tcW w:w="673"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June 30, 2026 and March 31, 2026</w:t>
              </w:r>
            </w:hyperlink>
          </w:p>
        </w:tc>
        <w:tc>
          <w:tcPr>
            <w:tcW w:w="673"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Months Ended June 30, 2026 and June 30, 2025</w:t>
              </w:r>
            </w:hyperlink>
          </w:p>
        </w:tc>
        <w:tc>
          <w:tcPr>
            <w:tcW w:w="673"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Months Ended June 30, 2026 and June 30, 2025</w:t>
              </w:r>
            </w:hyperlink>
          </w:p>
        </w:tc>
        <w:tc>
          <w:tcPr>
            <w:tcW w:w="673"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Three Months Ended June 30, 2026 and June 30, 2025</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76" w:type="dxa"/>
            <w:tcBorders/>
            <w:tcMar>
              <w:top w:w="0" w:type="dxa"/>
              <w:left w:w="0" w:type="dxa"/>
              <w:bottom w:w="0" w:type="dxa"/>
              <w:right w:w="0" w:type="dxa"/>
            </w:tcMar>
            <w:vAlign w:val="center"/>
          </w:tcPr>
          <w:p>
            <w:pPr>
              <w:pStyle w:val="TableContents"/>
              <w:bidi w:val="0"/>
              <w:spacing w:before="40" w:after="40"/>
              <w:jc w:val="left"/>
              <w:rPr/>
            </w:pPr>
            <w:r>
              <w:rPr/>
              <w:t> </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6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656" w:type="dxa"/>
            <w:tcBorders/>
            <w:tcMar>
              <w:top w:w="0" w:type="dxa"/>
              <w:left w:w="0" w:type="dxa"/>
              <w:bottom w:w="0" w:type="dxa"/>
              <w:right w:w="0" w:type="dxa"/>
            </w:tcMar>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532" w:type="dxa"/>
            <w:gridSpan w:val="2"/>
            <w:tcBorders/>
            <w:tcMar>
              <w:top w:w="0" w:type="dxa"/>
              <w:left w:w="0" w:type="dxa"/>
              <w:bottom w:w="0" w:type="dxa"/>
              <w:right w:w="0" w:type="dxa"/>
            </w:tcMar>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7"/>
        <w:gridCol w:w="146"/>
        <w:gridCol w:w="221"/>
        <w:gridCol w:w="885"/>
        <w:gridCol w:w="166"/>
        <w:gridCol w:w="146"/>
        <w:gridCol w:w="242"/>
        <w:gridCol w:w="968"/>
        <w:gridCol w:w="414"/>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June 30, 2026 and March 31, 2026; no shares issued and outstanding at June 30, 2026 and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 at </w:t>
              <w:br/>
              <w:t xml:space="preserve">June 30, 2026 and March 31, 2026; shares issued: 4,834,096 at </w:t>
              <w:br/>
              <w:t xml:space="preserve">June 30, 2026 and 4,819,013 at March 31, 2026; shares outstanding: </w:t>
              <w:br/>
              <w:t>4,071,624 at June 30, 2026 and 4,056,528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169,646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762,472 at June 30, 2026 and 762,485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3916"/>
        <w:gridCol w:w="146"/>
        <w:gridCol w:w="211"/>
        <w:gridCol w:w="931"/>
        <w:gridCol w:w="166"/>
        <w:gridCol w:w="146"/>
        <w:gridCol w:w="211"/>
        <w:gridCol w:w="93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43"/>
        <w:gridCol w:w="146"/>
        <w:gridCol w:w="146"/>
        <w:gridCol w:w="931"/>
        <w:gridCol w:w="146"/>
        <w:gridCol w:w="146"/>
        <w:gridCol w:w="211"/>
        <w:gridCol w:w="781"/>
        <w:gridCol w:w="146"/>
        <w:gridCol w:w="146"/>
        <w:gridCol w:w="211"/>
        <w:gridCol w:w="736"/>
        <w:gridCol w:w="166"/>
        <w:gridCol w:w="146"/>
        <w:gridCol w:w="211"/>
        <w:gridCol w:w="841"/>
        <w:gridCol w:w="166"/>
        <w:gridCol w:w="146"/>
        <w:gridCol w:w="272"/>
        <w:gridCol w:w="875"/>
        <w:gridCol w:w="193"/>
      </w:tblGrid>
      <w:tr>
        <w:trPr/>
        <w:tc>
          <w:tcPr>
            <w:tcW w:w="3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146"/>
        <w:gridCol w:w="931"/>
        <w:gridCol w:w="146"/>
        <w:gridCol w:w="146"/>
        <w:gridCol w:w="211"/>
        <w:gridCol w:w="781"/>
        <w:gridCol w:w="146"/>
        <w:gridCol w:w="146"/>
        <w:gridCol w:w="211"/>
        <w:gridCol w:w="736"/>
        <w:gridCol w:w="166"/>
        <w:gridCol w:w="146"/>
        <w:gridCol w:w="211"/>
        <w:gridCol w:w="841"/>
        <w:gridCol w:w="166"/>
        <w:gridCol w:w="146"/>
        <w:gridCol w:w="272"/>
        <w:gridCol w:w="875"/>
        <w:gridCol w:w="212"/>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656" w:type="dxa"/>
        <w:jc w:val="left"/>
        <w:tblInd w:w="0" w:type="dxa"/>
        <w:tblLayout w:type="fixed"/>
        <w:tblCellMar>
          <w:top w:w="28" w:type="dxa"/>
          <w:left w:w="28" w:type="dxa"/>
          <w:bottom w:w="28" w:type="dxa"/>
          <w:right w:w="28" w:type="dxa"/>
        </w:tblCellMar>
      </w:tblPr>
      <w:tblGrid>
        <w:gridCol w:w="6636"/>
        <w:gridCol w:w="146"/>
        <w:gridCol w:w="239"/>
        <w:gridCol w:w="716"/>
        <w:gridCol w:w="188"/>
        <w:gridCol w:w="165"/>
        <w:gridCol w:w="239"/>
        <w:gridCol w:w="716"/>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provided by (used in)</w:t>
              <w:b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and Lawrence, Massachusetts.</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2027 ("fiscal 2027")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2026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2026 filed with the SEC on June 4, 2026.</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loss contingencies, income taxes, impairment analyses, and certain equity transactions. Accordingly, actual results could differ from those estimates.</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the first quarter of fiscal 2027, Orion determined that one of its indefinite-lived trade names no longer had an indefinite life due to changes in revenue earned under the trade name and changes in Orion's strategy for use of the trade name. Orion then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performed a quantitative impairment assessment on that indefinite-lived trade name and determined that there was no impairment of that asset. As of June 30, 2026, this trade name was classified as definite-lived and will be amortized over 10 years.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months ended June 30, 2026 and 2025, no suppliers accounted for more than 10% of total cost of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June 30, 2026, one customer accounted for 38.1% of total revenue. For the three months ended June 30, 2025, one customer accounted for 30.2% of total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one customer accounted for 30.9% of accounts receivable. As of March 31, 2026, one customer accounted for 33.1% of accounts receivable.</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Recently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July 2025, the Financial Accounting Standards Board (FASB) issued Accounting Standards Update (ASU) No. 2025-05, Financial Instruments - Credit Losses (Topic 326), which modifies the current credit loss guidance in Topic 326 to expand on how an entity develops and estimate of expected credit losses. The amendments in this update provide (1) all entities with a practical expedient and (2) entities other than public business entities with an accounting policy election when estimating expected credit loses for current accounts receivable and current contract assets arising from transactions accounted for under "Revenue from Contracts with Customers" (Topic 606), ASC 606, as follows: "1. Practical expedient. In developing reasonable and supportable forecasts as part of estimating expected credit losses, all entities may elect a practical expedient that assumes that current conditions as of the balance sheet date do not change for the remaining life of the asset. 2. Accounting policy election. An entity other than a public business entity that elects the practical expedient is permitted to make an accounting policy election to consider collection activity after the balance sheet date when estimating expected credit losses." Orion adopted this update as of April 1, 2026, and there was no impact from this guidance on Orion's presentation of its consolidated financial statements and accompanying notes. </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2025, the FASB issued ASU No. 2025-11, which is intended to improve the navigability of the guidance in Accounting Standards Codification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the ASU, the amendments are not intended to "change the fundamental nature of interim reporting or expand or reduce current interim disclosure requirements." The amendments will be effective for interim reporting periods within annual reporting periods beginning after December 15, 2027.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(Subtopic 220-40), which modifies the disclosure and presentation requirements relating to expenses shown on the statements of operations. The amendments in the update require disclosure, in the notes to financial statements, of specified information about certain costs and expenses. The amendments require that at each interim and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reporting period an entity: "1.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contract as a whole or for the hourly rates that will be charged for the type of maintenance services delivered.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When the expected cost-plus margin approach is used to determine the estimated stand-alone selling price it is based on average historical margins for that performance obligation in contracts with similar customers.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 derived from customer contracts which include only performance obligation(s) for the sale of Orion manufactured or sourced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months ended June 30, 2026 and June 30, 2025 (dollars in thousands):</w:t>
      </w:r>
    </w:p>
    <w:p>
      <w:pPr>
        <w:pStyle w:val="TextBody"/>
        <w:bidi w:val="0"/>
        <w:jc w:val="both"/>
        <w:rPr/>
      </w:pPr>
      <w:r>
        <w:rPr/>
        <w:t> </w:t>
      </w:r>
    </w:p>
    <w:tbl>
      <w:tblPr>
        <w:tblW w:w="7463"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676"/>
        <w:gridCol w:w="146"/>
        <w:gridCol w:w="146"/>
        <w:gridCol w:w="211"/>
        <w:gridCol w:w="676"/>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From time to time, Orion sells the receivables from one customer to a financing institution. Orion did not sell any receivables in the three months ended June 30, 2026. The total amount received from advances of receivables was $0.5 million for the three months ended June 30, 2025. Orion's gains on these sales were $24 thousand for the three months ended June 30, 2025 and are included in Interest expense in the Condensed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June 30, 2026 and March 31, 2026 (dollars in thousands):</w:t>
      </w:r>
    </w:p>
    <w:p>
      <w:pPr>
        <w:pStyle w:val="TextBody"/>
        <w:bidi w:val="0"/>
        <w:jc w:val="both"/>
        <w:rPr/>
      </w:pPr>
      <w:r>
        <w:rPr/>
        <w:t> </w:t>
      </w:r>
    </w:p>
    <w:tbl>
      <w:tblPr>
        <w:tblW w:w="6433" w:type="dxa"/>
        <w:jc w:val="left"/>
        <w:tblInd w:w="0" w:type="dxa"/>
        <w:tblLayout w:type="fixed"/>
        <w:tblCellMar>
          <w:top w:w="28" w:type="dxa"/>
          <w:left w:w="28" w:type="dxa"/>
          <w:bottom w:w="28" w:type="dxa"/>
          <w:right w:w="28" w:type="dxa"/>
        </w:tblCellMar>
      </w:tblPr>
      <w:tblGrid>
        <w:gridCol w:w="2851"/>
        <w:gridCol w:w="146"/>
        <w:gridCol w:w="211"/>
        <w:gridCol w:w="676"/>
        <w:gridCol w:w="146"/>
        <w:gridCol w:w="146"/>
        <w:gridCol w:w="211"/>
        <w:gridCol w:w="676"/>
        <w:gridCol w:w="146"/>
        <w:gridCol w:w="146"/>
        <w:gridCol w:w="211"/>
        <w:gridCol w:w="676"/>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Within the revenue earned but not billed line on the Condensed Consolidated Balance Sheets, $0 million, $0 million, and $0.4 million was accounted for as a sales type lease under ASC 842 for June 30, 2026, March 31, 2026, and March 31, 2025, respectively, and therefore not considered a "contract asset", which is an asset defined by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Fiscal 2025 included the unamortized portion of the funds received from the federal government in 2010 and 2011 as reimbursement for the costs to build the two facilities related to the power purchase agreements. As the transaction is not considered a contract with a customer, this value is not a contract liability as defined by ASC 606.</w:t>
      </w:r>
    </w:p>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increases due to timing of contract completion, offset by the reclassifications to accounts receivable, net upon billing. Deferred revenue, current as of June 30, 2026 and March 31, 2026 includes $0 million and $0.1 million, respectively, of contract liabilities which represent consideration received from a new customer contract on which installation has not yet begun and Orion has not fulfilled the promises included. Of the $0.1 million outstanding as of March 31, 2026, $0.1 million has been recognized as revenue for the three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Orion's accounts receivable and allowance for credit losses balances were as follows (dollars in thousands):</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2296"/>
        <w:gridCol w:w="146"/>
        <w:gridCol w:w="211"/>
        <w:gridCol w:w="676"/>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4316" w:type="dxa"/>
        <w:jc w:val="left"/>
        <w:tblInd w:w="0" w:type="dxa"/>
        <w:tblLayout w:type="fixed"/>
        <w:tblCellMar>
          <w:top w:w="28" w:type="dxa"/>
          <w:left w:w="28" w:type="dxa"/>
          <w:bottom w:w="28" w:type="dxa"/>
          <w:right w:w="28" w:type="dxa"/>
        </w:tblCellMar>
      </w:tblPr>
      <w:tblGrid>
        <w:gridCol w:w="1771"/>
        <w:gridCol w:w="146"/>
        <w:gridCol w:w="290"/>
        <w:gridCol w:w="662"/>
        <w:gridCol w:w="228"/>
        <w:gridCol w:w="201"/>
        <w:gridCol w:w="290"/>
        <w:gridCol w:w="517"/>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Orion's inventory balances, net of excess and obsolete reserves of $2.2 million and $2.2 million, respectively,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prepaid subscription fees, prepaid networking services for EV products and ERP system implementation fees. Prepaid expenses totaled $1.9 million and $1.4 million as of June 30, 2026 and March 31, 2026,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property and equipment, net, included the following (dollars in thousands):</w:t>
      </w:r>
    </w:p>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3346"/>
        <w:gridCol w:w="146"/>
        <w:gridCol w:w="211"/>
        <w:gridCol w:w="73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ASC 842, both finance and operating lease Right-Of-Use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397" w:type="dxa"/>
        <w:jc w:val="left"/>
        <w:tblInd w:w="0" w:type="dxa"/>
        <w:tblLayout w:type="fixed"/>
        <w:tblCellMar>
          <w:top w:w="28" w:type="dxa"/>
          <w:left w:w="28" w:type="dxa"/>
          <w:bottom w:w="28" w:type="dxa"/>
          <w:right w:w="28" w:type="dxa"/>
        </w:tblCellMar>
      </w:tblPr>
      <w:tblGrid>
        <w:gridCol w:w="2406"/>
        <w:gridCol w:w="146"/>
        <w:gridCol w:w="2431"/>
        <w:gridCol w:w="146"/>
        <w:gridCol w:w="303"/>
        <w:gridCol w:w="822"/>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Orion had operating lease costs of $0.3 million for the three months ended June 30, 2026. Orion had operating lease costs of $0.3 million for the three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Orion Leases to Other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provides long-term financing to one customer who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Revenues, and production and acquisition costs, associated with sales-type leases are included in Product revenue and Cost of product revenue in the Condensed Consolidated Statements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amount of revenue and cost of sales arising from sales-type leases during the quarter ended June 30, 2026 and 2025 (dollars in thousands):</w:t>
      </w:r>
    </w:p>
    <w:p>
      <w:pPr>
        <w:pStyle w:val="TextBody"/>
        <w:bidi w:val="0"/>
        <w:spacing w:before="180" w:after="283"/>
        <w:jc w:val="both"/>
        <w:rPr/>
      </w:pPr>
      <w:r>
        <w:rPr/>
        <w:t> </w:t>
      </w:r>
    </w:p>
    <w:tbl>
      <w:tblPr>
        <w:tblW w:w="4671" w:type="dxa"/>
        <w:jc w:val="left"/>
        <w:tblInd w:w="0" w:type="dxa"/>
        <w:tblLayout w:type="fixed"/>
        <w:tblCellMar>
          <w:top w:w="28" w:type="dxa"/>
          <w:left w:w="28" w:type="dxa"/>
          <w:bottom w:w="28" w:type="dxa"/>
          <w:right w:w="28" w:type="dxa"/>
        </w:tblCellMar>
      </w:tblPr>
      <w:tblGrid>
        <w:gridCol w:w="2071"/>
        <w:gridCol w:w="146"/>
        <w:gridCol w:w="322"/>
        <w:gridCol w:w="529"/>
        <w:gridCol w:w="223"/>
        <w:gridCol w:w="223"/>
        <w:gridCol w:w="322"/>
        <w:gridCol w:w="644"/>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$0.9 million of goodwill related to its purchase of Voltrek LLC ("Voltrek") in the third quarter of fiscal 2023, which has an indefinite life, and is assigned to the EV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$0.6 million of goodwill related to its purchase of Stay-Lite Lighting, Inc. ("Stay-Lite") during fiscal year 2022, which has an indefinite life, and is assigned to the maintenance operating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(1) A trade name that was previously classified as an indefinite-lived asset was reclassified as a definite-lived asset as of June 30, 2026. See Note 2 - Summary of Significant Accounting Policies for additional information.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$0.1 million for the three months ended June 30, 2026. Amortization expense on intangible assets was $0.2 million for the three months ended June 30,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2027,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accrued expenses and other included the following (dollars in thousands):</w:t>
      </w:r>
    </w:p>
    <w:p>
      <w:pPr>
        <w:pStyle w:val="TextBody"/>
        <w:bidi w:val="0"/>
        <w:jc w:val="both"/>
        <w:rPr/>
      </w:pPr>
      <w:r>
        <w:rPr/>
        <w:t> </w:t>
      </w:r>
    </w:p>
    <w:tbl>
      <w:tblPr>
        <w:tblW w:w="4839" w:type="dxa"/>
        <w:jc w:val="left"/>
        <w:tblInd w:w="0" w:type="dxa"/>
        <w:tblLayout w:type="fixed"/>
        <w:tblCellMar>
          <w:top w:w="28" w:type="dxa"/>
          <w:left w:w="28" w:type="dxa"/>
          <w:bottom w:w="28" w:type="dxa"/>
          <w:right w:w="28" w:type="dxa"/>
        </w:tblCellMar>
      </w:tblPr>
      <w:tblGrid>
        <w:gridCol w:w="2341"/>
        <w:gridCol w:w="146"/>
        <w:gridCol w:w="211"/>
        <w:gridCol w:w="571"/>
        <w:gridCol w:w="146"/>
        <w:gridCol w:w="146"/>
        <w:gridCol w:w="211"/>
        <w:gridCol w:w="676"/>
        <w:gridCol w:w="3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6551" w:type="dxa"/>
        <w:jc w:val="left"/>
        <w:tblInd w:w="0" w:type="dxa"/>
        <w:tblLayout w:type="fixed"/>
        <w:tblCellMar>
          <w:top w:w="28" w:type="dxa"/>
          <w:left w:w="28" w:type="dxa"/>
          <w:bottom w:w="28" w:type="dxa"/>
          <w:right w:w="28" w:type="dxa"/>
        </w:tblCellMar>
      </w:tblPr>
      <w:tblGrid>
        <w:gridCol w:w="4006"/>
        <w:gridCol w:w="146"/>
        <w:gridCol w:w="293"/>
        <w:gridCol w:w="585"/>
        <w:gridCol w:w="230"/>
        <w:gridCol w:w="202"/>
        <w:gridCol w:w="293"/>
        <w:gridCol w:w="585"/>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 NET INCOME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net income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income (loss) per common share reflects the dilution that would occur if restricted shares were vested. In the computation of diluted net income (loss) per common share, Orion uses the treasury stock method for outstanding options and restricted shares. For periods in which the Company reports a net loss, potentially dilutive securities are excluded from the dilution calculation. Net income (loss) per common share is calculated based upon the following shares:</w:t>
      </w:r>
    </w:p>
    <w:p>
      <w:pPr>
        <w:pStyle w:val="TextBody"/>
        <w:bidi w:val="0"/>
        <w:jc w:val="left"/>
        <w:rPr/>
      </w:pPr>
      <w:r>
        <w:rPr/>
        <w:t> </w:t>
      </w:r>
    </w:p>
    <w:tbl>
      <w:tblPr>
        <w:tblW w:w="9229" w:type="dxa"/>
        <w:jc w:val="left"/>
        <w:tblInd w:w="0" w:type="dxa"/>
        <w:tblLayout w:type="fixed"/>
        <w:tblCellMar>
          <w:top w:w="28" w:type="dxa"/>
          <w:left w:w="28" w:type="dxa"/>
          <w:bottom w:w="28" w:type="dxa"/>
          <w:right w:w="28" w:type="dxa"/>
        </w:tblCellMar>
      </w:tblPr>
      <w:tblGrid>
        <w:gridCol w:w="6116"/>
        <w:gridCol w:w="146"/>
        <w:gridCol w:w="211"/>
        <w:gridCol w:w="931"/>
        <w:gridCol w:w="146"/>
        <w:gridCol w:w="146"/>
        <w:gridCol w:w="211"/>
        <w:gridCol w:w="931"/>
        <w:gridCol w:w="391"/>
      </w:tblGrid>
      <w:tr>
        <w:trPr/>
        <w:tc>
          <w:tcPr>
            <w:tcW w:w="6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effect of restricted stock awards and non-qualified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excluded from the calculation of Diluted net (loss) income per common share because their inclusion would have been anti-dilutive. The number of shares is as of the end of each period:</w:t>
      </w:r>
    </w:p>
    <w:p>
      <w:pPr>
        <w:pStyle w:val="TextBody"/>
        <w:bidi w:val="0"/>
        <w:jc w:val="left"/>
        <w:rPr/>
      </w:pPr>
      <w:r>
        <w:rPr/>
        <w:t> </w:t>
      </w:r>
    </w:p>
    <w:tbl>
      <w:tblPr>
        <w:tblW w:w="6545" w:type="dxa"/>
        <w:jc w:val="left"/>
        <w:tblInd w:w="0" w:type="dxa"/>
        <w:tblLayout w:type="fixed"/>
        <w:tblCellMar>
          <w:top w:w="28" w:type="dxa"/>
          <w:left w:w="28" w:type="dxa"/>
          <w:bottom w:w="28" w:type="dxa"/>
          <w:right w:w="28" w:type="dxa"/>
        </w:tblCellMar>
      </w:tblPr>
      <w:tblGrid>
        <w:gridCol w:w="4021"/>
        <w:gridCol w:w="146"/>
        <w:gridCol w:w="156"/>
        <w:gridCol w:w="725"/>
        <w:gridCol w:w="156"/>
        <w:gridCol w:w="156"/>
        <w:gridCol w:w="156"/>
        <w:gridCol w:w="838"/>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Non-Qualified 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Non-Qualified Stock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60,712</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Debt, including the revolving credit facility, consisted of the following (dollars in thousands):</w:t>
      </w:r>
    </w:p>
    <w:p>
      <w:pPr>
        <w:pStyle w:val="TextBody"/>
        <w:bidi w:val="0"/>
        <w:jc w:val="left"/>
        <w:rPr/>
      </w:pPr>
      <w:r>
        <w:rPr/>
        <w:t> </w:t>
      </w:r>
    </w:p>
    <w:tbl>
      <w:tblPr>
        <w:tblW w:w="5547" w:type="dxa"/>
        <w:jc w:val="left"/>
        <w:tblInd w:w="0" w:type="dxa"/>
        <w:tblLayout w:type="fixed"/>
        <w:tblCellMar>
          <w:top w:w="28" w:type="dxa"/>
          <w:left w:w="28" w:type="dxa"/>
          <w:bottom w:w="28" w:type="dxa"/>
          <w:right w:w="28" w:type="dxa"/>
        </w:tblCellMar>
      </w:tblPr>
      <w:tblGrid>
        <w:gridCol w:w="3241"/>
        <w:gridCol w:w="146"/>
        <w:gridCol w:w="211"/>
        <w:gridCol w:w="571"/>
        <w:gridCol w:w="166"/>
        <w:gridCol w:w="146"/>
        <w:gridCol w:w="230"/>
        <w:gridCol w:w="625"/>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value of the Company's debt approximates fair value. The estimated fair value of the Company's debt is categorized within Level 2 of the fair value hierarchy because the valuation is based on observable market inputs.</w:t>
      </w:r>
    </w:p>
    <w:p>
      <w:pPr>
        <w:pStyle w:val="TextBody"/>
        <w:bidi w:val="0"/>
        <w:spacing w:before="280" w:after="283"/>
        <w:jc w:val="left"/>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December 29, 2020, Orion entered into a $25 million Loan and Security Agreement with Bank of America, N.A. (“Bank of America”), as lender (as amended, the “Credit Agreement”). The Credit Agreement provides for a $25.0 million revolving credit facility (the “Credit Facility”) that matures on June 30, 2030. Borrowings under the Credit Facility are subject to a borrowing base requirement based on eligible receivables, inventory and cash. As of June 30, 2026, the borrowing base of the Credit Facility supported approximately $15.8 million of availability, with $12.8 million of remaining availability net of $3.0 million borrowed.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May 29, 2026, Orion, with Bank of America as lender, executed Amendment No. 5 ("Amendment No. 5") to its Credit Agreement. The primary purpose of Amendment No. 5 was to extend the maturity date of the Credit Facility from June 30, 2027 to June 30, 2030. No other significant terms were added, deleted or amended.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Orion was in compliance with all debt covenants under the Credit Agreement.</w:t>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Orion’s income tax provision was determined by applying an estimated annual effective tax rate, based upon the facts and circumstances known, to book income or loss before income tax, adjusting for discrete items. Orion’s actual effective tax rate is adjusted each interim period, as appropriate, for changes in facts and circumstances. Orion recorded income tax benefit of $5 thousand for the three months ended June 30, 2026 and income tax expense of $13 thousand for the three months ended June 30,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and March 31, 2026,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first quarter of fiscal 2027, Orion determined that one of its indefinite-lived trade names no longer had an indefinite life. As such, the corresponding deferred tax liability was reduced in the period. This resulted in a $56 thousand discrete tax benefit for the reduction in valuation allowance on deferred tax assets previously limited by the indefinite-lived deferred tax liability. See Note 2 - Summary of Significant Accounting Policies for additional information.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Orion’s balance of gross unrecognized tax benefits was approximately $0.3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Condensed Consolidated Balance Sheets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15 — SHAREHOLDERS’ EQUITY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June 30, 2026, Orion issued 13 shares under the ESPP plan at a closing market price of $11.69. In the three months ended June 30, 2025, Orion issued 25 shares under the ESPP plan at a closing market price of $6.00.</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2026, Orion filed a shelf registration statement with the Securities and Exchange Commission. Under the shelf registration statement, Orion currently has the flexibility to publicly offer and sell from time to time up to $100 million of debt and/or equity securities, subject to regulatory limitations. The filing of the shelf registration statement may help facilitate Orion’s ability to raise public equity or debt capital to expand existing businesses, fund potential acquisitions, invest in other growth opportunities, repay existing debt, or for other general corporate purposes.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STOCK OPTIONS AND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Orion’s 2023 annual meeting of shareholders, Orion’s shareholders approved the Orion Energy Systems, Inc. 2016 Omnibus Incentive Plan, as amended and restated (the “Amended 2016 Plan”). The Amended 2016 Plan increased the number of shares of Orion’s common stock available for issuance under the Amended 2016 Plan from 350,000 shares to 600,000 shares (an increase of 250,000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2016 Plan also permits accelerated vesting in the event of certain changes of control of Orion as well as under other special circumstances. Certain non-employee directors have from time to time elected to receive stock awards in lieu of cash compensation pursuant to elections made under Orion’s non-employee director compensation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Orion's consolidated stock-based compensation were recorded (dollars in thousands):</w:t>
      </w:r>
    </w:p>
    <w:p>
      <w:pPr>
        <w:pStyle w:val="TextBody"/>
        <w:bidi w:val="0"/>
        <w:jc w:val="both"/>
        <w:rPr/>
      </w:pPr>
      <w:r>
        <w:rPr/>
        <w:t> </w:t>
      </w:r>
    </w:p>
    <w:tbl>
      <w:tblPr>
        <w:tblW w:w="4836"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068" w:type="dxa"/>
        <w:jc w:val="left"/>
        <w:tblInd w:w="0" w:type="dxa"/>
        <w:tblLayout w:type="fixed"/>
        <w:tblCellMar>
          <w:top w:w="28" w:type="dxa"/>
          <w:left w:w="28" w:type="dxa"/>
          <w:bottom w:w="28" w:type="dxa"/>
          <w:right w:w="28" w:type="dxa"/>
        </w:tblCellMar>
      </w:tblPr>
      <w:tblGrid>
        <w:gridCol w:w="3046"/>
        <w:gridCol w:w="146"/>
        <w:gridCol w:w="146"/>
        <w:gridCol w:w="781"/>
        <w:gridCol w:w="166"/>
        <w:gridCol w:w="146"/>
        <w:gridCol w:w="275"/>
        <w:gridCol w:w="745"/>
        <w:gridCol w:w="146"/>
        <w:gridCol w:w="146"/>
        <w:gridCol w:w="146"/>
        <w:gridCol w:w="676"/>
        <w:gridCol w:w="146"/>
        <w:gridCol w:w="146"/>
        <w:gridCol w:w="275"/>
        <w:gridCol w:w="745"/>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summarized information with respect to performance-based option and time-based option activity:</w:t>
      </w:r>
    </w:p>
    <w:p>
      <w:pPr>
        <w:pStyle w:val="TextBody"/>
        <w:bidi w:val="0"/>
        <w:jc w:val="both"/>
        <w:rPr/>
      </w:pPr>
      <w:r>
        <w:rPr/>
        <w:t> </w:t>
      </w:r>
    </w:p>
    <w:tbl>
      <w:tblPr>
        <w:tblW w:w="7855" w:type="dxa"/>
        <w:jc w:val="left"/>
        <w:tblInd w:w="0" w:type="dxa"/>
        <w:tblLayout w:type="fixed"/>
        <w:tblCellMar>
          <w:top w:w="28" w:type="dxa"/>
          <w:left w:w="28" w:type="dxa"/>
          <w:bottom w:w="28" w:type="dxa"/>
          <w:right w:w="28" w:type="dxa"/>
        </w:tblCellMar>
      </w:tblPr>
      <w:tblGrid>
        <w:gridCol w:w="3166"/>
        <w:gridCol w:w="146"/>
        <w:gridCol w:w="146"/>
        <w:gridCol w:w="676"/>
        <w:gridCol w:w="146"/>
        <w:gridCol w:w="146"/>
        <w:gridCol w:w="285"/>
        <w:gridCol w:w="631"/>
        <w:gridCol w:w="146"/>
        <w:gridCol w:w="146"/>
        <w:gridCol w:w="146"/>
        <w:gridCol w:w="676"/>
        <w:gridCol w:w="146"/>
        <w:gridCol w:w="146"/>
        <w:gridCol w:w="285"/>
        <w:gridCol w:w="63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amount of deferred stock-based compensation expense to be recognized, over a remaining period of 1.0 years, was approximately $0.7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Orion evaluates and reports on the business using three segments: lighting segment, maintenance segment and electric vehicle charging segment (“EV segment”).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EV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668" w:type="dxa"/>
        <w:jc w:val="left"/>
        <w:tblInd w:w="0" w:type="dxa"/>
        <w:tblLayout w:type="fixed"/>
        <w:tblCellMar>
          <w:top w:w="28" w:type="dxa"/>
          <w:left w:w="28" w:type="dxa"/>
          <w:bottom w:w="28" w:type="dxa"/>
          <w:right w:w="28" w:type="dxa"/>
        </w:tblCellMar>
      </w:tblPr>
      <w:tblGrid>
        <w:gridCol w:w="3106"/>
        <w:gridCol w:w="211"/>
        <w:gridCol w:w="676"/>
        <w:gridCol w:w="146"/>
        <w:gridCol w:w="324"/>
        <w:gridCol w:w="877"/>
        <w:gridCol w:w="146"/>
        <w:gridCol w:w="211"/>
        <w:gridCol w:w="571"/>
        <w:gridCol w:w="146"/>
        <w:gridCol w:w="473"/>
        <w:gridCol w:w="1417"/>
        <w:gridCol w:w="166"/>
        <w:gridCol w:w="211"/>
        <w:gridCol w:w="676"/>
        <w:gridCol w:w="311"/>
      </w:tblGrid>
      <w:tr>
        <w:trPr/>
        <w:tc>
          <w:tcPr>
            <w:tcW w:w="3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9688" w:type="dxa"/>
        <w:jc w:val="left"/>
        <w:tblInd w:w="0" w:type="dxa"/>
        <w:tblLayout w:type="fixed"/>
        <w:tblCellMar>
          <w:top w:w="28" w:type="dxa"/>
          <w:left w:w="28" w:type="dxa"/>
          <w:bottom w:w="28" w:type="dxa"/>
          <w:right w:w="28" w:type="dxa"/>
        </w:tblCellMar>
      </w:tblPr>
      <w:tblGrid>
        <w:gridCol w:w="3106"/>
        <w:gridCol w:w="211"/>
        <w:gridCol w:w="676"/>
        <w:gridCol w:w="146"/>
        <w:gridCol w:w="324"/>
        <w:gridCol w:w="877"/>
        <w:gridCol w:w="146"/>
        <w:gridCol w:w="211"/>
        <w:gridCol w:w="571"/>
        <w:gridCol w:w="166"/>
        <w:gridCol w:w="473"/>
        <w:gridCol w:w="1417"/>
        <w:gridCol w:w="166"/>
        <w:gridCol w:w="211"/>
        <w:gridCol w:w="676"/>
        <w:gridCol w:w="311"/>
      </w:tblGrid>
      <w:tr>
        <w:trPr/>
        <w:tc>
          <w:tcPr>
            <w:tcW w:w="3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1996"/>
        <w:gridCol w:w="146"/>
        <w:gridCol w:w="270"/>
        <w:gridCol w:w="540"/>
        <w:gridCol w:w="187"/>
        <w:gridCol w:w="187"/>
        <w:gridCol w:w="270"/>
        <w:gridCol w:w="540"/>
        <w:gridCol w:w="187"/>
        <w:gridCol w:w="187"/>
        <w:gridCol w:w="340"/>
        <w:gridCol w:w="558"/>
        <w:gridCol w:w="234"/>
        <w:gridCol w:w="234"/>
        <w:gridCol w:w="340"/>
        <w:gridCol w:w="558"/>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 and Amortization</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Expenditures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5010" w:type="dxa"/>
        <w:jc w:val="left"/>
        <w:tblInd w:w="0" w:type="dxa"/>
        <w:tblLayout w:type="fixed"/>
        <w:tblCellMar>
          <w:top w:w="28" w:type="dxa"/>
          <w:left w:w="28" w:type="dxa"/>
          <w:bottom w:w="28" w:type="dxa"/>
          <w:right w:w="28" w:type="dxa"/>
        </w:tblCellMar>
      </w:tblPr>
      <w:tblGrid>
        <w:gridCol w:w="1996"/>
        <w:gridCol w:w="146"/>
        <w:gridCol w:w="267"/>
        <w:gridCol w:w="858"/>
        <w:gridCol w:w="146"/>
        <w:gridCol w:w="146"/>
        <w:gridCol w:w="299"/>
        <w:gridCol w:w="9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1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item_2__management_s_discussion_and_anal"/>
      <w:bookmarkEnd w:id="25"/>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2026.</w:t>
      </w:r>
    </w:p>
    <w:p>
      <w:pPr>
        <w:pStyle w:val="TextBody"/>
        <w:bidi w:val="0"/>
        <w:spacing w:before="280" w:after="283"/>
        <w:jc w:val="both"/>
        <w:rPr>
          <w:rFonts w:ascii="Times New Roman" w:hAnsi="Times New Roman"/>
          <w:b/>
          <w:color w:val="000000"/>
          <w:sz w:val="20"/>
        </w:rPr>
      </w:pPr>
      <w:bookmarkStart w:id="26" w:name="cautionary_note_regarding_forward_lookin"/>
      <w:bookmarkEnd w:id="26"/>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2026.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7" w:name="overview"/>
      <w:bookmarkEnd w:id="27"/>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segments: commercial office and retail, data centers, area lighting, roadway and industrial applications and government, although we do sell and install products into other markets. Our services consist of turnkey installation and system maintenance. Virtually all of our sales occur within North America or for the US Department of Defense's military bases operating in foreign countries.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differentiate ourselves from our competitors by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offer lighting and electrical maintenance services which enables us to support a lifetime business relationship with our customer (which we call “Customers for Life”). We completed the acquisition of Voltrek LLC on October 5, 2022, which further expanded our turnkey services capabilities as well as capitalized on the rapidly growing market for EV charging solutions. We completed the Stay-Lite Lighting acquisition on January 1, 2022, which further expanded our maintenance services capabilities.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believe the market for LED lighting products and related controls continues to grow. Due to their size and flexibility in application, we also believe that our LED lighting systems can address opportunities for retrofit applications that cannot be satisfied by other lighting technologies. Our LED lighting technologies have become the primary component of our revenue as we continue to strive to be a leader in the LED market.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currently intend to pursue growth organically.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make substantial working capital expenditures and advance inventory purchases that we intend to recover through the completion of these or similar projects.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2027, as "fiscal 2027", our most recently completed fiscal year, which ended on March 31, 2026, as "fiscal 2026", and our prior fiscal year which ended on March 31, 2025, as "fiscal 2025". Our fiscal first quarter of each fiscal year ends on June 30, our fiscal second quarter of each fiscal year ends on September 30, our fiscal third quarter of each fiscal year ends on December 31 and our fiscal fourth quarter of each fiscal year ends on March 31.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June 30, 2026 versus Three Months Ended June 30,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8809"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11"/>
        <w:gridCol w:w="676"/>
        <w:gridCol w:w="166"/>
        <w:gridCol w:w="146"/>
        <w:gridCol w:w="146"/>
        <w:gridCol w:w="631"/>
        <w:gridCol w:w="331"/>
        <w:gridCol w:w="146"/>
        <w:gridCol w:w="146"/>
        <w:gridCol w:w="575"/>
        <w:gridCol w:w="331"/>
        <w:gridCol w:w="146"/>
        <w:gridCol w:w="146"/>
        <w:gridCol w:w="575"/>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5.2%, or $0.7 million, for the first quarter of fiscal 2027 versus the first quarter of fiscal 2026. Service revenue increased 90.1%, or $5.5 million, for the first quarter of fiscal 2027 versus the first quarter of fiscal 2026. The resulting increase in total revenue was due to increased revenue in all three segments due to higher volume. Cost of product revenue decreased by 1.7%, or $0.2 million, in the first quarter of fiscal 2027 versus the comparable period in fiscal 2026. Cost of service revenue increased by 68.3%, or $3.3 million, in the first quarter of fiscal 2027 versus the comparable period in fiscal 2026. Gross margin increased from 30.1% of revenue in the first quarter of fiscal 2026 to 34.6% of revenue in the first quarter of fiscal 2027, due primarily to increases in the lighting and maintenance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13.9%, or $0.6 million, in the first quarter of fiscal 2027 compared to the first quarter of fiscal 2026. This comparative decrease was primarily due to reductions in compensation costs.</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increased 17.5%, or $0.4 million, in the first quarter of fiscal 2027 compared to the first quarter of fiscal 2026. This comparative increase was primarily due to increased commissions expense.</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increased 28.8%, or $0.1 million, in the first quarter of fiscal 2027 compared to the first quarter of fiscal 2026. </w:t>
      </w:r>
    </w:p>
    <w:p>
      <w:pPr>
        <w:pStyle w:val="TextBody"/>
        <w:bidi w:val="0"/>
        <w:spacing w:before="280" w:after="283"/>
        <w:jc w:val="left"/>
        <w:rPr>
          <w:rFonts w:ascii="Times New Roman" w:hAnsi="Times New Roman"/>
          <w:b/>
          <w:color w:val="000000"/>
          <w:sz w:val="20"/>
        </w:rPr>
      </w:pPr>
      <w:bookmarkStart w:id="28" w:name="engineered_systems_segment"/>
      <w:bookmarkEnd w:id="28"/>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lighting segment develops and sells lighting products and provides construction and engineering services for our commercial lighting and energy management systems. Our lighting segment provides engineering, design, lighting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5843" w:type="dxa"/>
        <w:jc w:val="left"/>
        <w:tblInd w:w="0" w:type="dxa"/>
        <w:tblLayout w:type="fixed"/>
        <w:tblCellMar>
          <w:top w:w="28" w:type="dxa"/>
          <w:left w:w="28" w:type="dxa"/>
          <w:bottom w:w="28" w:type="dxa"/>
          <w:right w:w="28" w:type="dxa"/>
        </w:tblCellMar>
      </w:tblPr>
      <w:tblGrid>
        <w:gridCol w:w="2056"/>
        <w:gridCol w:w="146"/>
        <w:gridCol w:w="211"/>
        <w:gridCol w:w="676"/>
        <w:gridCol w:w="271"/>
        <w:gridCol w:w="146"/>
        <w:gridCol w:w="211"/>
        <w:gridCol w:w="676"/>
        <w:gridCol w:w="27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first quarter of fiscal 2027 increased by 37.2%, or $4.8 million, compared to the first quarter of fiscal 2026. The increase was primarily related to additional turnkey projects. The increase in operating income in this segment was primarily due to the increase in revenue.</w:t>
      </w:r>
    </w:p>
    <w:p>
      <w:pPr>
        <w:pStyle w:val="TextBody"/>
        <w:bidi w:val="0"/>
        <w:spacing w:before="280" w:after="283"/>
        <w:jc w:val="both"/>
        <w:rPr>
          <w:rFonts w:ascii="Times New Roman" w:hAnsi="Times New Roman"/>
          <w:b/>
          <w:color w:val="000000"/>
          <w:sz w:val="20"/>
        </w:rPr>
      </w:pPr>
      <w:bookmarkStart w:id="29" w:name="distribution_services_segment"/>
      <w:bookmarkEnd w:id="29"/>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63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27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first quarter of fiscal 2027 increased by 2.5%, or $0.1 million, compared to the first quarter of fiscal 2026 primarily due to increased work orders from our major customer. Operating income in this segment increased as a result of an increase in profit margins.</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69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first quarter of fiscal 2027 increased by 47.6%, or $1.3 million, compared to the first quarter of fiscal 2026. The increase in revenue was primarily due to increased projects from a major customer. Operating income increased $0.5 million in the first quarter of fiscal 2027 due to increased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0" w:name="liquidity_and_capital_resources"/>
      <w:bookmarkEnd w:id="30"/>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had approximately $5.2 million in cash and cash equivalents as of June 30, 2026, compared to $3.3 million at March 31, 2026. Our cash position increased primarily as a result of our net income position, which was partially offset by operating activities, along with additional proceeds related to our most recent credit amendment.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and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three months ended June 30, 2026 and 2025 (in thousands):</w:t>
      </w:r>
    </w:p>
    <w:p>
      <w:pPr>
        <w:pStyle w:val="TextBody"/>
        <w:bidi w:val="0"/>
        <w:jc w:val="left"/>
        <w:rPr/>
      </w:pPr>
      <w:r>
        <w:rPr/>
        <w:t> </w:t>
      </w:r>
    </w:p>
    <w:tbl>
      <w:tblPr>
        <w:tblW w:w="6610" w:type="dxa"/>
        <w:jc w:val="left"/>
        <w:tblInd w:w="0" w:type="dxa"/>
        <w:tblLayout w:type="fixed"/>
        <w:tblCellMar>
          <w:top w:w="28" w:type="dxa"/>
          <w:left w:w="28" w:type="dxa"/>
          <w:bottom w:w="28" w:type="dxa"/>
          <w:right w:w="28" w:type="dxa"/>
        </w:tblCellMar>
      </w:tblPr>
      <w:tblGrid>
        <w:gridCol w:w="3991"/>
        <w:gridCol w:w="146"/>
        <w:gridCol w:w="246"/>
        <w:gridCol w:w="668"/>
        <w:gridCol w:w="194"/>
        <w:gridCol w:w="170"/>
        <w:gridCol w:w="246"/>
        <w:gridCol w:w="738"/>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Flows Related to Operating Activities. </w:t>
      </w:r>
      <w:r>
        <w:rPr>
          <w:rFonts w:ascii="Times New Roman" w:hAnsi="Times New Roman"/>
          <w:color w:val="000000"/>
          <w:sz w:val="20"/>
        </w:rPr>
        <w:t>Cash provided by operating activities for the first three months of fiscal 2027 was $1.4 million and consisted of our net income of $2.0 million adjusted for non-cash expense items and net cash used in changes in operating assets of $0.6 million, the largest of which were revenue earned but not billed, accrued expenses and prepaid expenses, which were partially offset by a decrease in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three months of fiscal 2026 was $0.5 million and consisted of our net loss of $1.2 million adjusted for non-cash expense items and net cash provided in changes in operating assets of $0.7 million, the largest of which were inventories, depreciation, amortization, and prepaids, totaling $1.8 million, partially offset by a decrease in accounts payable and an increase in accounts receivable.</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used in investing activities was relatively flat in the first three months of fiscal 2027 and consisted primarily of purchases of property and equipment, mostly related to our Enterprise Resource Planning ("ERP") system implementation.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investing activities of $55 thousand in the first three months of fiscal 2026 consisted primarily of purchases of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br/>
        <w:t> </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provided by financing activities of $0.6 million in the first three months of fiscal 2027 was primarily due to additional proceeds from our mortgage term loan, partially offset by our quarterly payment of long-term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financing activities of $1.8 million in the first three months of fiscal 2026 was primarily due to payments on our revolving credit facility and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June 30, 2026 was $13.7 million, consisting of $39.2 million in current assets and $25.6 million in current liabilities. Our net working capital as of March 31, 2026 was $11.0 million, consisting of $37.7 million in current assets and $26.7 million in current liabilities.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Our accounts receivable, net, inventories, net, accounts payable and revenue earned but not billed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$25.0 million revolving credit facility (the “Credit Facility”) that matures on June 30, 2030. Borrowings under the Credit Facility are subject to a borrowing base requirement based on eligible receivables, inventory and cash. As of June 30, 2026, the borrowing base supported approximately $15.8 million of availability under the Credit Facility, with $3.0 million drawn against that availability. As of June 30, 2025, the borrowing base supported approximately $11.5 million of availability under the Credit Facility, with $5.3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$4.0 million of the committed facility. Currently, the required springing minimum fixed cost coverage ratio is not required.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$23.7 million and $30.1 million as of June 30, 2026 and March 31, 2026,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1" w:name="critical_accounting_policies_and_estimat"/>
      <w:bookmarkEnd w:id="31"/>
      <w:r>
        <w:rPr>
          <w:rFonts w:ascii="Times New Roman" w:hAnsi="Times New Roman"/>
          <w:b/>
          <w:color w:val="000000"/>
          <w:sz w:val="20"/>
        </w:rPr>
        <w:t>Critical Accounting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since March 31, 2026. For a full discussion of these estimates and policies, see "Critical Accounting Estimates" within "Management's Discussion and Analysis of Financial Condition and Results of Operations" in our Annual Report on Form 10-K for the fiscal year ended March 31, 2026.</w:t>
      </w:r>
    </w:p>
    <w:p>
      <w:pPr>
        <w:pStyle w:val="TextBody"/>
        <w:bidi w:val="0"/>
        <w:spacing w:before="280" w:after="283"/>
        <w:jc w:val="left"/>
        <w:rPr>
          <w:rFonts w:ascii="Times New Roman" w:hAnsi="Times New Roman"/>
          <w:b/>
          <w:color w:val="000000"/>
          <w:sz w:val="20"/>
        </w:rPr>
      </w:pPr>
      <w:bookmarkStart w:id="32" w:name="recent_accounting_pronouncements"/>
      <w:bookmarkEnd w:id="32"/>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2 in the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3" w:name="item_3__quantitative_and_qualitative_dis"/>
      <w:bookmarkEnd w:id="33"/>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2026. There have been no material changes to such exposures since March 31, 2026.</w:t>
      </w:r>
    </w:p>
    <w:p>
      <w:pPr>
        <w:pStyle w:val="TextBody"/>
        <w:bidi w:val="0"/>
        <w:spacing w:before="280" w:after="283"/>
        <w:jc w:val="left"/>
        <w:rPr>
          <w:rFonts w:ascii="Times New Roman" w:hAnsi="Times New Roman"/>
          <w:b/>
          <w:color w:val="000000"/>
          <w:sz w:val="20"/>
        </w:rPr>
      </w:pPr>
      <w:bookmarkStart w:id="34" w:name="item_4__controls_and_procedures"/>
      <w:bookmarkEnd w:id="34"/>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concluded that our disclosure controls and procedures were effective as of June 30, 2026.</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June 30, 2026,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5" w:name="part_ii_other_information"/>
      <w:bookmarkEnd w:id="35"/>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6" w:name="item_1__legal_proceedings"/>
      <w:bookmarkEnd w:id="36"/>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7" w:name="item_1a__risk_factors"/>
      <w:bookmarkEnd w:id="37"/>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2026, which we filed with the SEC on June 4, 2026 and in Part 1 - Item 2 under the heading "Management's Discussion and Analysis of Financial Condition and Results of Operations" in this Form 10-Q.</w:t>
      </w:r>
    </w:p>
    <w:p>
      <w:pPr>
        <w:pStyle w:val="TextBody"/>
        <w:bidi w:val="0"/>
        <w:jc w:val="left"/>
        <w:rPr/>
      </w:pPr>
      <w:r>
        <w:rPr/>
        <w:t> </w:t>
      </w:r>
    </w:p>
    <w:p>
      <w:pPr>
        <w:pStyle w:val="TextBody"/>
        <w:bidi w:val="0"/>
        <w:spacing w:before="280" w:after="283"/>
        <w:jc w:val="both"/>
        <w:rPr>
          <w:rFonts w:ascii="Times New Roman" w:hAnsi="Times New Roman"/>
          <w:b/>
          <w:color w:val="000000"/>
          <w:sz w:val="20"/>
        </w:rPr>
      </w:pPr>
      <w:bookmarkStart w:id="38" w:name="item_2__unregistered_sale_of_equity_secu"/>
      <w:bookmarkEnd w:id="38"/>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9" w:name="item_6__exhibits"/>
      <w:bookmarkEnd w:id="39"/>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9498"/>
      </w:tblGrid>
      <w:tr>
        <w:trPr/>
        <w:tc>
          <w:tcPr>
            <w:tcW w:w="707" w:type="dxa"/>
            <w:tcBorders/>
            <w:vAlign w:val="center"/>
          </w:tcPr>
          <w:p>
            <w:pPr>
              <w:pStyle w:val="TableContents"/>
              <w:bidi w:val="0"/>
              <w:spacing w:before="0" w:after="283"/>
              <w:jc w:val="left"/>
              <w:rPr>
                <w:sz w:val="4"/>
                <w:szCs w:val="4"/>
              </w:rPr>
            </w:pPr>
            <w:r>
              <w:rPr>
                <w:sz w:val="4"/>
                <w:szCs w:val="4"/>
              </w:rPr>
            </w:r>
          </w:p>
        </w:tc>
        <w:tc>
          <w:tcPr>
            <w:tcW w:w="9498" w:type="dxa"/>
            <w:tcBorders/>
            <w:vAlign w:val="center"/>
          </w:tcPr>
          <w:p>
            <w:pPr>
              <w:pStyle w:val="TableContents"/>
              <w:bidi w:val="0"/>
              <w:spacing w:before="0" w:after="283"/>
              <w:jc w:val="left"/>
              <w:rPr>
                <w:sz w:val="4"/>
                <w:szCs w:val="4"/>
              </w:rPr>
            </w:pPr>
            <w:r>
              <w:rPr>
                <w:sz w:val="4"/>
                <w:szCs w:val="4"/>
              </w:rPr>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98"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94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 and is contained in Exhibit 101.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0" w:name="signature"/>
      <w:bookmarkEnd w:id="40"/>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August 5, 2026.</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oesx-ex31_1.htm"/>
      <w:bookmarkStart w:id="42" w:name="ksoesxex31_1"/>
      <w:bookmarkEnd w:id="41"/>
      <w:bookmarkEnd w:id="42"/>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Sally A. Washlow,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oesx-ex31_2.htm"/>
      <w:bookmarkStart w:id="44" w:name="ksoesxex31_2"/>
      <w:bookmarkEnd w:id="43"/>
      <w:bookmarkEnd w:id="44"/>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oesx-ex32_1.htm"/>
      <w:bookmarkStart w:id="46" w:name="ksoesxex32_1"/>
      <w:bookmarkEnd w:id="45"/>
      <w:bookmarkEnd w:id="46"/>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2026, as filed with the Securities and Exchange Commission on the date hereof (the “Report”), I, Sally A. Washlow,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5" w:type="dxa"/>
        <w:jc w:val="left"/>
        <w:tblInd w:w="0" w:type="dxa"/>
        <w:tblLayout w:type="fixed"/>
        <w:tblCellMar>
          <w:top w:w="28" w:type="dxa"/>
          <w:left w:w="28" w:type="dxa"/>
          <w:bottom w:w="28" w:type="dxa"/>
          <w:right w:w="28" w:type="dxa"/>
        </w:tblCellMar>
      </w:tblPr>
      <w:tblGrid>
        <w:gridCol w:w="594"/>
        <w:gridCol w:w="1491"/>
      </w:tblGrid>
      <w:tr>
        <w:trPr/>
        <w:tc>
          <w:tcPr>
            <w:tcW w:w="59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Sally A. Washlow</w:t>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oesx-ex32_2.htm"/>
      <w:bookmarkStart w:id="48" w:name="ksoesxex32_2"/>
      <w:bookmarkEnd w:id="47"/>
      <w:bookmarkEnd w:id="48"/>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2026,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5" w:type="dxa"/>
        <w:jc w:val="left"/>
        <w:tblInd w:w="0" w:type="dxa"/>
        <w:tblLayout w:type="fixed"/>
        <w:tblCellMar>
          <w:top w:w="28" w:type="dxa"/>
          <w:left w:w="28" w:type="dxa"/>
          <w:bottom w:w="28" w:type="dxa"/>
          <w:right w:w="28" w:type="dxa"/>
        </w:tblCellMar>
      </w:tblPr>
      <w:tblGrid>
        <w:gridCol w:w="577"/>
        <w:gridCol w:w="1448"/>
      </w:tblGrid>
      <w:tr>
        <w:trPr/>
        <w:tc>
          <w:tcPr>
            <w:tcW w:w="57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5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5, 2026</w:t>
            </w:r>
          </w:p>
        </w:tc>
      </w:tr>
      <w:tr>
        <w:trPr/>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02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0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12829</Words>
  <Characters>70178</Characters>
  <CharactersWithSpaces>83953</CharactersWithSpaces>
  <Paragraphs>4941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