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5120" w:type="dxa"/>
            <w:vAlign w:val="bottom"/>
          </w:tcPr>
          <w:p>
            <w:pPr>
              <w:jc w:val="center"/>
              <w:ind w:right="1624"/>
              <w:spacing w:after="0"/>
              <w:rPr>
                <w:sz w:val="20"/>
                <w:szCs w:val="20"/>
                <w:color w:val="auto"/>
              </w:rPr>
            </w:pPr>
            <w:r>
              <w:rPr>
                <w:rFonts w:ascii="Arial" w:cs="Arial" w:eastAsia="Arial" w:hAnsi="Arial"/>
                <w:sz w:val="18"/>
                <w:szCs w:val="18"/>
                <w:b w:val="1"/>
                <w:bCs w:val="1"/>
                <w:color w:val="auto"/>
                <w:w w:val="86"/>
              </w:rPr>
              <w:t>Wisconsin</w:t>
            </w:r>
          </w:p>
        </w:tc>
        <w:tc>
          <w:tcPr>
            <w:tcW w:w="3000" w:type="dxa"/>
            <w:vAlign w:val="bottom"/>
          </w:tcPr>
          <w:p>
            <w:pPr>
              <w:jc w:val="right"/>
              <w:ind w:right="144"/>
              <w:spacing w:after="0"/>
              <w:rPr>
                <w:sz w:val="20"/>
                <w:szCs w:val="20"/>
                <w:color w:val="auto"/>
              </w:rPr>
            </w:pPr>
            <w:r>
              <w:rPr>
                <w:rFonts w:ascii="Arial" w:cs="Arial" w:eastAsia="Arial" w:hAnsi="Arial"/>
                <w:sz w:val="18"/>
                <w:szCs w:val="18"/>
                <w:b w:val="1"/>
                <w:bCs w:val="1"/>
                <w:color w:val="auto"/>
              </w:rPr>
              <w:t>39-1847269</w:t>
            </w:r>
          </w:p>
        </w:tc>
      </w:tr>
      <w:tr>
        <w:trPr>
          <w:trHeight w:val="149"/>
        </w:trPr>
        <w:tc>
          <w:tcPr>
            <w:tcW w:w="5120" w:type="dxa"/>
            <w:vAlign w:val="bottom"/>
          </w:tcPr>
          <w:p>
            <w:pPr>
              <w:jc w:val="center"/>
              <w:ind w:right="16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00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20" w:type="dxa"/>
            <w:vAlign w:val="bottom"/>
          </w:tcPr>
          <w:p>
            <w:pPr>
              <w:jc w:val="center"/>
              <w:ind w:right="1604"/>
              <w:spacing w:after="0"/>
              <w:rPr>
                <w:sz w:val="20"/>
                <w:szCs w:val="20"/>
                <w:color w:val="auto"/>
              </w:rPr>
            </w:pPr>
            <w:r>
              <w:rPr>
                <w:rFonts w:ascii="Arial" w:cs="Arial" w:eastAsia="Arial" w:hAnsi="Arial"/>
                <w:sz w:val="14"/>
                <w:szCs w:val="14"/>
                <w:b w:val="1"/>
                <w:bCs w:val="1"/>
                <w:color w:val="auto"/>
                <w:w w:val="88"/>
              </w:rPr>
              <w:t>incorporation or organization)</w:t>
            </w:r>
          </w:p>
        </w:tc>
        <w:tc>
          <w:tcPr>
            <w:tcW w:w="3000" w:type="dxa"/>
            <w:vAlign w:val="bottom"/>
          </w:tcPr>
          <w:p>
            <w:pPr>
              <w:jc w:val="center"/>
              <w:ind w:left="1624"/>
              <w:spacing w:after="0"/>
              <w:rPr>
                <w:sz w:val="20"/>
                <w:szCs w:val="20"/>
                <w:color w:val="auto"/>
              </w:rPr>
            </w:pPr>
            <w:r>
              <w:rPr>
                <w:rFonts w:ascii="Arial" w:cs="Arial" w:eastAsia="Arial" w:hAnsi="Arial"/>
                <w:sz w:val="14"/>
                <w:szCs w:val="14"/>
                <w:b w:val="1"/>
                <w:bCs w:val="1"/>
                <w:color w:val="auto"/>
                <w:w w:val="88"/>
              </w:rPr>
              <w:t>Identification number)</w:t>
            </w:r>
          </w:p>
        </w:tc>
      </w:tr>
      <w:tr>
        <w:trPr>
          <w:trHeight w:val="420"/>
        </w:trPr>
        <w:tc>
          <w:tcPr>
            <w:tcW w:w="5120" w:type="dxa"/>
            <w:vAlign w:val="bottom"/>
          </w:tcPr>
          <w:p>
            <w:pPr>
              <w:jc w:val="center"/>
              <w:ind w:right="1624"/>
              <w:spacing w:after="0"/>
              <w:rPr>
                <w:sz w:val="20"/>
                <w:szCs w:val="20"/>
                <w:color w:val="auto"/>
              </w:rPr>
            </w:pPr>
            <w:r>
              <w:rPr>
                <w:rFonts w:ascii="Arial" w:cs="Arial" w:eastAsia="Arial" w:hAnsi="Arial"/>
                <w:sz w:val="18"/>
                <w:szCs w:val="18"/>
                <w:b w:val="1"/>
                <w:bCs w:val="1"/>
                <w:color w:val="auto"/>
                <w:w w:val="88"/>
              </w:rPr>
              <w:t>2210 Woodland Drive, Manitowoc, Wisconsin</w:t>
            </w:r>
          </w:p>
        </w:tc>
        <w:tc>
          <w:tcPr>
            <w:tcW w:w="3000" w:type="dxa"/>
            <w:vAlign w:val="bottom"/>
          </w:tcPr>
          <w:p>
            <w:pPr>
              <w:jc w:val="right"/>
              <w:ind w:right="344"/>
              <w:spacing w:after="0"/>
              <w:rPr>
                <w:sz w:val="20"/>
                <w:szCs w:val="20"/>
                <w:color w:val="auto"/>
              </w:rPr>
            </w:pPr>
            <w:r>
              <w:rPr>
                <w:rFonts w:ascii="Arial" w:cs="Arial" w:eastAsia="Arial" w:hAnsi="Arial"/>
                <w:sz w:val="18"/>
                <w:szCs w:val="18"/>
                <w:b w:val="1"/>
                <w:bCs w:val="1"/>
                <w:color w:val="auto"/>
              </w:rPr>
              <w:t>54220</w:t>
            </w:r>
          </w:p>
        </w:tc>
      </w:tr>
      <w:tr>
        <w:trPr>
          <w:trHeight w:val="174"/>
        </w:trPr>
        <w:tc>
          <w:tcPr>
            <w:tcW w:w="5120" w:type="dxa"/>
            <w:vAlign w:val="bottom"/>
          </w:tcPr>
          <w:p>
            <w:pPr>
              <w:jc w:val="center"/>
              <w:ind w:right="16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000" w:type="dxa"/>
            <w:vAlign w:val="bottom"/>
          </w:tcPr>
          <w:p>
            <w:pPr>
              <w:jc w:val="center"/>
              <w:ind w:left="1624"/>
              <w:spacing w:after="0"/>
              <w:rPr>
                <w:sz w:val="20"/>
                <w:szCs w:val="20"/>
                <w:color w:val="auto"/>
              </w:rPr>
            </w:pPr>
            <w:r>
              <w:rPr>
                <w:rFonts w:ascii="Arial" w:cs="Arial" w:eastAsia="Arial" w:hAnsi="Arial"/>
                <w:sz w:val="14"/>
                <w:szCs w:val="14"/>
                <w:b w:val="1"/>
                <w:bCs w:val="1"/>
                <w:color w:val="auto"/>
                <w:w w:val="86"/>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2"/>
          </w:tcPr>
          <w:p>
            <w:pPr>
              <w:spacing w:after="0"/>
              <w:rPr>
                <w:sz w:val="20"/>
                <w:szCs w:val="20"/>
                <w:color w:val="auto"/>
              </w:rPr>
            </w:pPr>
            <w:r>
              <w:rPr>
                <w:rFonts w:ascii="Arial" w:cs="Arial" w:eastAsia="Arial" w:hAnsi="Arial"/>
                <w:sz w:val="18"/>
                <w:szCs w:val="18"/>
                <w:color w:val="auto"/>
              </w:rPr>
              <w:t>There were 20,135,623 shares of the Registrant’s common stock outstanding on November 7, 2012.</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Orion Energy Systems,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10"/>
            <w:vMerge w:val="restart"/>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Page(s)</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7"/>
            <w:vMerge w:val="continue"/>
          </w:tcPr>
          <w:p>
            <w:pPr>
              <w:spacing w:after="0"/>
              <w:rPr>
                <w:sz w:val="13"/>
                <w:szCs w:val="13"/>
                <w:color w:val="auto"/>
              </w:rPr>
            </w:pPr>
          </w:p>
        </w:tc>
        <w:tc>
          <w:tcPr>
            <w:tcW w:w="7940" w:type="dxa"/>
            <w:vAlign w:val="bottom"/>
            <w:gridSpan w:val="10"/>
            <w:vMerge w:val="continue"/>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480" w:type="dxa"/>
            <w:vAlign w:val="bottom"/>
            <w:tcBorders>
              <w:bottom w:val="single" w:sz="8" w:color="0000EE"/>
            </w:tcBorders>
            <w:gridSpan w:val="8"/>
          </w:tcPr>
          <w:p>
            <w:pPr>
              <w:spacing w:after="0"/>
              <w:rPr>
                <w:rFonts w:ascii="Arial" w:cs="Arial" w:eastAsia="Arial" w:hAnsi="Arial"/>
                <w:sz w:val="18"/>
                <w:szCs w:val="18"/>
                <w:b w:val="1"/>
                <w:bCs w:val="1"/>
                <w:color w:val="0000EE"/>
                <w:w w:val="86"/>
              </w:rPr>
            </w:pPr>
            <w:hyperlink w:anchor="page3">
              <w:r>
                <w:rPr>
                  <w:rFonts w:ascii="Arial" w:cs="Arial" w:eastAsia="Arial" w:hAnsi="Arial"/>
                  <w:sz w:val="18"/>
                  <w:szCs w:val="18"/>
                  <w:b w:val="1"/>
                  <w:bCs w:val="1"/>
                  <w:color w:val="0000EE"/>
                  <w:w w:val="86"/>
                </w:rPr>
                <w:t>Financial Statements (unaudited)</w:t>
              </w:r>
            </w:hyperlink>
          </w:p>
        </w:tc>
        <w:tc>
          <w:tcPr>
            <w:tcW w:w="728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2012 and September 30, 2012</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September 30, 2011 and 2012</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September 30, 2011 and 2012</w:t>
              </w:r>
            </w:hyperlink>
          </w:p>
        </w:tc>
        <w:tc>
          <w:tcPr>
            <w:tcW w:w="640" w:type="dxa"/>
            <w:vAlign w:val="bottom"/>
            <w:tcBorders>
              <w:top w:val="single" w:sz="8" w:color="0000EE"/>
            </w:tcBorders>
            <w:gridSpan w:val="2"/>
          </w:tcPr>
          <w:p>
            <w:pPr>
              <w:spacing w:after="0"/>
              <w:rPr>
                <w:sz w:val="17"/>
                <w:szCs w:val="17"/>
                <w:color w:val="auto"/>
              </w:rPr>
            </w:pPr>
          </w:p>
        </w:tc>
        <w:tc>
          <w:tcPr>
            <w:tcW w:w="25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760" w:type="dxa"/>
            <w:vAlign w:val="bottom"/>
            <w:gridSpan w:val="16"/>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664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Quantitative and Qualitative Disclosures about Market Risk</w:t>
              </w:r>
            </w:hyperlink>
          </w:p>
        </w:tc>
        <w:tc>
          <w:tcPr>
            <w:tcW w:w="31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4"/>
              </w:rPr>
            </w:pPr>
            <w:hyperlink w:anchor="page32">
              <w:r>
                <w:rPr>
                  <w:rFonts w:ascii="Arial" w:cs="Arial" w:eastAsia="Arial" w:hAnsi="Arial"/>
                  <w:sz w:val="18"/>
                  <w:szCs w:val="18"/>
                  <w:b w:val="1"/>
                  <w:bCs w:val="1"/>
                  <w:color w:val="0000EE"/>
                  <w:w w:val="84"/>
                </w:rPr>
                <w:t>Controls and Procedures</w:t>
              </w:r>
            </w:hyperlink>
          </w:p>
        </w:tc>
        <w:tc>
          <w:tcPr>
            <w:tcW w:w="2640" w:type="dxa"/>
            <w:vAlign w:val="bottom"/>
            <w:tcBorders>
              <w:top w:val="single" w:sz="8" w:color="0000EE"/>
            </w:tcBorders>
            <w:gridSpan w:val="4"/>
          </w:tcPr>
          <w:p>
            <w:pPr>
              <w:spacing w:after="0"/>
              <w:rPr>
                <w:sz w:val="17"/>
                <w:szCs w:val="17"/>
                <w:color w:val="auto"/>
              </w:rPr>
            </w:pPr>
          </w:p>
        </w:tc>
        <w:tc>
          <w:tcPr>
            <w:tcW w:w="52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900" w:type="dxa"/>
            <w:vAlign w:val="bottom"/>
            <w:gridSpan w:val="17"/>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b w:val="1"/>
                <w:bCs w:val="1"/>
                <w:color w:val="auto"/>
              </w:rPr>
              <w:t>ITEM 1.</w:t>
            </w:r>
          </w:p>
        </w:tc>
        <w:tc>
          <w:tcPr>
            <w:tcW w:w="152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w w:val="93"/>
              </w:rPr>
            </w:pPr>
            <w:hyperlink w:anchor="page33">
              <w:r>
                <w:rPr>
                  <w:rFonts w:ascii="Arial" w:cs="Arial" w:eastAsia="Arial" w:hAnsi="Arial"/>
                  <w:sz w:val="18"/>
                  <w:szCs w:val="18"/>
                  <w:b w:val="1"/>
                  <w:bCs w:val="1"/>
                  <w:color w:val="0000EE"/>
                  <w:w w:val="93"/>
                </w:rPr>
                <w:t>Legal Proceedings</w:t>
              </w:r>
            </w:hyperlink>
          </w:p>
        </w:tc>
        <w:tc>
          <w:tcPr>
            <w:tcW w:w="824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134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Risk Factors</w:t>
              </w:r>
            </w:hyperlink>
          </w:p>
        </w:tc>
        <w:tc>
          <w:tcPr>
            <w:tcW w:w="842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44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5"/>
              </w:rPr>
            </w:pPr>
            <w:hyperlink w:anchor="page33">
              <w:r>
                <w:rPr>
                  <w:rFonts w:ascii="Arial" w:cs="Arial" w:eastAsia="Arial" w:hAnsi="Arial"/>
                  <w:sz w:val="18"/>
                  <w:szCs w:val="18"/>
                  <w:b w:val="1"/>
                  <w:bCs w:val="1"/>
                  <w:color w:val="0000EE"/>
                  <w:w w:val="85"/>
                </w:rPr>
                <w:t>Unregistered Sales of Equity Securities and Use of Proceeds</w:t>
              </w:r>
            </w:hyperlink>
          </w:p>
        </w:tc>
        <w:tc>
          <w:tcPr>
            <w:tcW w:w="532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9760" w:type="dxa"/>
            <w:vAlign w:val="bottom"/>
            <w:gridSpan w:val="1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2"/>
              </w:rPr>
            </w:pPr>
            <w:hyperlink w:anchor="page36">
              <w:r>
                <w:rPr>
                  <w:rFonts w:ascii="Arial" w:cs="Arial" w:eastAsia="Arial" w:hAnsi="Arial"/>
                  <w:sz w:val="18"/>
                  <w:szCs w:val="18"/>
                  <w:b w:val="1"/>
                  <w:bCs w:val="1"/>
                  <w:color w:val="0000EE"/>
                  <w:w w:val="82"/>
                </w:rPr>
                <w:t>Exhibits</w:t>
              </w:r>
            </w:hyperlink>
          </w:p>
        </w:tc>
        <w:tc>
          <w:tcPr>
            <w:tcW w:w="780" w:type="dxa"/>
            <w:vAlign w:val="bottom"/>
            <w:tcBorders>
              <w:top w:val="single" w:sz="8" w:color="0000EE"/>
            </w:tcBorders>
            <w:gridSpan w:val="3"/>
          </w:tcPr>
          <w:p>
            <w:pPr>
              <w:spacing w:after="0"/>
              <w:rPr>
                <w:sz w:val="17"/>
                <w:szCs w:val="17"/>
                <w:color w:val="auto"/>
              </w:rPr>
            </w:pPr>
          </w:p>
        </w:tc>
        <w:tc>
          <w:tcPr>
            <w:tcW w:w="83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37">
              <w:r>
                <w:rPr>
                  <w:rFonts w:ascii="Arial" w:cs="Arial" w:eastAsia="Arial" w:hAnsi="Arial"/>
                  <w:sz w:val="18"/>
                  <w:szCs w:val="18"/>
                  <w:b w:val="1"/>
                  <w:bCs w:val="1"/>
                  <w:color w:val="0000EE"/>
                  <w:w w:val="93"/>
                </w:rPr>
                <w:t>SIGNATURES</w:t>
              </w:r>
            </w:hyperlink>
          </w:p>
        </w:tc>
        <w:tc>
          <w:tcPr>
            <w:tcW w:w="976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Exhibit 10.13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10.14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23,011</w:t>
            </w:r>
          </w:p>
        </w:tc>
        <w:tc>
          <w:tcPr>
            <w:tcW w:w="2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13,214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Accounts receivable, net of allowances of $947 and $834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18,411</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58,582</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29,769</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12,273</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6,735</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125,650</w:t>
            </w:r>
          </w:p>
        </w:tc>
        <w:tc>
          <w:tcPr>
            <w:tcW w:w="26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113,232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14,300</w:t>
            </w:r>
          </w:p>
        </w:tc>
        <w:tc>
          <w:tcPr>
            <w:tcW w:w="2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15,166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28,278</w:t>
            </w: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37,172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stock, no par value: Shares authorized: 200,000,000 at March 31, 2012 and September 30, 2012; shares issued: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30,445,479 and 30,482,026 at March 31, 2012 and September 30, 2012; shares outstanding: 22,785,258 and 20,753,923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2012 and September 30, 2012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126,753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126,148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7,660,221 and 9,728,103 common shares at March 31, 2012 and September 30, 2012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(32,470)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(36,913)</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Shareholder notes receivable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(12,892)</w:t>
            </w: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125,650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113,232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89"/>
              </w:rPr>
              <w:t>Three Months Ended September 30,</w:t>
            </w:r>
          </w:p>
        </w:tc>
        <w:tc>
          <w:tcPr>
            <w:tcW w:w="100" w:type="dxa"/>
            <w:vAlign w:val="bottom"/>
          </w:tcPr>
          <w:p>
            <w:pPr>
              <w:spacing w:after="0"/>
              <w:rPr>
                <w:sz w:val="14"/>
                <w:szCs w:val="14"/>
                <w:color w:val="auto"/>
              </w:rPr>
            </w:pPr>
          </w:p>
        </w:tc>
        <w:tc>
          <w:tcPr>
            <w:tcW w:w="2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Six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Service revenue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21,447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11,867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24,094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13,603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24,540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5,805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1,358</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(9,659)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attributable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22,989,502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21,075,624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22,955,655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21,814,321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attributable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23,369,520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21,075,624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23,380,375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21,814,321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9"/>
              </w:rPr>
              <w:t>Six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Deferred income tax (benefit) expense</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of property and equipment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current and long-term</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Inventories, current and long-term</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(3,227)</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(2,330)</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 held under operating leases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patents and licenses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property, plant and equipment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long-term debt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repayment of shareholder notes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 of common stock into treasury</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Shares issued from treasury for shareholder note receivable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includes Orion Energy Systems, Inc., a Wisconsin corporation, and all of its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I “Segment Reporting” of these financial statements for further discussion of our reportable segments.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occupied by Orion Engineered Systems is located in Plymouth,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appropriate, certain reclassifications have been made to prior years’ financial statements to conform to the current year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2013 or other interim periods.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condensed consolidated balance sheet at March 31, 2012 has been derived from the audited consolidated financial statements at that date but does not include all of the information required by GAAP for complete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2012 filed with the Securities and Exchange Commission on June 14,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valuation allowance for deferred tax assets is based upon estimates of future taxable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2012 and September 30, 2012 were as follows (in thousands):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 2012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0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September 30, 2012</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2012 and September 30, 2012, the Company’s financial assets described in the table above were measured at cost which approximates fair value due to the short-term nature of the investment (level 1 inputs).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OTA, sales-type leases to be financing receivables. Additional disclosures on the credit quality of the Company’s financing receivables are as follows: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September 30, 2012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1-90 days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Greater than 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Total sales-type</w:t>
            </w: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Not past due</w:t>
            </w:r>
          </w:p>
        </w:tc>
        <w:tc>
          <w:tcPr>
            <w:tcW w:w="1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past due</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days past due</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Total past due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leases</w:t>
            </w: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Lease balances included in consolidated accounts receivable - current</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Lease balances included in consolidated accounts receivable - long-term</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w:t>
            </w: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Allowance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sales-type leases</w:t>
            </w:r>
          </w:p>
        </w:tc>
        <w:tc>
          <w:tcPr>
            <w:tcW w:w="7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$59,000 and $0 of write-offs or credit losses against its OTA sales-type lease receivable balances in fiscal 2012 and for the six months ended September 30, 2012,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2012 and September 30, 2012, the Company had inventory obsolescence reserves of $1.5 million and $1.8 million, respectively.</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9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9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and components</w:t>
            </w:r>
          </w:p>
        </w:tc>
        <w:tc>
          <w:tcPr>
            <w:tcW w:w="3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$ 10,466</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Work in process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$ 18,132</w:t>
            </w:r>
          </w:p>
        </w:tc>
        <w:tc>
          <w:tcPr>
            <w:tcW w:w="8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340" w:type="dxa"/>
            <w:vAlign w:val="bottom"/>
            <w:vMerge w:val="restart"/>
          </w:tcPr>
          <w:p>
            <w:pPr>
              <w:jc w:val="right"/>
              <w:ind w:right="212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$2.2 million and $4.8 million as of March 31, 2012 and September 30,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March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14,717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43,383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(13,158)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30,225</w:t>
            </w:r>
          </w:p>
        </w:tc>
        <w:tc>
          <w:tcPr>
            <w:tcW w:w="38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Land improvements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Buildings and building improvements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Furniture, fixtures and office equipment</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Plant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10 - 15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3 - 39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 life or life of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2 - 10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3 - 10 years</w:t>
      </w:r>
    </w:p>
    <w:p>
      <w:pPr>
        <w:spacing w:after="0" w:line="200" w:lineRule="exact"/>
        <w:rPr>
          <w:sz w:val="20"/>
          <w:szCs w:val="20"/>
          <w:color w:val="auto"/>
        </w:rPr>
      </w:pPr>
    </w:p>
    <w:p>
      <w:pPr>
        <w:sectPr>
          <w:pgSz w:w="11900" w:h="16838" w:orient="portrait"/>
          <w:cols w:equalWidth="0" w:num="2">
            <w:col w:w="6080" w:space="720"/>
            <w:col w:w="4560"/>
          </w:cols>
          <w:pgMar w:left="240" w:top="459" w:right="29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September 30, 2012, the following amounts were due from the third party finance company in future periods (in thousands):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Fiscal 2014</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Fiscal 2016</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4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20" w:type="dxa"/>
            <w:vAlign w:val="bottom"/>
            <w:vMerge w:val="restart"/>
          </w:tcPr>
          <w:p>
            <w:pPr>
              <w:jc w:val="right"/>
              <w:ind w:right="31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records long-term inventory for the non-current portion of its wireless controls inventory. All inventories are stated at the lower of cost or market value with cost determined using the FIFO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long-term assets include long-term security deposits, prepaid licensing costs, a note receivable, deferred costs for a long-term contract, and deferred financing costs. Other long-term assets include $87,000 and $73,000 of deferred financing costs as of March 31, 2012 and September 30, 2012. Deferred financing costs related to debt issuances are amortized to interest expense over the life of the related debt issue (5 to 10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Accrued expenses include warranty accruals, accrued wages and benefits, accrued vacation, sales tax payable and other various unpaid expenses. Accrued expenses include $31,000 and $1.8 million of accrued reorganization costs and contractual commitments as of March 31, 2012 and September 30, 2012.</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generally offers a limited warranty of one year on its own manufactured products in addition to those standard warranties offered by major original equipment component manufacturers. The manufacturers’ warranties cover lamps and ballasts, which are significant components in the Company’s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7"/>
          </w:tcPr>
          <w:p>
            <w:pPr>
              <w:jc w:val="right"/>
              <w:ind w:right="94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44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76"/>
              </w:rPr>
              <w:t>2011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Provision to product 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(53)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End of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offers a financing program, called an OTA, for a customer’s lease of the Company’s energy management systems. The OTA is structured as a sales-type lease and upon successful installation of the system and customer acknowledgement that the system is operating as specified, revenue is recognized at the Company’s net investment in the lease, which typically is the net present value of the future cash flows.</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which is typically in excess of 10 years.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Construction-Type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Production-Type Contracts.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is recognized on the sales of our lighting and related energy efficiency systems and products when the following four criteria are met:</w:t>
      </w:r>
    </w:p>
    <w:p>
      <w:pPr>
        <w:spacing w:after="0" w:line="11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three months ended September 30, 2012, the Company recorded a full valuation allowance of $5.6 million against its deferred tax assets.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six months ended September 30, 2011 and 2012, realized tax benefits from the exercise of stock options were $0.8 million and $27,000,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fair value of each option grant for the three and six months ended September 30, 2011 and 2012 was determined using the assumptions in the following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Three Months Ended September 30,</w:t>
            </w:r>
          </w:p>
        </w:tc>
        <w:tc>
          <w:tcPr>
            <w:tcW w:w="23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Six Months Ended September 30,</w:t>
            </w:r>
          </w:p>
        </w:tc>
      </w:tr>
      <w:tr>
        <w:trPr>
          <w:trHeight w:val="161"/>
        </w:trPr>
        <w:tc>
          <w:tcPr>
            <w:tcW w:w="54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expected term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years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years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32"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Diluted net income (loss) per common share reflects the dilution that would occur if warrants and employee stock options were exercised. In the computation of diluted net income (loss) per common share, the Company uses the “treasury stock” method for outstanding options and warrants. Diluted net income (loss) per common share is the same as basic net income (loss) per common share for the periods ended September 30, 2012, because the effects of potentially dilutive securities are anti-dilutive. The effect of net income (loss) per common share is calculated based upon the following shares (in thousands except share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Six Months Ended September 30,</w:t>
            </w:r>
          </w:p>
        </w:tc>
      </w:tr>
      <w:tr>
        <w:trPr>
          <w:trHeight w:val="161"/>
        </w:trPr>
        <w:tc>
          <w:tcPr>
            <w:tcW w:w="58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(9,659)</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(11,599)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22,989,502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21,075,624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22,955,655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21,814,321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effect of assumed conversion of stock options and warrants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380,018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w w:val="91"/>
              </w:rPr>
              <w:t>Weighted-average common shares and common share equivalents outstanding</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23,369,520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21,075,624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23,380,375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21,814,321</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r>
      <w:tr>
        <w:trPr>
          <w:trHeight w:val="363"/>
        </w:trPr>
        <w:tc>
          <w:tcPr>
            <w:tcW w:w="5820" w:type="dxa"/>
            <w:vAlign w:val="bottom"/>
          </w:tcPr>
          <w:p>
            <w:pPr>
              <w:ind w:left="51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ind w:left="520"/>
              <w:spacing w:after="0"/>
              <w:rPr>
                <w:sz w:val="20"/>
                <w:szCs w:val="20"/>
                <w:color w:val="auto"/>
              </w:rPr>
            </w:pPr>
            <w:r>
              <w:rPr>
                <w:rFonts w:ascii="Arial" w:cs="Arial" w:eastAsia="Arial" w:hAnsi="Arial"/>
                <w:sz w:val="14"/>
                <w:szCs w:val="14"/>
                <w:b w:val="1"/>
                <w:bCs w:val="1"/>
                <w:color w:val="auto"/>
                <w:w w:val="89"/>
              </w:rPr>
              <w:t>September 30,</w:t>
            </w:r>
          </w:p>
        </w:tc>
      </w:tr>
      <w:tr>
        <w:trPr>
          <w:trHeight w:val="161"/>
        </w:trPr>
        <w:tc>
          <w:tcPr>
            <w:tcW w:w="4080" w:type="dxa"/>
            <w:vAlign w:val="bottom"/>
          </w:tcPr>
          <w:p>
            <w:pPr>
              <w:spacing w:after="0"/>
              <w:rPr>
                <w:sz w:val="14"/>
                <w:szCs w:val="14"/>
                <w:color w:val="auto"/>
              </w:rPr>
            </w:pPr>
          </w:p>
        </w:tc>
        <w:tc>
          <w:tcPr>
            <w:tcW w:w="3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3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4,018,917</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4,321,571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shares</w:t>
            </w:r>
          </w:p>
        </w:tc>
        <w:tc>
          <w:tcPr>
            <w:tcW w:w="2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163,750</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2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6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4,057,897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4,524,301</w:t>
            </w: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The Company previously depended on one supplier for a number of components necessary for its products, including ballasts and lamps. Purchases from this supplier accounted for 10% and 12% of total cost of revenue for the three and six months ended September 30, 2011, respectively. Currently, the Company has been able to obtain these components from multiple suppliers. For the three months ended September 30, 2012, purchases from two suppliers accounted for 11% and 12% of total cost of revenue. For the six months ended September 30, 2012, no supplier accounted for more than 10% of total cost of revenue.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previously purchased a majority of its solar panels from one supplier for its sales of solar generating systems through its Orion Engineered Systems Division. Purchases from this supplier accounted for 15% and 25% of total cost of revenue for the three and six months ended September 30, 2011, respectively. Currently, the Company has been able to obtain panels from multiple suppliers. For the three and six months ended September 30, 2012, panel purchases from one supplier accounted for 11% and 6% of total cost of revenue, respectively.</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and six months ended September 30, 2011, two customers accounted for 21% of revenue and two customers accounted for 15% and 14% of revenue, respectively. For the three and six months ended September 30, 2012, no customer accounted for more than 10% of revenue.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March 31, 2012, one customer accounted for 11% of accounts receivable. As of September 30, 2012, one customer accounted for 15% of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Measurements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International Financial Reporting Standards (“IFRS”) </w:t>
      </w:r>
      <w:r>
        <w:rPr>
          <w:rFonts w:ascii="Arial" w:cs="Arial" w:eastAsia="Arial" w:hAnsi="Arial"/>
          <w:sz w:val="16"/>
          <w:szCs w:val="16"/>
          <w:color w:val="auto"/>
        </w:rPr>
        <w:t>(“ASU 2011-04”). ASU 2011-04 represents the converged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of the FASB 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adoption of ASU 2011-04 did not have a significant impact on the Company’s consolidated financial statements.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2011, the FASB issued ASU No. 2011-05, “</w:t>
      </w:r>
      <w:r>
        <w:rPr>
          <w:rFonts w:ascii="Arial" w:cs="Arial" w:eastAsia="Arial" w:hAnsi="Arial"/>
          <w:sz w:val="16"/>
          <w:szCs w:val="16"/>
          <w:i w:val="1"/>
          <w:iCs w:val="1"/>
          <w:color w:val="auto"/>
        </w:rPr>
        <w:t>Comprehensive Income (ASC Topic 220): Presentation of Comprehensive Income,</w:t>
      </w:r>
      <w:r>
        <w:rPr>
          <w:rFonts w:ascii="Arial" w:cs="Arial" w:eastAsia="Arial" w:hAnsi="Arial"/>
          <w:sz w:val="16"/>
          <w:szCs w:val="16"/>
          <w:color w:val="auto"/>
        </w:rPr>
        <w:t xml:space="preserve">” (“ASU 2011-05”)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However, in December 2011, the FASB issued ASU No. 2011-12, </w:t>
      </w:r>
      <w:r>
        <w:rPr>
          <w:rFonts w:ascii="Arial" w:cs="Arial" w:eastAsia="Arial" w:hAnsi="Arial"/>
          <w:sz w:val="16"/>
          <w:szCs w:val="16"/>
          <w:i w:val="1"/>
          <w:iCs w:val="1"/>
          <w:color w:val="auto"/>
        </w:rPr>
        <w:t>“Deferral of the Effective Date for Amendments to the Presentation of Items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in Accounting Standards Update No. 2011-05” </w:t>
      </w:r>
      <w:r>
        <w:rPr>
          <w:rFonts w:ascii="Arial" w:cs="Arial" w:eastAsia="Arial" w:hAnsi="Arial"/>
          <w:sz w:val="16"/>
          <w:szCs w:val="16"/>
          <w:color w:val="auto"/>
        </w:rPr>
        <w:t>(“ASU 2011-12”), which deferred the guidance on whether to require entities to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adjustments out of accumulated other comprehensive income by</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for ASU 2011-05. For public entities, the amendments in ASU 2011-05 and ASU2011-12 are effective for fiscal years, and interim periods within those years, beginning after December 15, 2011, and should be applied retrospectively. The adoption of ASU 2011-05 and ASU 2011-12 did not have a significant impact on the Company’s consolidated statements as it only requires a change in the format of the current presentation.</w:t>
      </w:r>
    </w:p>
    <w:p>
      <w:pPr>
        <w:spacing w:after="0" w:line="10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December 2011, the FASB issued ASU No. 2011-11, “Balance Sheet: Disclosures about Offsetting Assets and Liabilities.” ASU 2011-11 requires entities to disclose information about offsetting and related arrangements of financial instruments and derivative instruments and will be applied retrospectively for all comparative periods presented. ASU 2011-11 is effective for annual reporting periods beginning on or after January 1, 2013, and interim periods within those annual periods. The Company is currently evaluating the impact of ASU 2011-11.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the six months ended September 30, 2011 and 2012, the Company purchased goods and services from an entity in the amounts of $23,000 and $0,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March 31, 2012 and September 30, 2012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note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Debenture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9,495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(2,791)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6,704</w:t>
            </w:r>
          </w:p>
        </w:tc>
        <w:tc>
          <w:tcPr>
            <w:tcW w:w="42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Arrangement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September 2012, the Company entered into a combination note and security agreement with First Business Equipment Finance, LLC (First Business) to finance the remaining payments on one of its operating leases with First Business. The note matures on February 15, 2013 and bears interest at 4.5%. The note is secured by the equipment originally leased.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a credit agreement (Credit Agreement) with JP Morgan Chase Bank, N.A. (JP Morgan). The Credit Agreement provides for a revolving credit facility (Credit Facility) that matures on June 30, 2013.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amount of each issued letter of credit counting against the overall limit on borrowings under the Credit Facility. As of September 30, 2012, the Company had outstanding letters of credit totaling $1.7 million, primarily for securing collateral requirements under equipment operating leases. There were no borrowings by the Company under the Credit Agreement as of March 31, 2012 or September 30, 2012. We were not in compliance with all covenants in the credit agreement as of September 30, 2012 and expect to receive a waiver from our bank for the covenant defaults.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PV and wind turbine systems or facilities, as well as all accounts receivable and assets of the Company related to the foregoing, are excluded from these liens.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Credit Agreement provides that the Company has the option to select whether borrowings under the Credit Facility will bear interest at either (i) a daily borrowing LIBOR rate tied to a one-month maturity or (ii) a LIBOR rate tied to a maturity corresponding to an interest period selected by the Company plus, in the case of either (i) or (ii), a per annum rate spread of 2.00%, 2.50% or 3.00%, depending on the ratio of (A) earnings before interest, taxes, depreciation and amortization less income taxes paid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met as of September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income tax provision for the six months ended September 30, 2012 was determined by applying an estimated annual effective tax rate of 53.8% to income (loss) before taxes. For the three months ended September 30, 2012, the Company has recorded a valuation allowance of $5.6 million, equaling the net deferred tax asset due to the uncertainty of its realization value in the future. 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While the Company has positive evidence with a strong backlog of orders, the Company has determined that the current negative evidence outweighs the current positive evidence and has concluded that the conservative approach is to record a valuation allowance. The estimated effective income tax rate was determined by applying statutory tax rates to pretax income (loss) adjusted for certain permanent book to tax differences and tax credits.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federal tax rate</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34.0%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State taxes, net</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9.2%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State tax credit</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Permanent items</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tax contingency reserve</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net</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43.4%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applicable income tax return. Benefits of $1.0 million were recorded in fiscal 2012 as a reduction in taxes payable and a credit to additional paid in capital based on the amount that was utilized during the year. Benefits of $21,000 were recorded for the six months ended September 30, 2012.</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September 30, 2012, the Company had federal net operating loss carryforwards of approximately $11.5 million, of which $3.2 million are associated with the exercise of NQSOs that have not yet been recognized by the Company in its financial statements. The Company also has state net operating loss carryforwards of approximately $6.7 million, of which $2.1 million are associated with the exercise of NQSOs. The Company also has federal tax credit carryforwards of approximately $1.3 million and state tax credits of $0.5 million. For the three months ended September 30, 2012, the Company has recorded a valuation allowance of $5.6 million, equaling the net deferred tax asset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2012, the balance of gross unrecognized tax benefits was approximately $0.4 million, all of which would reduce the Company’s effective tax rate if recognized. The Company does not expect this amount to change during fiscal 2013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six months ended September 30, 2011 and 2012, the Company had the following unrecognized tax benefit activity (in thousands):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18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2011</w:t>
            </w:r>
          </w:p>
        </w:tc>
        <w:tc>
          <w:tcPr>
            <w:tcW w:w="1420" w:type="dxa"/>
            <w:vAlign w:val="bottom"/>
            <w:gridSpan w:val="4"/>
          </w:tcPr>
          <w:p>
            <w:pPr>
              <w:ind w:left="180"/>
              <w:spacing w:after="0"/>
              <w:rPr>
                <w:sz w:val="20"/>
                <w:szCs w:val="20"/>
                <w:color w:val="auto"/>
              </w:rPr>
            </w:pPr>
            <w:r>
              <w:rPr>
                <w:rFonts w:ascii="Arial" w:cs="Arial" w:eastAsia="Arial" w:hAnsi="Arial"/>
                <w:sz w:val="14"/>
                <w:szCs w:val="14"/>
                <w:b w:val="1"/>
                <w:bCs w:val="1"/>
                <w:color w:val="auto"/>
                <w:w w:val="93"/>
              </w:rPr>
              <w:t>September 30, 2012</w:t>
            </w: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beginning of period</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Additions based on tax positions related to the current period positions</w:t>
            </w:r>
          </w:p>
        </w:tc>
        <w:tc>
          <w:tcPr>
            <w:tcW w:w="6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end of period</w:t>
            </w:r>
          </w:p>
        </w:tc>
        <w:tc>
          <w:tcPr>
            <w:tcW w:w="10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$0.5 million and $0.4 million for the three months ended September 30, 2011 and 2012, respectively; and $1.0 million and $0.9 million for the six months ended September 30, 2011 and 2012, respectively. The Company enters into non-cancellable purchase commitments for certain inventory items in order to secure better pricing and ensure materials are on hand to meet anticipated order volume and customer expectations, as well as for capital expenditures. As of September 30, 2012, the Company had entered into $11.6 million of purchase commitments related to fiscal 2013, including $1.2 million for operating lease commitments and $10.4 million for inventory purchase commitments. As of September 30, 2012, the Company had entered into an agreement to repurchase $1.5 million of its outstanding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as of March 31, 2012 and for the six months ended September 30,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Issued</w:t>
            </w:r>
          </w:p>
        </w:tc>
        <w:tc>
          <w:tcPr>
            <w:tcW w:w="2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Closing Market</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Shares Issued</w:t>
            </w:r>
          </w:p>
        </w:tc>
        <w:tc>
          <w:tcPr>
            <w:tcW w:w="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Dollar Value of</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Repayment of</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Under ESPP Plan</w:t>
            </w:r>
          </w:p>
        </w:tc>
        <w:tc>
          <w:tcPr>
            <w:tcW w:w="2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Under Loan Program</w:t>
            </w:r>
          </w:p>
        </w:tc>
        <w:tc>
          <w:tcPr>
            <w:tcW w:w="1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Loans Issued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Cumulative through March 31, 2012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$2.38 - 4.04</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Quarter Ended June 30, 2012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9,232</w:t>
            </w:r>
          </w:p>
        </w:tc>
        <w:tc>
          <w:tcPr>
            <w:tcW w:w="114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$2.20</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$1.98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as of September 30, 2012</w:t>
            </w: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vMerge w:val="restart"/>
          </w:tcPr>
          <w:p>
            <w:pPr>
              <w:jc w:val="center"/>
              <w:ind w:left="152"/>
              <w:spacing w:after="0"/>
              <w:rPr>
                <w:sz w:val="20"/>
                <w:szCs w:val="20"/>
                <w:color w:val="auto"/>
              </w:rPr>
            </w:pPr>
            <w:r>
              <w:rPr>
                <w:rFonts w:ascii="Arial" w:cs="Arial" w:eastAsia="Arial" w:hAnsi="Arial"/>
                <w:sz w:val="18"/>
                <w:szCs w:val="18"/>
                <w:color w:val="auto"/>
                <w:w w:val="89"/>
              </w:rPr>
              <w:t>$1.98 - 4.04</w:t>
            </w: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139,509</w:t>
            </w:r>
          </w:p>
        </w:tc>
        <w:tc>
          <w:tcPr>
            <w:tcW w:w="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119,709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347,550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64,536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September 30, 2012, the Company had repurchased a total of 2.4 million shares of common stock at a total cost of $5.3 million under the program.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RESTRICTED SHARES AND WARRANTS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Company grants stock options under its 2003 Stock Option and 2004 Stock and Incentive Awards Plans (the Plans). Under the terms of the Plans, the Company has reserved 13,500,000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June 2012, the Compensation Committee of the Board of Directors approved the issuance of restricted shares under the Plans to key employees to provide an opportunity for such employees to earn long-term equity incentive awards.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An aggregate of 138,750 of restricted shares were granted on June 18, 2012 valued at a price per share of $2.00, which was the closing market price as of the grant date. Additionally, 25,000 restricted shares were granted on September 27, 2012 valued at a price per share of $1.80, which was the closing market price as of the grant date.</w:t>
      </w:r>
    </w:p>
    <w:p>
      <w:pPr>
        <w:spacing w:after="0" w:line="14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For the three and six months ended September 30, 2012, the Company issued zero and 13,547 shares under the 2004 Stock and Incentive Awards Plan to certain non-employee directors who elected to receive stock awards in lieu of cash compensation. The shares were valued at $2.03 per share, the closing market price as of the issuance date. Additionally, during the three and six months ended September 30, 2012, the Company issued zero and 3,000 shares to a consultant as part of a consulting compensation agreement. The shares were valued at $2.03 per share, the closing market price as of the issuance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Three Months Ended September 30,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ind w:left="100"/>
              <w:spacing w:after="0"/>
              <w:rPr>
                <w:sz w:val="20"/>
                <w:szCs w:val="20"/>
                <w:color w:val="auto"/>
              </w:rPr>
            </w:pPr>
            <w:r>
              <w:rPr>
                <w:rFonts w:ascii="Arial" w:cs="Arial" w:eastAsia="Arial" w:hAnsi="Arial"/>
                <w:sz w:val="14"/>
                <w:szCs w:val="14"/>
                <w:b w:val="1"/>
                <w:bCs w:val="1"/>
                <w:color w:val="auto"/>
                <w:w w:val="85"/>
              </w:rPr>
              <w:t>Six Months Ended September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1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140</w:t>
            </w: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296</w:t>
            </w:r>
          </w:p>
        </w:tc>
        <w:tc>
          <w:tcPr>
            <w:tcW w:w="5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124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272</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657</w:t>
            </w: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September 30, 2012, compensation cost related to non-vested common stock-based compensation, excluding restricted share awards, amounted to $3.9 million over a remaining weighted average expected term of 6.8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Equity Awards Outstanding</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w:t>
            </w: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Grant</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of Shares</w:t>
            </w:r>
          </w:p>
        </w:tc>
        <w:tc>
          <w:tcPr>
            <w:tcW w:w="120" w:type="dxa"/>
            <w:vAlign w:val="bottom"/>
          </w:tcPr>
          <w:p>
            <w:pPr>
              <w:spacing w:after="0"/>
              <w:rPr>
                <w:sz w:val="14"/>
                <w:szCs w:val="14"/>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Term (in years)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2012</w:t>
            </w:r>
          </w:p>
        </w:tc>
        <w:tc>
          <w:tcPr>
            <w:tcW w:w="2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1,406,090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3,697,633</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 stock options</w:t>
            </w:r>
          </w:p>
        </w:tc>
        <w:tc>
          <w:tcPr>
            <w:tcW w:w="3340" w:type="dxa"/>
            <w:vAlign w:val="bottom"/>
            <w:gridSpan w:val="3"/>
          </w:tcPr>
          <w:p>
            <w:pPr>
              <w:jc w:val="right"/>
              <w:ind w:right="340"/>
              <w:spacing w:after="0"/>
              <w:rPr>
                <w:sz w:val="20"/>
                <w:szCs w:val="20"/>
                <w:color w:val="auto"/>
              </w:rPr>
            </w:pPr>
            <w:r>
              <w:rPr>
                <w:rFonts w:ascii="Arial" w:cs="Arial" w:eastAsia="Arial" w:hAnsi="Arial"/>
                <w:sz w:val="18"/>
                <w:szCs w:val="18"/>
                <w:color w:val="auto"/>
              </w:rPr>
              <w:t>(795,876)</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795,876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3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(16,547)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Restricted shares</w:t>
            </w:r>
          </w:p>
        </w:tc>
        <w:tc>
          <w:tcPr>
            <w:tcW w:w="3340" w:type="dxa"/>
            <w:vAlign w:val="bottom"/>
            <w:gridSpan w:val="3"/>
          </w:tcPr>
          <w:p>
            <w:pPr>
              <w:jc w:val="right"/>
              <w:ind w:right="340"/>
              <w:spacing w:after="0"/>
              <w:rPr>
                <w:sz w:val="20"/>
                <w:szCs w:val="20"/>
                <w:color w:val="auto"/>
              </w:rPr>
            </w:pPr>
            <w:r>
              <w:rPr>
                <w:rFonts w:ascii="Arial" w:cs="Arial" w:eastAsia="Arial" w:hAnsi="Arial"/>
                <w:sz w:val="18"/>
                <w:szCs w:val="18"/>
                <w:color w:val="auto"/>
              </w:rPr>
              <w:t>(163,750)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151,938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(151,938)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218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9"/>
                <w:szCs w:val="19"/>
                <w:color w:val="auto"/>
              </w:rPr>
            </w:pP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2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581,855</w:t>
            </w: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4,321,571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2"/>
              </w:rPr>
              <w:t>$ 22,140</w:t>
            </w: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Exercisable at September 30, 2012</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2,077,991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9"/>
                <w:szCs w:val="19"/>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2"/>
              </w:rPr>
              <w:t>$ 22,140</w:t>
            </w: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80" w:type="dxa"/>
            <w:vAlign w:val="bottom"/>
          </w:tcPr>
          <w:p>
            <w:pPr>
              <w:jc w:val="right"/>
              <w:ind w:right="332"/>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$1.98 as of September 30,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the Company’s outstanding non-vested stock options as of September 30, 2012 was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1,810,249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795,876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(210,607)</w:t>
            </w:r>
          </w:p>
        </w:tc>
      </w:tr>
      <w:tr>
        <w:trPr>
          <w:trHeight w:val="223"/>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(151,938)</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2,243,580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half of fiscal 2013, the Company granted restricted shares to key employees as follows (which are included in the above stock plan activity tables):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163,750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88"/>
              </w:rPr>
              <w:t>1.80 - 2.00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16,000</w:t>
            </w: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2012, the amount of deferred stock-based compensation related to grants of restricted shares, to be recognized over a remaining period of 4.75 years, was approximately $0.3 million.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2012 or during the six months ended September 30,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outstanding warrants at September 30, 2012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Number of</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2015</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38,980</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5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Fiscal 2015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1"/>
              </w:rPr>
              <w:t>Revenues</w:t>
            </w:r>
          </w:p>
        </w:tc>
        <w:tc>
          <w:tcPr>
            <w:tcW w:w="100" w:type="dxa"/>
            <w:vAlign w:val="bottom"/>
          </w:tcPr>
          <w:p>
            <w:pPr>
              <w:spacing w:after="0"/>
              <w:rPr>
                <w:sz w:val="14"/>
                <w:szCs w:val="1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Operating Income (Loss)</w:t>
            </w:r>
          </w:p>
        </w:tc>
      </w:tr>
      <w:tr>
        <w:trPr>
          <w:trHeight w:val="151"/>
        </w:trPr>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720" w:type="dxa"/>
            <w:vAlign w:val="bottom"/>
            <w:gridSpan w:val="6"/>
          </w:tcPr>
          <w:p>
            <w:pPr>
              <w:spacing w:after="0" w:line="151"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2680" w:type="dxa"/>
            <w:vAlign w:val="bottom"/>
            <w:gridSpan w:val="7"/>
          </w:tcPr>
          <w:p>
            <w:pPr>
              <w:ind w:left="20"/>
              <w:spacing w:after="0" w:line="151" w:lineRule="exact"/>
              <w:rPr>
                <w:sz w:val="20"/>
                <w:szCs w:val="20"/>
                <w:color w:val="auto"/>
              </w:rPr>
            </w:pPr>
            <w:r>
              <w:rPr>
                <w:rFonts w:ascii="Arial" w:cs="Arial" w:eastAsia="Arial" w:hAnsi="Arial"/>
                <w:sz w:val="14"/>
                <w:szCs w:val="14"/>
                <w:b w:val="1"/>
                <w:bCs w:val="1"/>
                <w:color w:val="auto"/>
                <w:w w:val="91"/>
              </w:rPr>
              <w:t>For the Three Months Ended September 30,</w:t>
            </w:r>
          </w:p>
        </w:tc>
      </w:tr>
      <w:tr>
        <w:trPr>
          <w:trHeight w:val="159"/>
        </w:trPr>
        <w:tc>
          <w:tcPr>
            <w:tcW w:w="3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(dollars in thousands)</w:t>
            </w:r>
          </w:p>
        </w:tc>
        <w:tc>
          <w:tcPr>
            <w:tcW w:w="18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Energy Management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16,652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1,944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(2,990)</w:t>
            </w:r>
          </w:p>
        </w:tc>
      </w:tr>
      <w:tr>
        <w:trPr>
          <w:trHeight w:val="27"/>
        </w:trPr>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(4,104)</w:t>
            </w:r>
          </w:p>
        </w:tc>
      </w:tr>
      <w:tr>
        <w:trPr>
          <w:trHeight w:val="20"/>
        </w:trPr>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1"/>
              </w:rPr>
              <w:t>Revenues</w:t>
            </w:r>
          </w:p>
        </w:tc>
        <w:tc>
          <w:tcPr>
            <w:tcW w:w="100" w:type="dxa"/>
            <w:vAlign w:val="bottom"/>
          </w:tcPr>
          <w:p>
            <w:pPr>
              <w:spacing w:after="0"/>
              <w:rPr>
                <w:sz w:val="24"/>
                <w:szCs w:val="2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Operating Income (Loss)</w:t>
            </w:r>
          </w:p>
        </w:tc>
      </w:tr>
      <w:tr>
        <w:trPr>
          <w:trHeight w:val="151"/>
        </w:trPr>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5"/>
          </w:tcPr>
          <w:p>
            <w:pPr>
              <w:jc w:val="center"/>
              <w:ind w:right="260"/>
              <w:spacing w:after="0" w:line="151" w:lineRule="exact"/>
              <w:rPr>
                <w:sz w:val="20"/>
                <w:szCs w:val="20"/>
                <w:color w:val="auto"/>
              </w:rPr>
            </w:pPr>
            <w:r>
              <w:rPr>
                <w:rFonts w:ascii="Arial" w:cs="Arial" w:eastAsia="Arial" w:hAnsi="Arial"/>
                <w:sz w:val="14"/>
                <w:szCs w:val="14"/>
                <w:b w:val="1"/>
                <w:bCs w:val="1"/>
                <w:color w:val="auto"/>
                <w:w w:val="87"/>
              </w:rPr>
              <w:t>For the Six Months Ended September 30,</w:t>
            </w:r>
          </w:p>
        </w:tc>
        <w:tc>
          <w:tcPr>
            <w:tcW w:w="100" w:type="dxa"/>
            <w:vAlign w:val="bottom"/>
          </w:tcPr>
          <w:p>
            <w:pPr>
              <w:spacing w:after="0"/>
              <w:rPr>
                <w:sz w:val="13"/>
                <w:szCs w:val="13"/>
                <w:color w:val="auto"/>
              </w:rPr>
            </w:pPr>
          </w:p>
        </w:tc>
        <w:tc>
          <w:tcPr>
            <w:tcW w:w="2580" w:type="dxa"/>
            <w:vAlign w:val="bottom"/>
            <w:gridSpan w:val="6"/>
          </w:tcPr>
          <w:p>
            <w:pPr>
              <w:jc w:val="center"/>
              <w:ind w:right="200"/>
              <w:spacing w:after="0" w:line="151" w:lineRule="exact"/>
              <w:rPr>
                <w:sz w:val="20"/>
                <w:szCs w:val="20"/>
                <w:color w:val="auto"/>
              </w:rPr>
            </w:pPr>
            <w:r>
              <w:rPr>
                <w:rFonts w:ascii="Arial" w:cs="Arial" w:eastAsia="Arial" w:hAnsi="Arial"/>
                <w:sz w:val="14"/>
                <w:szCs w:val="14"/>
                <w:b w:val="1"/>
                <w:bCs w:val="1"/>
                <w:color w:val="auto"/>
                <w:w w:val="87"/>
              </w:rPr>
              <w:t>For the Six Months Ended September 30,</w:t>
            </w:r>
          </w:p>
        </w:tc>
      </w:tr>
      <w:tr>
        <w:trPr>
          <w:trHeight w:val="159"/>
        </w:trPr>
        <w:tc>
          <w:tcPr>
            <w:tcW w:w="3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(dollars in thousands)</w:t>
            </w:r>
          </w:p>
        </w:tc>
        <w:tc>
          <w:tcPr>
            <w:tcW w:w="18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Energy Management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29,252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(2,211)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(4,414)</w:t>
            </w:r>
          </w:p>
        </w:tc>
      </w:tr>
      <w:tr>
        <w:trPr>
          <w:trHeight w:val="27"/>
        </w:trPr>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(7,682)</w:t>
            </w:r>
          </w:p>
        </w:tc>
      </w:tr>
      <w:tr>
        <w:trPr>
          <w:trHeight w:val="20"/>
        </w:trPr>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8"/>
        </w:trPr>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1"/>
              </w:rPr>
              <w:t>Total Assets</w:t>
            </w:r>
          </w:p>
        </w:tc>
        <w:tc>
          <w:tcPr>
            <w:tcW w:w="100" w:type="dxa"/>
            <w:vAlign w:val="bottom"/>
          </w:tcPr>
          <w:p>
            <w:pPr>
              <w:spacing w:after="0"/>
              <w:rPr>
                <w:sz w:val="24"/>
                <w:szCs w:val="2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Deferred Revenue</w:t>
            </w:r>
          </w:p>
        </w:tc>
      </w:tr>
      <w:tr>
        <w:trPr>
          <w:trHeight w:val="159"/>
        </w:trPr>
        <w:tc>
          <w:tcPr>
            <w:tcW w:w="3280" w:type="dxa"/>
            <w:vAlign w:val="bottom"/>
          </w:tcPr>
          <w:p>
            <w:pPr>
              <w:spacing w:after="0" w:line="159" w:lineRule="exact"/>
              <w:rPr>
                <w:sz w:val="20"/>
                <w:szCs w:val="20"/>
                <w:color w:val="auto"/>
              </w:rPr>
            </w:pPr>
            <w:r>
              <w:rPr>
                <w:rFonts w:ascii="Arial" w:cs="Arial" w:eastAsia="Arial" w:hAnsi="Arial"/>
                <w:sz w:val="14"/>
                <w:szCs w:val="14"/>
                <w:color w:val="auto"/>
              </w:rPr>
              <w:t>(dollars in thousands)</w:t>
            </w:r>
          </w:p>
        </w:tc>
        <w:tc>
          <w:tcPr>
            <w:tcW w:w="1820" w:type="dxa"/>
            <w:vAlign w:val="bottom"/>
          </w:tcPr>
          <w:p>
            <w:pPr>
              <w:spacing w:after="0"/>
              <w:rPr>
                <w:sz w:val="13"/>
                <w:szCs w:val="13"/>
                <w:color w:val="auto"/>
              </w:rPr>
            </w:pP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March 31, 2012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September 30, 2012</w:t>
            </w:r>
          </w:p>
        </w:tc>
        <w:tc>
          <w:tcPr>
            <w:tcW w:w="11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w w:val="94"/>
              </w:rPr>
              <w:t>March 31, 2012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5"/>
              </w:rPr>
              <w:t>September 30, 2012</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1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Energy Management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61,873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61,754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r>
      <w:tr>
        <w:trPr>
          <w:trHeight w:val="20"/>
        </w:trPr>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this Form 10-Q as well as our audited consolidated financial statements and related notes included in our Annual Report on Form 10-K for the fiscal year ended March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2012 Annual Report filed on Form 10-K for the fiscal year ended March 31, 2012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Management Change and Strategic Refocus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September 2012, our Board of Directors elected John H. Scribante as our new Chief Executive Officer. Prior to his appointment, Mr. Scribante was the President of our Orion Engineered Systems division and had also served in executive sales management positions. As a result of this management change, we are refocusing our strategic initiatives to include: (i) enhancing and refocusing our sales organization with an emphasis on expanding our direct sales efforts; (ii) streamlining our product development initiatives with a focus on activities that will deliver the greatest return on our investment and disciplined product control releases versus a process of continuous development; and (iii) cost reduction initiatives to deliver profitability.</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fiscal 2013 second quarter, we recorded operating expenses related to reorganization costs and contractual commitments of $2.1 million, which included $1.7 million to general and administrative expenses and $0.4 million to sales and marketing expenses. Additionally, we recorded a $5.6 million non-cash income tax expense to establish a valuation allowance against our deferred tax assets.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part of our cost reduction initiatives, we recently identified additional cost containment initiatives which we believe will result in annualized cost reductions of $4.0 million. These initiatives include headcount reductions, material and component cost savings in our HIF lighting products and reductions in consulting and other discretionary spending. We intend to implement these cost reductions during the second half of fiscal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10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typically generate the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have more recently increased our product development activities surrounding light emitting diode, or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lighting strategy in the future.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have sold and installed more than 2,391,000 of our HIF lighting systems in over 8,477 facilities from December 1, 2001 through September 30, 2012. We have sold our products to 145 Fortune 500 companies, many of which have installed our HIF lighting systems in multiple facilities. Our top direct customers by revenue in fiscal 2012 included Coca-Cola Enterprises, Inc., International Paper Company, U.S. Foodservice, SYSCO Corp., and United Stationers, Inc.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fiscal year ends on March 31. We call our prior fiscal year which ended on March 31, 2012, “fiscal 2012”. We call our current fiscal year, which will end on March 31, 2013, “fiscal 2013.” Our fiscal first quarter ended on June 30, our fiscal second quarter ended on September 30, our fiscal third quarter ends on December 31 and our fiscal fourth quarter ends on March 31.</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of the recessed state of the global economy since 2009, especially as it has impacted capital equipment manufacturers, our results for the first half of fiscal 2013 continued to be adversely affected by lengthened customer sales cycles and sluggish customer capital spending. To address these difficult economic conditions, we implemented several cost reduction initiatives. During the first quarter of fiscal 2010, we implemented $3.2 million of annualized cost reductions.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 cost reductions beginning during the fiscal 2011 third quarter through reduction in general and administrative expenses and improved product margins for our HIF lighting systems. During fiscal 2012, in recognition of an improving economy compared to the previous year, we focused our efforts on activities to increase revenue. These investments included the creation of a telemarketing call center for the purpose of customer lead generation, the establishment of a sales office and hiring of personnel in Houston, Texas and headcount additions to our retail sales force and our Engineered Systems Division. Despite these recent investments into revenue generating activities, we have continued to experience a difficult capital spending environment during the first half of fiscal 2013.</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response to the constraints on our customers’ capital spending budgets, we have been aggressively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Additionally, we completed a $5.0 million OTA line of credit, of which we borrowed $3.2 million, for the purpose of funding OTA projects upon project completion and customer acceptance, for which we chose to hold the contracts internally. The OTA line of credit expired in September 2012 for new financing, but not for drawn amounts. We now have secured multiple funding sources for our OTA projects. In the future, we expect to use our external sources of funding for OTA projects that are available to us and reduce the number of projects funded internally or funded through bank debt. We expect that the number of customers who choose to purchase our systems by using our OTA financing program will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2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Despite these recent economic challenges, we remain optimistic about our long-term financial performance.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our cost reduction initiatives and the opportunity to increase gross margins through the leverage of our under-utilized manufacturing capacity.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report on Form 10-K for the fiscal year ended March 31, 2012 provides additional information about our business and operations.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2010 and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64% of our total revenue in fiscal 2012, not taking into consideration our renewable technologies revenue generated through our Orion Engineered Systems Division. During the first half of fiscal 2013, wholesale revenues accounted for approximately 58% of our total revenue, not taking into consideration our renewable technologies revenue generated through our Orion Engineered Systems Division, compared to 62% for the first half of fiscal 2012.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In the future, we intend to continue to selectively build out our retail sales force, focusing on geographic markets where we do not have a strong wholesale presence and the market contains a larger number of commercial and industrial facilities.</w:t>
      </w:r>
    </w:p>
    <w:p>
      <w:pPr>
        <w:spacing w:after="0" w:line="128"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acknowledgement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11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fiscal 2012, we recognized $10.2 million of revenue from 139 completed OTA contracts. For the three months ended September 30, 2012, we recognized $1.6 million of revenue from 33 completed contracts compared to $3.6 million from 29 completed contracts during the three months ended September 30, 2011. For the six months ended September 30, 2012, we recognized $3.4 million of revenue from 52 completed contracts compared to $6.5 million from 82 completed contracts for the six months ended September 30, 2011. In the future, we expect an increase in the volume of OTA contracts as our customers take advantage of the value proposition without incurring any up-front capital cost.</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2012, we recognized $0.6 million of revenue from completed PPAs. In the first half of fiscal 2013, we recognized $0.4 million of revenue from completed PPAs. As of September 30, 2012, we had signed one customer to two separate PPAs representing future potential discounted revenue streams of $2.7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September 30, 2012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Fiscal 2014</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Fiscal 2016</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Beyond</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87"/>
              </w:rPr>
              <w:t>Total expected future discounted revenue from PPAs</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60" w:type="dxa"/>
            <w:vAlign w:val="bottom"/>
            <w:vMerge w:val="restart"/>
          </w:tcPr>
          <w:p>
            <w:pPr>
              <w:jc w:val="right"/>
              <w:ind w:right="3152"/>
              <w:spacing w:after="0"/>
              <w:rPr>
                <w:sz w:val="20"/>
                <w:szCs w:val="20"/>
                <w:color w:val="auto"/>
              </w:rPr>
            </w:pPr>
            <w:r>
              <w:rPr>
                <w:rFonts w:ascii="Arial" w:cs="Arial" w:eastAsia="Arial" w:hAnsi="Arial"/>
                <w:sz w:val="18"/>
                <w:szCs w:val="18"/>
                <w:color w:val="auto"/>
                <w:w w:val="99"/>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For sales of our solar PV systems, which are governed by customer contracts that require us to deliver functioning solar power systems and are generally completed within three to 15 months,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0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dependence on individual key customers can vary from period to period as a result of the significant size of some of our solar PV projects. Our top 10 customers accounted for approximately 35% and 30% of our total revenue for the first half of fiscal 2012 and fiscal 2013, respectively. Two customers, individually, accounted for 14% and 15% of our total revenue in the first half of fiscal 2012. No customer accounted for more than 10% of our total revenue in the first half of fiscal 2013. To the extent that large solar PV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 (iii) the level of our wholesale sales; (iv) our ability to realize revenue from our services;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and budget cycles. As a result, our total revenue may be subject to quarterly variations and our total revenue for any particular fiscal quarter may not be indicative of future results.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and solar products and services where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September 30, 2012, we had a backlog of firm purchase orders of approximately $46.7 million, which included $41.6 million of solar PV orders, compared to $50.5 million as of June 30, 2012, which included $44.3 million of solar PV orders. We currently expect approximately $18.0 million of our September 30, 2012 backlog to be recognized as revenue in the second half of fiscal 2013 and the remainder in future fiscal years. We typically expect the non-solar portion of our backlog to be recognized as revenue within 90 days from receipt of order. Our solar PV orders are typically longer-term construction type projects and we expect revenue to be recognized over a period of between three and 24 months from receipt of order, dependent upon the size and complexity of the project. As a result of the increased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 aluminum; (ii)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Previously, we purchased most of our ballast and lamp components from a single supplier. Purchases from this supplier accounted for 12% of total cost of revenue for the first half of fiscal 2012. Currently, we purchase these components from multiple suppliers. For the first half of fiscal 2013, purchases from two suppliers accounted for 16% of total cost of revenue. Previously, we purchased most of our solar panels from one supplier for sales of our solar generating systems. Purchases from this supplier accounted for 25% of total cost of revenue for the first half of fiscal 2012. Currently, we have been able to obtain panels from multiple suppliers. For the first half of fiscal 2013, panel purchases from one supplier accounted for 6% of total cost of revenue.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2011 and fiscal 2012, we reduced headcounts and improved production product flow through the reengineering of our assembly stations.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 cost of revenue,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our gross profit may be subject to quarterly variation. Our gross profit as a percentage of total revenue, or gross margin, is affected by a number of factors, including: (i) our level of solar PV sales which have greater margin volatility due to recent decreases in product costs versus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 expenses; and (iii)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Personnel related costs are our largest operating expense. In fiscal 2012, we increased headcount in our sales areas for telemarketing and direct sales employees. In 2013, we expect to continue to selectively increase headcount in our sales areas.</w:t>
      </w:r>
    </w:p>
    <w:p>
      <w:pPr>
        <w:spacing w:after="0" w:line="10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fiscal 2012, we invested in sales expansion initiatives, including the creation of a telemarketing call center for the purpose of customer lead generation, the establishment of a sales office and hiring of personnel in Houston, Texas and headcount additions to our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retail sales force and our Engineered Systems Division. We expense all pre-sale costs incurred in connection with our sales process prior to obtaining a purchase order. These pre-sale costs may reduce our net income in a given period prior to recognizing any corresponding revenue. In the future, we intend to continue to invest in headcount additions to our retail sales force dependent upon geographic market opportunities and availability of sales talent. We also intend to continue investing in our research and development of new and enhanced energy management products and services.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recognize compensation expense for the fair value of our stock option and restricted stock awards granted over their related vesting period. We recognized $0.7 million for both the first half of fiscal 2012 and fiscal 2013. As a result of prior option and restricted stock grants, we expect to recognize an additional $4.2 million of stock-based compensation over a weighted average period of approximately seven years, including $0.7 million in the last six months of fiscal 2013.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0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previously incurred financing costs. We amortize deferred financing costs to interest expense over the life of the related debt instrument, ranging from five to ten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September 30, 2012, we had net operating loss carryforwards of approximately $11.5 million for federal tax purposes and $6.7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state tax purposes. Included in these loss carryforwards were $3.2 million for federal and $2.1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$1.3 million and state credit carryforwards of approximately $0.5 million. A valuation allowance of $5.6 million equaling the net deferred tax assets was established during the second quarter of fiscal 2013 due to the uncertainty of its realization value in the future. The determination of the realization of deferred tax assets requires considerable judgment including both positive and negative evidence in evaluating the need for a valuation allowance. Our negative evidence included a cumulative three year operating loss, an expected loss for fiscal year 2013 and limited visibility into future earnings. Our positive evidence included a strong backlog of orders; however, we determined that the current negative evidence outweighed the current positive evidence. We considered future taxable income and ongoing prudent and feasible tax planning strategies in assessing the need for the valuation allowance. In the event that we determine that the deferred tax assets are able to be realized, an adjustment to the deferred tax asset would increase income in the period such determination is made. A valuation allowance of $0.4 million had been previously set up for our state tax credits due to our state apportioned income and the potential expiration of the state tax credits due to the carryforward period. These federal and state net operating losses and credit carryforwards are available, subject to the discussion in the following paragraph, to offset future taxable income and, if not utilized, will begin to expire in varying amounts between 2019 and 2032.</w:t>
      </w:r>
    </w:p>
    <w:p>
      <w:pPr>
        <w:spacing w:after="0" w:line="12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There was no limitation that occurred for fiscal 2011 or fiscal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5"/>
              </w:rPr>
              <w:t>Six Months Ended September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Revenue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30,111</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$16,931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47,472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$ 30,511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Service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640" w:type="dxa"/>
            <w:vAlign w:val="bottom"/>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33,475</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51,696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21,447</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64.1%</w:t>
            </w:r>
          </w:p>
        </w:tc>
        <w:tc>
          <w:tcPr>
            <w:tcW w:w="580" w:type="dxa"/>
            <w:vAlign w:val="bottom"/>
          </w:tcPr>
          <w:p>
            <w:pPr>
              <w:jc w:val="right"/>
              <w:spacing w:after="0"/>
              <w:rPr>
                <w:sz w:val="20"/>
                <w:szCs w:val="20"/>
                <w:color w:val="auto"/>
              </w:rPr>
            </w:pPr>
            <w:r>
              <w:rPr>
                <w:rFonts w:ascii="Arial" w:cs="Arial" w:eastAsia="Arial" w:hAnsi="Arial"/>
                <w:sz w:val="18"/>
                <w:szCs w:val="18"/>
                <w:color w:val="auto"/>
              </w:rPr>
              <w:t>11,867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33,039</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63.9%</w:t>
            </w:r>
          </w:p>
        </w:tc>
        <w:tc>
          <w:tcPr>
            <w:tcW w:w="640" w:type="dxa"/>
            <w:vAlign w:val="bottom"/>
          </w:tcPr>
          <w:p>
            <w:pPr>
              <w:jc w:val="right"/>
              <w:spacing w:after="0"/>
              <w:rPr>
                <w:sz w:val="20"/>
                <w:szCs w:val="20"/>
                <w:color w:val="auto"/>
              </w:rPr>
            </w:pPr>
            <w:r>
              <w:rPr>
                <w:rFonts w:ascii="Arial" w:cs="Arial" w:eastAsia="Arial" w:hAnsi="Arial"/>
                <w:sz w:val="18"/>
                <w:szCs w:val="18"/>
                <w:color w:val="auto"/>
              </w:rPr>
              <w:t>21,464</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24,094</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72.0%</w:t>
            </w:r>
          </w:p>
        </w:tc>
        <w:tc>
          <w:tcPr>
            <w:tcW w:w="580" w:type="dxa"/>
            <w:vAlign w:val="bottom"/>
          </w:tcPr>
          <w:p>
            <w:pPr>
              <w:jc w:val="right"/>
              <w:spacing w:after="0"/>
              <w:rPr>
                <w:sz w:val="20"/>
                <w:szCs w:val="20"/>
                <w:color w:val="auto"/>
              </w:rPr>
            </w:pPr>
            <w:r>
              <w:rPr>
                <w:rFonts w:ascii="Arial" w:cs="Arial" w:eastAsia="Arial" w:hAnsi="Arial"/>
                <w:sz w:val="18"/>
                <w:szCs w:val="18"/>
                <w:color w:val="auto"/>
              </w:rPr>
              <w:t>13,603</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70.1%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36,308</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70.2%</w:t>
            </w:r>
          </w:p>
        </w:tc>
        <w:tc>
          <w:tcPr>
            <w:tcW w:w="640" w:type="dxa"/>
            <w:vAlign w:val="bottom"/>
          </w:tcPr>
          <w:p>
            <w:pPr>
              <w:jc w:val="right"/>
              <w:spacing w:after="0"/>
              <w:rPr>
                <w:sz w:val="20"/>
                <w:szCs w:val="20"/>
                <w:color w:val="auto"/>
              </w:rPr>
            </w:pPr>
            <w:r>
              <w:rPr>
                <w:rFonts w:ascii="Arial" w:cs="Arial" w:eastAsia="Arial" w:hAnsi="Arial"/>
                <w:sz w:val="18"/>
                <w:szCs w:val="18"/>
                <w:color w:val="auto"/>
              </w:rPr>
              <w:t>24,540</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15,388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2,725</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580" w:type="dxa"/>
            <w:vAlign w:val="bottom"/>
          </w:tcPr>
          <w:p>
            <w:pPr>
              <w:jc w:val="right"/>
              <w:spacing w:after="0"/>
              <w:rPr>
                <w:sz w:val="20"/>
                <w:szCs w:val="20"/>
                <w:color w:val="auto"/>
              </w:rPr>
            </w:pPr>
            <w:r>
              <w:rPr>
                <w:rFonts w:ascii="Arial" w:cs="Arial" w:eastAsia="Arial" w:hAnsi="Arial"/>
                <w:sz w:val="18"/>
                <w:szCs w:val="18"/>
                <w:color w:val="auto"/>
              </w:rPr>
              <w:t>4,638</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5,800</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640" w:type="dxa"/>
            <w:vAlign w:val="bottom"/>
          </w:tcPr>
          <w:p>
            <w:pPr>
              <w:jc w:val="right"/>
              <w:spacing w:after="0"/>
              <w:rPr>
                <w:sz w:val="20"/>
                <w:szCs w:val="20"/>
                <w:color w:val="auto"/>
              </w:rPr>
            </w:pPr>
            <w:r>
              <w:rPr>
                <w:rFonts w:ascii="Arial" w:cs="Arial" w:eastAsia="Arial" w:hAnsi="Arial"/>
                <w:sz w:val="18"/>
                <w:szCs w:val="18"/>
                <w:color w:val="auto"/>
              </w:rPr>
              <w:t>7,940</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580" w:type="dxa"/>
            <w:vAlign w:val="bottom"/>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640" w:type="dxa"/>
            <w:vAlign w:val="bottom"/>
          </w:tcPr>
          <w:p>
            <w:pPr>
              <w:jc w:val="right"/>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(237)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Dividend and 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(4,028)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(268.0)%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(7,542)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(9,659)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(11,599)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$30.1 million for the fiscal 2012 second quarter to $16.9 million for the fiscal 2013 second quarter,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$13.2 million, or 44%. The decrease in product revenue was a result of decreased sales of our renewable energy systems and HIF lighting systems. During the first half of fiscal 2012, we had two large solar PV projects under construction and did not have similar size projects under construction during the first half of fiscal 2013. Service revenue decreased from $3.4 million for the fiscal 2012 second quarter to $2.5 million for the fiscal 2013 second quarter, a decrease of $0.9 million, or 26%. The decrease in service revenue was a result of the related service revenue from the decrease in sales of solar renewable energy systems. Total revenue from renewable energy systems was $2.8 million for the fiscal 2013 second quarter compared to $16.0 million for the fiscal 2012 second quarter, a decrease of $13.2 million or 83%. Product revenue decreased from $47.5 million for the first half of fiscal 2012 to $30.5 million for the first half of fiscal 2013, a decrease of $17.0 million, or 36%. Service revenue of $4.2 million for the first half of fiscal 2012 was similar to service revenue for the first half of fiscal 2013. Total revenue from renewable energy systems was $5.5 million for the first half of fiscal 2013 compared to $17.2 million for the first half of fiscal 2012, a decrease of $11.7 million, or 68%.</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from $21.4 million for the fiscal 2012 second quarter to $11.9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2013 second quarter, a decrease of $9.6 million, or 45%. Our cost of service revenue decreased from $2.6 million for the fiscal 2012 second quarter to $1.7 million for the fiscal 2013 second quarter, a decrease of $0.9 million, or 34%. Gross margin increased from 28.0% for the fiscal 2012 second quarter to 29.9% for the fiscal 2013 second quarter. For the fiscal 2013 second quarter, our gross margin percentage increased due to improved margins on solar PV projects from our Orion Engineered Systems Division. Our gross margin percentage on renewable revenues from this division was 27.1% during the fiscal 2013 second quarter compared to 19.0% for the fiscal 2012 second quarter. Gross margin from our HIF integrated systems revenue for the 2013 second quarter was 30.4% compared to 36.3% for the fiscal 2012 second quarter. Our cost of product revenue decreased from $33.0 million for the first half of fiscal 2012 to $21.5 million for the first half of fiscal 2013, a decrease of $11.6 million, or 35%. Our cost of service revenue decreased from $3.3 million for the first half of fiscal 2012 to $3.1 million for the first half of fiscal 2013, a decrease of $0.2 million, or 6%. Total gross margin decreased from 29.8% for the first half of fiscal 2012 to 29.3% for the first half of fiscal 2013. For the first half of fiscal 2013, our decrease in total gross margin on product revenues versus the first half of fiscal 2012 was due to the reduced revenue from sales of our energy management systems and the impact of our fixed manufacturing costs on lower unit volumes of our HIF lighting energy management systems. Gross margins from the sale of our solar PV systems were 31.0% for the fiscal 2013 first half compared to 18.5% for the fiscal 2012 first half and our gross margins from the sale of our HIF energy management systems were 29.0% for the fiscal 2013 first half compared to 35.4% for the fiscal 2012 first half.</w:t>
      </w:r>
    </w:p>
    <w:p>
      <w:pPr>
        <w:spacing w:after="0" w:line="12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from $2.7 million for the fiscal 2012 second quarter to $4.6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2013 second quarter, an increase of $1.9 million, or 70%. The increase in expenses was due to reorganization costs of $1.9 million related to management changes and cost reduction initiatives. Our general and administrative expenses increased from $5.8 million for the first half of fiscal 2012 to $7.9 million for the first half of fiscal 2013, an increase of $2.1 million, or 37%. The increase for the first half was due to reorganization expenses resulting from cost reduction initiatives and increased legal and audit expenses of $0.2 million related to the re-audit of our fiscal 2011 financial statements.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$3.7 million for the fiscal 2012 second quarter to $4.6 million for the fiscal 2013</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 increase of $0.9 million, or 24%. Our sales and marketing expenses increased from $7.5 million for the first half of fiscal 2012 to $8.5 million for the first half of fiscal 2013, an increase of $1.0 million, or 13%. The increase was due to reorganization expenses of $0.4 million and the full year impact of headcount additions from of our prior year investment into the formation and staffing of our telemarketing function, the establishment and staffing of our Houston technology center, headcount additions for retail sales and sales and project management to support the increase in our solar PV backlog. Total sales and marketing headcount was 93 and 115 at September 30, 2011 and 2012, respectively.</w:t>
      </w:r>
    </w:p>
    <w:p>
      <w:pPr>
        <w:sectPr>
          <w:pgSz w:w="11900" w:h="16838" w:orient="portrait"/>
          <w:cols w:equalWidth="0" w:num="1">
            <w:col w:w="11420"/>
          </w:cols>
          <w:pgMar w:left="240" w:top="459" w:right="239" w:bottom="873"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873"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increased from $0.6 million for the fiscal 2012 second quarter to $0.7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2013 second quarter, an increase of $0.1 million, or 20%. Our research and development expenses increased from $1.2 million for the first half of fiscal 2012 to $1.4 million for the first half of fiscal 2013, an increase of $0.2 million, or 16%. The increase was due to increased compensation expenses related to the development of new product offerings, including our light emitting diode, or LED, product and energy management controls initiatives.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decreased from $150,000 for the fiscal 2012 second quarter to $142,000 for the fiscal 2013 second quarter,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$8,000, or 5%. Our interest expense increased from $237,000 for the first half of fiscal 2012 to $303,000 for the first half of fiscal 2013, an increase of $66,000, or 28%. The increase in our interest expense was due to the full year impact of additional debt funding completed during fiscal 2012 for the purpose of financing our OTA projects.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slightly from $214,000 for the fiscal 2012 second quarter to $218,000 for the fiscal 2013 second quarter,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of $4,000 or 2%. Interest income increased from $368,000 for the first half of fiscal 2012 to $443,000 for the first half of fiscal 2013,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 or 20%. Interest income increased due to an increase in the number and dollar amount of completed OTA contracts and the related interest income under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financing terms.</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increased from $1.0 million for the fiscal 2012 second quarter to $5.6 million for the fiscal 2013 second quarter,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$4.6 million or 441%. Our income tax expense increased from $0.4 million for the first half of fiscal 2012 to $4.1 million for the first half of fiscal 2013, an increase of $3.6 million or 835%. During the fiscal 2013 second quarter, we recorded a valuation reserve against our deferred tax assets in the amount of $5.6 million due to the amount of our operating loss from operations for the fiscal 2013 first half and uncertainty of the realization value of these assets in the future. Our effective income tax rate for the first half of fiscal 2012 was 43.4%, compared to 53.8% for the half of fiscal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88"/>
              </w:rPr>
              <w:t>For the Three Months Ended September 30,</w:t>
            </w:r>
          </w:p>
        </w:tc>
        <w:tc>
          <w:tcPr>
            <w:tcW w:w="160" w:type="dxa"/>
            <w:vAlign w:val="bottom"/>
          </w:tcPr>
          <w:p>
            <w:pPr>
              <w:spacing w:after="0"/>
              <w:rPr>
                <w:sz w:val="14"/>
                <w:szCs w:val="14"/>
                <w:color w:val="auto"/>
              </w:rPr>
            </w:pPr>
          </w:p>
        </w:tc>
        <w:tc>
          <w:tcPr>
            <w:tcW w:w="2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8"/>
              </w:rPr>
              <w:t>For the Six Months Ended September 30,</w:t>
            </w:r>
          </w:p>
        </w:tc>
      </w:tr>
      <w:tr>
        <w:trPr>
          <w:trHeight w:val="161"/>
        </w:trPr>
        <w:tc>
          <w:tcPr>
            <w:tcW w:w="2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(dollars in thousands)</w:t>
            </w:r>
          </w:p>
        </w:tc>
        <w:tc>
          <w:tcPr>
            <w:tcW w:w="1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6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1,944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2,601</w:t>
            </w: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Energy Management segment revenue decreased $0.8 million, or 5%, from $17.5 million for the fiscal 2012 second quarter to $16.7 million for the fiscal 2013 second quarter. Energy Management segment revenue decreased $5.3 million, or 15%, from $34.5 million for the first half of fiscal 2012 to $29.3 million for the first half of fiscal 2013. The decrease in revenue for both the fiscal 2013 second quarter and year-to-date was due to reduced sales of our HIF lighting systems to our national account and wholesale customers due to a difficult capital spending environment.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Energy Management segment operating income decreased $2.4 million, or 123%, from operating income of $1.9 million for the fiscal 2012 second quarter to operating loss of $0.5 million for the fiscal 2013 second quarter. Energy Management segment operating income decreased $4.8 million, or 185%, from operating income of $2.6 million for the first half of fiscal 2012 to operating loss of $2.2 million for the first half of fiscal 2013. The decrease in operating income for both the fiscal 2013 second quarter and year-to-date was a result of decreased revenue, the negative gross margin impact of fixed costs in our manufacturing facility on reduced production volumes and the increase in selling expenses for our telemarketing and retail sales headcount additions.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89"/>
              </w:rPr>
              <w:t>For the Three Months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89"/>
              </w:rPr>
              <w:t>For the Six Months Ended September 30,</w:t>
            </w:r>
          </w:p>
        </w:tc>
      </w:tr>
      <w:tr>
        <w:trPr>
          <w:trHeight w:val="161"/>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1,590</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795</w:t>
            </w:r>
          </w:p>
        </w:tc>
        <w:tc>
          <w:tcPr>
            <w:tcW w:w="520" w:type="dxa"/>
            <w:vAlign w:val="bottom"/>
          </w:tcPr>
          <w:p>
            <w:pPr>
              <w:spacing w:after="0"/>
              <w:rPr>
                <w:sz w:val="18"/>
                <w:szCs w:val="18"/>
                <w:color w:val="auto"/>
              </w:rPr>
            </w:pPr>
          </w:p>
        </w:tc>
        <w:tc>
          <w:tcPr>
            <w:tcW w:w="5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363"/>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Engineered Systems segment revenue decreased $13.2 million, or 83%, from $16.0 million for the fiscal 2012 second quarter to $2.8 million for the fiscal 2013 second quarter. Engineered Systems segment revenue decreased $11.7 million, or 68%, from $17.2 million for the first half of fiscal 2012 to $5.5 million for the first half of fiscal 2013. The decrease was due to decreased sales of solar renewable technologies for the fiscal 2013 second quarter and the first half of fiscal 2013. During the same periods of fiscal 2012, we had two large solar PV projects under construction.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Engineered Systems segment operating income decreased $2.3 million, or 142%, from operating income of $1.6 million for the fiscal 2012 second quarter to operating loss of $0.7 million for the fiscal 2013 second quarter. Engineered Systems segment operating income decreased $1.9 million, or 233%, from operating income of $0.8 million for the first half of fiscal 2012 to operating loss of $1.1 million for the first half of fiscal 2013. The increase in operating loss for both the quarter and year-to-date was a result of the decreased revenue volume and resulting contribution margin from sales of solar renewable energy systems.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had approximately $13.2 million in cash and cash equivalents and $1.0 million in short-term investments as of September 30, 2012, compared to $23.0 million and $1.0 million at March 31, 2012. Our cash equivalents are invested in money market accounts with maturities of less than 90 days and an average yield of 0.24%. Our short-term investment account consists of a bank certificate of deposit in the amount of $1.0 million with an expiration date of December 2012 and a yield of 0.50%. Additionally, as of September 30, 2012, we had $13.3 million of borrowing availability under our revolving credit agreement. Our OTA credit agreement expired September 30, 2012 for new borrowings, but not for amounts previously drawn. We did not borrow on the OTA credit agreement during the first half of fiscal 2013. During the first half of fiscal 2013, we repurchased $4.5 million of our common stock and have a commitment to repurchase $1.5 million of our common stock during our fiscal 2013 third quarter. We do not intend to continue to repurchase our common stock in the near-term. We believe that our existing cash and cash equivalents, our anticipated cash flows from operating activities and our borrowing capacity under our revolving credit facility will be sufficient to meet our anticipated cash needs for at least the next 12 months, dependent upon our growth opportunities with our cash and finance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six months ended September 30, 2011 and 2012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7"/>
              </w:rPr>
              <w:t>(2,327)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w w:val="98"/>
              </w:rPr>
              <w:t>(1,774)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(5,696)</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3,999</w:t>
            </w:r>
          </w:p>
        </w:tc>
        <w:tc>
          <w:tcPr>
            <w:tcW w:w="360" w:type="dxa"/>
            <w:vAlign w:val="bottom"/>
          </w:tcPr>
          <w:p>
            <w:pPr>
              <w:spacing w:after="0"/>
              <w:rPr>
                <w:sz w:val="19"/>
                <w:szCs w:val="19"/>
                <w:color w:val="auto"/>
              </w:rPr>
            </w:pPr>
          </w:p>
        </w:tc>
        <w:tc>
          <w:tcPr>
            <w:tcW w:w="5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w w:val="98"/>
              </w:rPr>
              <w:t>(9,797)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for the first half of fiscal 2013 was $2.3 million and consisted of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changes in operating assets and liabilities of $2.4 million and a net loss adjusted for non-cash expense items of $4.7 million. Cash provided by changes in operating assets and liabilities consisted of a decrease of $0.5 million in total accounts receivable due to customer collections and reduced revenue during the first half, an increase in accounts payable of $0.9 million due to vendor payment terms, an increase in accrued expenses of $2.0 million due to the timing of payments and a $1.2 million increase in deferred revenue due to customer deposit payments received. Cash used from changes in operating assets and liabilities included a $0.2 million increase in inventory for purchases of raw material components and a $2.6 million increase in deferred contract costs for product costs incurred on projects where the performance criteria for revenue recognition has not yet occurred.</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Cash provided by operating activities for the first half of fiscal 2012, was $1.4 million and consisted of net cash of $1.3 million used for changes in operating assets and liabilities offset by net income adjusted for non-cash expense items of $2.7 million.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provided by changes in operating assets and liabilities consisted of a decrease of $3.3 million in total accounts receivable due to customer payments received during the quarter and a $6.7 million decrease in deferred contract costs due to project completions and cost recognition on solar PV systems. Cash used for changes in operating assets and liabilities included a $3.2 million increase in inventory for purchases of solar panel inventory and increases in our work-in-process and lighting fixture inventories for orders that are expected to ship during the fiscal 2012 third quarter, a $2.3 million increase in prepaid and other expenses related to deferred customer billings, a $3.9 million decrease in deferred revenue to project completions and a $2.1 million decrease in accounts payable due to vendor payments.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half of fiscal 2013, cash used in investing activities was $1.8 million. This included $1.7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improvements related to our product development, information technology systems, manufacturing improvements and facility investments and $0.1 million for investment in patent activities.</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For the first half of fiscal 2012, cash used in investing activities was $2.1 million. This included $2.0 million for capital improvements related to our information technology systems, manufacturing and tooling improvements and facility investments and $0.1 million for investment in patent activities.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For the first half of fiscal 2013, cash flows used in financing activities were $5.7 million. This included $4.5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used for common share repurchases and $1.4 million for repayment of long-term debt. Cash flows provided by financing activities included $0.2 million in debt proceeds and $0.1 million received from stock option exercises and for excess tax benefits from stock-based compensation.</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the first half of fiscal 2012, cash flows provided by financing activities were $4.7 million. This included $4.6 million in new debt borrowings to fund OTAs, $0.8 million for excess tax benefits from stock-based compensation and $0.1 million received from stock option and warrant exercises. Cash flows used in financing activities included $0.7 million for repayment of long-term debt and $0.1 million for debt closing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net working capital as of September 30, 2012 was $30.3 million, consisting of $58.6 million in current assets and $28.3 million in current liabilities. Our net working capital as of March 31, 2012 was $44.5 million, consisting of $67.2 million in current assets and $22.7 million in current liabilities. Our current accounts receivables increased from fiscal 2012 year-end by $0.3 million and our inventories increased from our fiscal 2012 year-end by $0.3 million due to an increase in lighting raw material inventories. During fiscal 2012, we had increased our inventories of fluorescent lamps due to concerns over shortages of rare earth minerals used in the production of fluorescent lamps. We believe that these supply shortage concerns have stabilized, but we continue to monitor them through conversations with our key vendors. Our accounts payable increased from our fiscal 2012 year end by $0.9 million due to increased inventory purchases and the timing of vendor payment terms.</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40" w:lineRule="exact"/>
        <w:rPr>
          <w:sz w:val="20"/>
          <w:szCs w:val="20"/>
          <w:color w:val="auto"/>
        </w:rPr>
      </w:pPr>
    </w:p>
    <w:p>
      <w:pPr>
        <w:jc w:val="both"/>
        <w:ind w:right="520" w:firstLine="456"/>
        <w:spacing w:after="0" w:line="268" w:lineRule="auto"/>
        <w:rPr>
          <w:sz w:val="20"/>
          <w:szCs w:val="20"/>
          <w:color w:val="auto"/>
        </w:rPr>
      </w:pPr>
      <w:r>
        <w:rPr>
          <w:rFonts w:ascii="Arial" w:cs="Arial" w:eastAsia="Arial" w:hAnsi="Arial"/>
          <w:sz w:val="18"/>
          <w:szCs w:val="18"/>
          <w:color w:val="auto"/>
        </w:rPr>
        <w:t>For the second half of fiscal 2013, we intend to focus our efforts to preserve cash by reducing expenses and by implementing conservative inventory purchasing strategies and reducing our overall inventories.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a credit agreement (Credit Agreement) with JP Morgan Chase Bank, N.A. (JP Morgan). The Credit Agreement provides for a revolving credit facility (Credit Facility) that matures on June 30, 2013.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The Credit Facility contains certain financial covenants, including minimum unencumbered liquidity requirements and requirements that the Company maintain a total liabilities to tangible net worth ratio not to exceed 0.50 to 1.00 as of the last day of any fiscal quarter. The Credit Facility also contains certain restrictions on our ability to make capital or lease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expenditures over prescribed limits, incur additional indebtedness, consolidate or merge, guarantee obligations of third parties, make loans or advances, declare or pay any dividend or distribution on our stock, redeem or repurchase shares of our stock or pledge assets. We also may cause JP Morgan to issue letters of credit for our account in the aggregate principal amount of up to $2.0 million, with the dollar amount of each issued letter of credit counting against the overall limit on borrowings under the Credit Facility. As of September 30, 2012, we had outstanding letters of credit totaling $1.7 million, primarily for securing collateral requirements under equipment operating leases. We had no outstanding borrowings under the Credit Facility as of March 31, 2012 or September 30, 2012. We were not in compliance with all covenants in the credit agreement as of September 30, 2012 and expect to receive a waiver from our bank for the covenant defaults.</w:t>
      </w:r>
    </w:p>
    <w:p>
      <w:pPr>
        <w:spacing w:after="0" w:line="14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PV and wind turbine systems or facilities, as well as all of our accounts receivable and assets related to the foregoing, are excluded from these liens.</w:t>
      </w:r>
    </w:p>
    <w:p>
      <w:pPr>
        <w:spacing w:after="0" w:line="10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Credit Agreement provides that we have the option to select whether borrowings under the Credit Facility will bear interest at either (i) a daily</w:t>
      </w:r>
    </w:p>
    <w:p>
      <w:pPr>
        <w:spacing w:after="0" w:line="3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borrowing LIBOR rate tied to a one-month maturity or (ii) a LIBOR rate tied to a maturity corresponding to an interest period selected plus, in the case of either</w:t>
      </w:r>
    </w:p>
    <w:p>
      <w:pPr>
        <w:spacing w:after="0" w:line="32" w:lineRule="exact"/>
        <w:rPr>
          <w:sz w:val="20"/>
          <w:szCs w:val="20"/>
          <w:color w:val="auto"/>
        </w:rPr>
      </w:pPr>
    </w:p>
    <w:p>
      <w:pPr>
        <w:ind w:right="220" w:firstLine="8"/>
        <w:spacing w:after="0" w:line="254"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(ii), a per annum rate spread of 2.00%, 2.50% or 3.00%, depending on the ratio of (A) earnings before interest, taxes, depreciation and amortization less income taxes pain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maintain funds on deposit with JP Morgan or its affiliates above a specified amount. The deposit threshold requirement was met as of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a credit agreement with JP Morgan that provides us with $5.0 million immediately available to fund completed customer contracts under our OTA finance program. We had one-year from the date of the commitment to borrow under the credit agreement, which expired on September 30, 2012 for new borrowing. Through September 2012, we have $2.4 million outstanding against the credit agreement. There were no new borrowings during the first half of fiscal 2013. The loan amount is collateralized by the OTA-related equipment and the expected future monthly payments under the supporting 39 individual OTA customer contracts. The current loan amount under the credit agreement bears interest at LIBOR plus 4% and matures in December 2016. The credit agreement includes certain financial covenants, including funded debt to EBITDA and debt service coverage ratios. We were not in compliance with all covenants in the credit agreement as of September 30, 2012 and expect to receive a waiver from our bank for the covenant defaults.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Capital expenditures totaled $1.7 million during the first half of fiscal 2013 due to investments in new product development, information technologies, training and research facility additions, as well as facility investments. We expect to incur approximately $0.6 to $0.8 million in capital expenditures during the remainder of fiscal 2013, excluding capital to support expected OTA growth. Our capital spending plans predominantly consist of further cost improvements in our manufacturing facility, new product development and investment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our long-term contractual obligations as of September 30, 2012 (dollars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1 Year</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1-3 Years</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3-5 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Bank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Purchase obligation(2)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1,477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 order and cap-ex commitments(1)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10,422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30,359</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16,291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$ 8,668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$12.6 million for certain inventory items entered into in order to secure better pricing and ensure materials on hand.</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$1.5 million for contractual agreement to repurchase outstanding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2012. There have been no material changes in any of our accounting policies since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exposure to market risk was discussed in the “Quantitative and Qualitative Disclosures About Market Risk” section contained in our Annual Report on Form 10-K for the year ended March 31, 2012. There have been no material changes to such exposures since March 31,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2012 pursuant to Rule 13a-15(b) of the Exchange Act of 1934 (the “Exchange Act”). Our Chief Executive Officer and our Chief Financial Officer concluded that our disclosure controls and procedures were effective as of September 30, 2012.</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2012 that has materially affected, or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previously disclosed, in August 2012, the Company received a subpoena issued by the staff of the Securities and Exchange Commission ("SEC") requesting certain documents and information generally related to the Company’s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2012, which we filed with the SEC on June 14, 2012. During the six months ended September 30, 2012, there were no material changes to the risk factors that were disclosed in Part I — Item 1A under the heading “Risk Factors” in our Annual Report on Form 10-K for the fiscal year ended March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stock repurchases for the three-month period ended September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 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4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Approximate Dollar Value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4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of Shares that May Yet Be</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840" w:type="dxa"/>
            <w:vAlign w:val="bottom"/>
            <w:vMerge w:val="restart"/>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Announced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Purchased Under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60" w:type="dxa"/>
            <w:vAlign w:val="bottom"/>
          </w:tcPr>
          <w:p>
            <w:pPr>
              <w:spacing w:after="0"/>
              <w:rPr>
                <w:sz w:val="14"/>
                <w:szCs w:val="14"/>
                <w:color w:val="auto"/>
              </w:rPr>
            </w:pPr>
          </w:p>
        </w:tc>
        <w:tc>
          <w:tcPr>
            <w:tcW w:w="1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5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Plans or Programs(1)</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 July 31, 2012</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333,402</w:t>
            </w: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2.24</w:t>
            </w:r>
          </w:p>
        </w:tc>
        <w:tc>
          <w:tcPr>
            <w:tcW w:w="6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333,402</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3,551,000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August 1 - August 31, 2012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572,450</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6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572,450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2,277,000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2012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2,242,000</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924,852</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924,852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30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27, 2012, we announced that our board of directors had authorized the repurchase, in the aggregate, of a maximum of $7.5 million of our outstanding common stock. We have a commitment to repurchase $1.5 million of our common stock during our fiscal 2013 third quarter. Following the $1.5 million repurchase, we do not intend to continue to repurchase our common stock in the near-term.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presents certain statistical data, cumulative from December 1, 2001 through September 30, 2012,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52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0"/>
              </w:rPr>
              <w:t>Cumulative From</w:t>
            </w:r>
          </w:p>
        </w:tc>
      </w:tr>
      <w:tr>
        <w:trPr>
          <w:trHeight w:val="149"/>
        </w:trPr>
        <w:tc>
          <w:tcPr>
            <w:tcW w:w="6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December 1, 2001</w:t>
            </w:r>
          </w:p>
        </w:tc>
      </w:tr>
      <w:tr>
        <w:trPr>
          <w:trHeight w:val="149"/>
        </w:trPr>
        <w:tc>
          <w:tcPr>
            <w:tcW w:w="6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6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6240" w:type="dxa"/>
            <w:vAlign w:val="bottom"/>
          </w:tcPr>
          <w:p>
            <w:pPr>
              <w:spacing w:after="0"/>
              <w:rPr>
                <w:sz w:val="14"/>
                <w:szCs w:val="14"/>
                <w:color w:val="auto"/>
              </w:rPr>
            </w:pPr>
          </w:p>
        </w:tc>
        <w:tc>
          <w:tcPr>
            <w:tcW w:w="146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r>
      <w:tr>
        <w:trPr>
          <w:trHeight w:val="129"/>
        </w:trPr>
        <w:tc>
          <w:tcPr>
            <w:tcW w:w="6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6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 (1)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3,284</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 (2)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Customer kilowatt hours saved (2)(3)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23,389,645</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 (4)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1,799,874</w:t>
            </w:r>
          </w:p>
        </w:tc>
        <w:tc>
          <w:tcPr>
            <w:tcW w:w="60" w:type="dxa"/>
            <w:vAlign w:val="bottom"/>
            <w:shd w:val="clear" w:color="auto" w:fill="CCEEFF"/>
          </w:tcPr>
          <w:p>
            <w:pPr>
              <w:spacing w:after="0"/>
              <w:rPr>
                <w:sz w:val="18"/>
                <w:szCs w:val="18"/>
                <w:color w:val="auto"/>
              </w:rPr>
            </w:pPr>
          </w:p>
        </w:tc>
      </w:tr>
      <w:tr>
        <w:trPr>
          <w:trHeight w:val="208"/>
        </w:trPr>
        <w:tc>
          <w:tcPr>
            <w:tcW w:w="6240" w:type="dxa"/>
            <w:vAlign w:val="bottom"/>
          </w:tcPr>
          <w:p>
            <w:pPr>
              <w:spacing w:after="0"/>
              <w:rPr>
                <w:sz w:val="20"/>
                <w:szCs w:val="20"/>
                <w:color w:val="auto"/>
              </w:rPr>
            </w:pPr>
            <w:r>
              <w:rPr>
                <w:rFonts w:ascii="Arial" w:cs="Arial" w:eastAsia="Arial" w:hAnsi="Arial"/>
                <w:sz w:val="18"/>
                <w:szCs w:val="18"/>
                <w:color w:val="auto"/>
                <w:w w:val="94"/>
              </w:rPr>
              <w:t>Indirect carbon dioxide emission reductions from customers’ energy savings (tons)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15,367</w:t>
            </w:r>
          </w:p>
        </w:tc>
        <w:tc>
          <w:tcPr>
            <w:tcW w:w="60" w:type="dxa"/>
            <w:vAlign w:val="bottom"/>
          </w:tcPr>
          <w:p>
            <w:pPr>
              <w:spacing w:after="0"/>
              <w:rPr>
                <w:sz w:val="19"/>
                <w:szCs w:val="19"/>
                <w:color w:val="auto"/>
              </w:rPr>
            </w:pP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 (6)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1,241,271</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3.3 million units).</w:t>
      </w:r>
    </w:p>
    <w:p>
      <w:pPr>
        <w:spacing w:after="0" w:line="6"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2011, which is the most current full year for which this information is available, was $0.1002 per kilowatt hour according to the United States Energy Information Administration.</w:t>
      </w:r>
    </w:p>
    <w:p>
      <w:pPr>
        <w:spacing w:after="0" w:line="1" w:lineRule="exact"/>
        <w:rPr>
          <w:rFonts w:ascii="Arial" w:cs="Arial" w:eastAsia="Arial" w:hAnsi="Arial"/>
          <w:sz w:val="18"/>
          <w:szCs w:val="18"/>
          <w:color w:val="auto"/>
        </w:rPr>
      </w:pPr>
    </w:p>
    <w:p>
      <w:pPr>
        <w:jc w:val="both"/>
        <w:ind w:left="460" w:right="6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1"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3.3 million total units sold, which contain a total of approximately 16.5 million lamps. Each lamp illuminates approximately 75 square feet. The majority of our installed fixtures contain six lamps and typically illuminate approximately 450 square feet.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Departure of Directors or Certain Officers; Election of Directors; Appointment of Certain Officers; Compensatory Arrangements of Certain Officers.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Employment and Severance Agreements</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Effective November 9, 2012, Orion Energy Systems, Inc. (the “Company”) entered into an Executive Employment and Severance Agreement (the “Employment Agreement”) with Scott R. Jensen, the Company’s Chief Financial Officer, Chief Accounting Officer and Treasurer.</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Employment Agreement is for an initial term through September 30, 2013, after which the Employment Agreement will be renewed for successive one-year periods unless the Company provides notice of non-renewal prior to the end of the applicable term. The Employment Agreement provides for an annual base salary of $255,000 and for participation by Mr. Jensen in the Company’s annual and/or long-term bonus plans as well as the Company’s employee benefit plans made available to other senior executives.</w:t>
      </w:r>
    </w:p>
    <w:p>
      <w:pPr>
        <w:spacing w:after="0" w:line="143"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The Employment Agreement also provides that Mr. Jensen is entitled to certain severance payments and other benefits upon a qualifying employment termination, including certain enhanced protections under such circumstances occurring after a “Change of Control” (as defined in the Employment Agreement) of the Company. If Mr. Jensen’s employment is terminated without “Cause” (as defined in the Employment Agreement) or for “Good Reason” (as defined in the Employment Agreement) prior to the end of the employment period, Mr. Jensen will be entitled to a severance benefit payable over an 18-month period equal to the sum of his base salary plus the average of the prior three years’ bonuses and COBRA premiums at the active employee rate for the duration of the executive’s COBRA continuation coverage period. If Mr. Jensen is terminated without “Cause” or for “Good Reason” following a “Change of Control” prior to the end of the employment period, Mr. Jensen will be entitled to a severance benefit payable over an 18-month</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period equal to two times the sum of his base salary plus the average of the prior three years’ bonuses and COBRA premiums at the active employee rate for the duration of the executive’s COBRA continuation coverage period. To receive these benefits, Mr. Jensen must execute and deliver to the Company (and not revoke) a general release of claims. The Employment Agreement also requires Mr. Jensen not to, during the term of the employment and for following the termination of employment, (i) disclose any confidential information of the Company, (ii) compete with the Company (for a term of 18 months following termination of employment) or (iii) solicit the employees or other persons with business relationships with the Company (for a term of 18 months following termination of employment).</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Also effective November 9, 2012, the Company entered into a letter agreement (the “Letter Agreement”) with Michael J. Potts, the Company’s President and Chief Operating Officer, amending the Executive Employment and Severance Agreement, dated February 21, 2008, between the Company and Mr. Potts. The Letter Agreement increased the base salary of Mr. Potts from $275,000 to $280,000, waived any prior or existing “Good Reason” termination right that Mr. Potts may have had under the Executive Employment and Severance Agreement and amended and restated the definition of “Good Reason” in the Executive Employment and Severance Agreement. Except as expressly modified by the Letter Agreement, the Executive Employment and Severance Agreement will continue in effect in accordance with its terms.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 copy of the Employment Agreement and Letter Agreement are attached hereto as Exhibits 10.13 and 10.14, respectively, and are incorporated by reference herein.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Second Half of Fiscal 2013 Incentive Cash Bonus Program</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November 9, 2012, the Company’s Compensation Committee approved a new incentive cash bonus program for the second half of fiscal 2013 in replacement of the existing fiscal 2013 incentive bonus program. The new incentive cash bonus program provides a cash bonus opportunity to named executive officers and other key employees based on the Company’s relative achievement, in the second half of fiscal 2013, of target operating income (before bonuses and other extraordinary or unusual items) and target cost containment initiatives.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new program, 50% of the target bonus payments will be based on the Company’s relative achievement of its cost containment target of $1.48 million for the second half of fiscal 2013. For every $1.00 of cost containment achieved, a bonus pool of $0.167 will be earned, up to a maximum total bonus pool of $247,000 for all employees. The other 50% of the target bonus payments will be based on the Company achieving operating income (before bonuses and other extraordinary or unusual items) of $500,000 for the second half of fiscal 2013. For every $1.00 of operating profit achieved, a bonus pool of $0.50 will be earned, up to a maximum total bonus pool of $247,000 for all employees. The Compensation Committee established a target maximum bonus for each of the Company’s named executive officers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760" w:type="dxa"/>
            <w:vAlign w:val="bottom"/>
          </w:tcPr>
          <w:p>
            <w:pPr>
              <w:jc w:val="center"/>
              <w:ind w:left="1700"/>
              <w:spacing w:after="0"/>
              <w:rPr>
                <w:sz w:val="20"/>
                <w:szCs w:val="20"/>
                <w:color w:val="auto"/>
              </w:rPr>
            </w:pPr>
            <w:r>
              <w:rPr>
                <w:rFonts w:ascii="Arial" w:cs="Arial" w:eastAsia="Arial" w:hAnsi="Arial"/>
                <w:sz w:val="14"/>
                <w:szCs w:val="14"/>
                <w:b w:val="1"/>
                <w:bCs w:val="1"/>
                <w:color w:val="auto"/>
                <w:w w:val="88"/>
              </w:rPr>
              <w:t>Target</w:t>
            </w:r>
          </w:p>
        </w:tc>
        <w:tc>
          <w:tcPr>
            <w:tcW w:w="300" w:type="dxa"/>
            <w:vAlign w:val="bottom"/>
          </w:tcPr>
          <w:p>
            <w:pPr>
              <w:spacing w:after="0"/>
              <w:rPr>
                <w:sz w:val="14"/>
                <w:szCs w:val="14"/>
                <w:color w:val="auto"/>
              </w:rPr>
            </w:pPr>
          </w:p>
        </w:tc>
        <w:tc>
          <w:tcPr>
            <w:tcW w:w="780" w:type="dxa"/>
            <w:vAlign w:val="bottom"/>
          </w:tcPr>
          <w:p>
            <w:pPr>
              <w:jc w:val="right"/>
              <w:ind w:right="338"/>
              <w:spacing w:after="0"/>
              <w:rPr>
                <w:sz w:val="20"/>
                <w:szCs w:val="20"/>
                <w:color w:val="auto"/>
              </w:rPr>
            </w:pPr>
            <w:r>
              <w:rPr>
                <w:rFonts w:ascii="Arial" w:cs="Arial" w:eastAsia="Arial" w:hAnsi="Arial"/>
                <w:sz w:val="14"/>
                <w:szCs w:val="14"/>
                <w:b w:val="1"/>
                <w:bCs w:val="1"/>
                <w:color w:val="auto"/>
              </w:rPr>
              <w:t>Cost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760" w:type="dxa"/>
            <w:vAlign w:val="bottom"/>
          </w:tcPr>
          <w:p>
            <w:pPr>
              <w:jc w:val="center"/>
              <w:ind w:left="1680"/>
              <w:spacing w:after="0" w:line="149" w:lineRule="exact"/>
              <w:rPr>
                <w:sz w:val="20"/>
                <w:szCs w:val="20"/>
                <w:color w:val="auto"/>
              </w:rPr>
            </w:pPr>
            <w:r>
              <w:rPr>
                <w:rFonts w:ascii="Arial" w:cs="Arial" w:eastAsia="Arial" w:hAnsi="Arial"/>
                <w:sz w:val="14"/>
                <w:szCs w:val="14"/>
                <w:b w:val="1"/>
                <w:bCs w:val="1"/>
                <w:color w:val="auto"/>
                <w:w w:val="92"/>
              </w:rPr>
              <w:t>Maximum</w:t>
            </w:r>
          </w:p>
        </w:tc>
        <w:tc>
          <w:tcPr>
            <w:tcW w:w="10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Containment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6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60" w:type="dxa"/>
            <w:vAlign w:val="bottom"/>
          </w:tcPr>
          <w:p>
            <w:pPr>
              <w:jc w:val="center"/>
              <w:ind w:left="1680"/>
              <w:spacing w:after="0"/>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4"/>
                <w:szCs w:val="14"/>
                <w:color w:val="auto"/>
              </w:rPr>
            </w:pPr>
          </w:p>
        </w:tc>
        <w:tc>
          <w:tcPr>
            <w:tcW w:w="780" w:type="dxa"/>
            <w:vAlign w:val="bottom"/>
          </w:tcPr>
          <w:p>
            <w:pPr>
              <w:jc w:val="right"/>
              <w:ind w:right="278"/>
              <w:spacing w:after="0"/>
              <w:rPr>
                <w:sz w:val="20"/>
                <w:szCs w:val="20"/>
                <w:color w:val="auto"/>
              </w:rPr>
            </w:pPr>
            <w:r>
              <w:rPr>
                <w:rFonts w:ascii="Arial" w:cs="Arial" w:eastAsia="Arial" w:hAnsi="Arial"/>
                <w:sz w:val="14"/>
                <w:szCs w:val="14"/>
                <w:b w:val="1"/>
                <w:bCs w:val="1"/>
                <w:color w:val="auto"/>
              </w:rPr>
              <w:t>(50%)</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John Scribante</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27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$230,000</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2"/>
              </w:rPr>
              <w:t>115,000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99"/>
              </w:rPr>
              <w:t>$ 115,000</w:t>
            </w:r>
          </w:p>
        </w:tc>
        <w:tc>
          <w:tcPr>
            <w:tcW w:w="0" w:type="dxa"/>
            <w:vAlign w:val="bottom"/>
          </w:tcPr>
          <w:p>
            <w:pPr>
              <w:spacing w:after="0"/>
              <w:rPr>
                <w:sz w:val="1"/>
                <w:szCs w:val="1"/>
                <w:color w:val="auto"/>
              </w:rPr>
            </w:pPr>
          </w:p>
        </w:tc>
      </w:tr>
      <w:tr>
        <w:trPr>
          <w:trHeight w:val="316"/>
        </w:trPr>
        <w:tc>
          <w:tcPr>
            <w:tcW w:w="6660" w:type="dxa"/>
            <w:vAlign w:val="bottom"/>
            <w:gridSpan w:val="2"/>
          </w:tcPr>
          <w:p>
            <w:pPr>
              <w:spacing w:after="0"/>
              <w:rPr>
                <w:sz w:val="20"/>
                <w:szCs w:val="20"/>
                <w:color w:val="auto"/>
              </w:rPr>
            </w:pPr>
            <w:r>
              <w:rPr>
                <w:rFonts w:ascii="Arial" w:cs="Arial" w:eastAsia="Arial" w:hAnsi="Arial"/>
                <w:sz w:val="18"/>
                <w:szCs w:val="18"/>
                <w:color w:val="auto"/>
              </w:rPr>
              <w:t>Mike Potts</w:t>
            </w: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President and Chief Operating Officer</w:t>
            </w:r>
          </w:p>
        </w:tc>
        <w:tc>
          <w:tcPr>
            <w:tcW w:w="2760" w:type="dxa"/>
            <w:vAlign w:val="bottom"/>
          </w:tcPr>
          <w:p>
            <w:pPr>
              <w:jc w:val="right"/>
              <w:ind w:right="80"/>
              <w:spacing w:after="0"/>
              <w:rPr>
                <w:sz w:val="20"/>
                <w:szCs w:val="20"/>
                <w:color w:val="auto"/>
              </w:rPr>
            </w:pPr>
            <w:r>
              <w:rPr>
                <w:rFonts w:ascii="Arial" w:cs="Arial" w:eastAsia="Arial" w:hAnsi="Arial"/>
                <w:sz w:val="18"/>
                <w:szCs w:val="18"/>
                <w:color w:val="auto"/>
              </w:rPr>
              <w:t>70,000</w:t>
            </w:r>
          </w:p>
        </w:tc>
        <w:tc>
          <w:tcPr>
            <w:tcW w:w="300" w:type="dxa"/>
            <w:vAlign w:val="bottom"/>
          </w:tcPr>
          <w:p>
            <w:pPr>
              <w:spacing w:after="0"/>
              <w:rPr>
                <w:sz w:val="20"/>
                <w:szCs w:val="20"/>
                <w:color w:val="auto"/>
              </w:rPr>
            </w:pPr>
          </w:p>
        </w:tc>
        <w:tc>
          <w:tcPr>
            <w:tcW w:w="780" w:type="dxa"/>
            <w:vAlign w:val="bottom"/>
          </w:tcPr>
          <w:p>
            <w:pPr>
              <w:jc w:val="right"/>
              <w:ind w:right="78"/>
              <w:spacing w:after="0"/>
              <w:rPr>
                <w:sz w:val="20"/>
                <w:szCs w:val="20"/>
                <w:color w:val="auto"/>
              </w:rPr>
            </w:pPr>
            <w:r>
              <w:rPr>
                <w:rFonts w:ascii="Arial" w:cs="Arial" w:eastAsia="Arial" w:hAnsi="Arial"/>
                <w:sz w:val="18"/>
                <w:szCs w:val="18"/>
                <w:color w:val="auto"/>
              </w:rPr>
              <w:t>35,000</w:t>
            </w: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Scott Jensen</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Financial Officer, Chief Accounting Officer and Treasurer</w:t>
            </w:r>
          </w:p>
        </w:tc>
        <w:tc>
          <w:tcPr>
            <w:tcW w:w="27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44,625</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22,313</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322"/>
        </w:trPr>
        <w:tc>
          <w:tcPr>
            <w:tcW w:w="6660" w:type="dxa"/>
            <w:vAlign w:val="bottom"/>
            <w:gridSpan w:val="2"/>
          </w:tcPr>
          <w:p>
            <w:pPr>
              <w:spacing w:after="0"/>
              <w:rPr>
                <w:sz w:val="20"/>
                <w:szCs w:val="20"/>
                <w:color w:val="auto"/>
              </w:rPr>
            </w:pPr>
            <w:r>
              <w:rPr>
                <w:rFonts w:ascii="Arial" w:cs="Arial" w:eastAsia="Arial" w:hAnsi="Arial"/>
                <w:sz w:val="18"/>
                <w:szCs w:val="18"/>
                <w:color w:val="auto"/>
              </w:rPr>
              <w:t>Other Key Performers (as determined by Chief Executive Officer)</w:t>
            </w:r>
          </w:p>
        </w:tc>
        <w:tc>
          <w:tcPr>
            <w:tcW w:w="2760" w:type="dxa"/>
            <w:vAlign w:val="bottom"/>
          </w:tcPr>
          <w:p>
            <w:pPr>
              <w:jc w:val="right"/>
              <w:ind w:right="80"/>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24"/>
                <w:szCs w:val="24"/>
                <w:color w:val="auto"/>
              </w:rPr>
            </w:pPr>
          </w:p>
        </w:tc>
        <w:tc>
          <w:tcPr>
            <w:tcW w:w="780" w:type="dxa"/>
            <w:vAlign w:val="bottom"/>
          </w:tcPr>
          <w:p>
            <w:pPr>
              <w:jc w:val="right"/>
              <w:ind w:right="78"/>
              <w:spacing w:after="0"/>
              <w:rPr>
                <w:sz w:val="20"/>
                <w:szCs w:val="20"/>
                <w:color w:val="auto"/>
              </w:rPr>
            </w:pPr>
            <w:r>
              <w:rPr>
                <w:rFonts w:ascii="Arial" w:cs="Arial" w:eastAsia="Arial" w:hAnsi="Arial"/>
                <w:sz w:val="18"/>
                <w:szCs w:val="18"/>
                <w:color w:val="auto"/>
              </w:rPr>
              <w:t>75,000</w:t>
            </w: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$494,625</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2"/>
              </w:rPr>
              <w:t>247,313</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$247,313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financial targets described above are not a prediction of how the Company will perform during fiscal year 2013. The purpose of the targets is to provide appropriate financial metrics to determine amounts of compensation under the Company’s incentive compensation program. The targets are not intended to serve, and should not be relied upon, as guidance or any other indication of the Company’s expected future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ind w:left="100"/>
              <w:spacing w:after="0"/>
              <w:rPr>
                <w:sz w:val="20"/>
                <w:szCs w:val="20"/>
                <w:color w:val="auto"/>
              </w:rPr>
            </w:pPr>
            <w:r>
              <w:rPr>
                <w:rFonts w:ascii="Arial" w:cs="Arial" w:eastAsia="Arial" w:hAnsi="Arial"/>
                <w:sz w:val="18"/>
                <w:szCs w:val="18"/>
                <w:color w:val="auto"/>
              </w:rPr>
              <w:t>10.13</w:t>
            </w:r>
          </w:p>
        </w:tc>
        <w:tc>
          <w:tcPr>
            <w:tcW w:w="10260" w:type="dxa"/>
            <w:vAlign w:val="bottom"/>
          </w:tcPr>
          <w:p>
            <w:pPr>
              <w:ind w:left="240"/>
              <w:spacing w:after="0"/>
              <w:rPr>
                <w:sz w:val="20"/>
                <w:szCs w:val="20"/>
                <w:color w:val="auto"/>
              </w:rPr>
            </w:pPr>
            <w:r>
              <w:rPr>
                <w:rFonts w:ascii="Arial" w:cs="Arial" w:eastAsia="Arial" w:hAnsi="Arial"/>
                <w:sz w:val="18"/>
                <w:szCs w:val="18"/>
                <w:color w:val="auto"/>
              </w:rPr>
              <w:t>Executive Employment and Severance Agreement, effective November 9, 2012 between the Company and Scott R. Jensen.</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10.14</w:t>
            </w:r>
          </w:p>
        </w:tc>
        <w:tc>
          <w:tcPr>
            <w:tcW w:w="10260" w:type="dxa"/>
            <w:vAlign w:val="bottom"/>
          </w:tcPr>
          <w:p>
            <w:pPr>
              <w:ind w:left="240"/>
              <w:spacing w:after="0"/>
              <w:rPr>
                <w:sz w:val="20"/>
                <w:szCs w:val="20"/>
                <w:color w:val="auto"/>
              </w:rPr>
            </w:pPr>
            <w:r>
              <w:rPr>
                <w:rFonts w:ascii="Arial" w:cs="Arial" w:eastAsia="Arial" w:hAnsi="Arial"/>
                <w:sz w:val="18"/>
                <w:szCs w:val="18"/>
                <w:color w:val="auto"/>
              </w:rPr>
              <w:t>Letter Agreement effective November 9, 2012, between the Company and Michael J. Potts.</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26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26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260" w:type="dxa"/>
            <w:vAlign w:val="bottom"/>
          </w:tcPr>
          <w:p>
            <w:pPr>
              <w:ind w:left="240"/>
              <w:spacing w:after="0"/>
              <w:rPr>
                <w:sz w:val="20"/>
                <w:szCs w:val="20"/>
                <w:color w:val="auto"/>
              </w:rPr>
            </w:pPr>
            <w:r>
              <w:rPr>
                <w:rFonts w:ascii="Arial" w:cs="Arial" w:eastAsia="Arial" w:hAnsi="Arial"/>
                <w:sz w:val="18"/>
                <w:szCs w:val="18"/>
                <w:color w:val="auto"/>
                <w:w w:val="89"/>
              </w:rPr>
              <w:t>Certification of Chief Executive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260" w:type="dxa"/>
            <w:vAlign w:val="bottom"/>
          </w:tcPr>
          <w:p>
            <w:pPr>
              <w:ind w:left="240"/>
              <w:spacing w:after="0"/>
              <w:rPr>
                <w:sz w:val="20"/>
                <w:szCs w:val="20"/>
                <w:color w:val="auto"/>
              </w:rPr>
            </w:pPr>
            <w:r>
              <w:rPr>
                <w:rFonts w:ascii="Arial" w:cs="Arial" w:eastAsia="Arial" w:hAnsi="Arial"/>
                <w:sz w:val="18"/>
                <w:szCs w:val="18"/>
                <w:color w:val="auto"/>
                <w:w w:val="89"/>
              </w:rPr>
              <w:t>Certification of Chief Financial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365"/>
        </w:trPr>
        <w:tc>
          <w:tcPr>
            <w:tcW w:w="920" w:type="dxa"/>
            <w:vAlign w:val="bottom"/>
          </w:tcPr>
          <w:p>
            <w:pPr>
              <w:spacing w:after="0"/>
              <w:rPr>
                <w:sz w:val="24"/>
                <w:szCs w:val="24"/>
                <w:color w:val="auto"/>
              </w:rPr>
            </w:pPr>
          </w:p>
        </w:tc>
        <w:tc>
          <w:tcPr>
            <w:tcW w:w="10260" w:type="dxa"/>
            <w:vAlign w:val="bottom"/>
          </w:tcPr>
          <w:p>
            <w:pPr>
              <w:ind w:left="470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ORION ENERGY SYSTEMS,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(Principal Financial Officer and Authorized Signatory)</w:t>
      </w:r>
    </w:p>
    <w:p>
      <w:pPr>
        <w:spacing w:after="0" w:line="18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September 30, 2012</w:t>
            </w:r>
          </w:p>
        </w:tc>
      </w:tr>
      <w:tr>
        <w:trPr>
          <w:trHeight w:val="20"/>
        </w:trPr>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37"/>
        </w:trPr>
        <w:tc>
          <w:tcPr>
            <w:tcW w:w="920" w:type="dxa"/>
            <w:vAlign w:val="bottom"/>
          </w:tcPr>
          <w:p>
            <w:pPr>
              <w:ind w:left="100"/>
              <w:spacing w:after="0"/>
              <w:rPr>
                <w:sz w:val="20"/>
                <w:szCs w:val="20"/>
                <w:color w:val="auto"/>
              </w:rPr>
            </w:pPr>
            <w:r>
              <w:rPr>
                <w:rFonts w:ascii="Arial" w:cs="Arial" w:eastAsia="Arial" w:hAnsi="Arial"/>
                <w:sz w:val="18"/>
                <w:szCs w:val="18"/>
                <w:color w:val="auto"/>
              </w:rPr>
              <w:t>10.13</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Executive Employment and Severance Agreement, effective November 9, 2012 between the Company and Scott R. Jensen.</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10.14</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Letter Agreement effective November 9, 2012 between the Company and Michael J. Potts</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Financial Officer of Orion Energy Systems, Inc. pursuant to Rule 13a-14(a) or Rule 15d-14(a) promulgated under the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Financial Officer of Orion Energy Systems, Inc. pursuant to Rule 13a-14(b) promulgated under the Securities Exchange</w:t>
            </w:r>
          </w:p>
        </w:tc>
      </w:tr>
      <w:tr>
        <w:trPr>
          <w:trHeight w:val="222"/>
        </w:trPr>
        <w:tc>
          <w:tcPr>
            <w:tcW w:w="92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8"/>
              </w:rPr>
              <w:t>Act of 1934, as amended, and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365"/>
        </w:trPr>
        <w:tc>
          <w:tcPr>
            <w:tcW w:w="920" w:type="dxa"/>
            <w:vAlign w:val="bottom"/>
          </w:tcPr>
          <w:p>
            <w:pPr>
              <w:spacing w:after="0"/>
              <w:rPr>
                <w:sz w:val="24"/>
                <w:szCs w:val="24"/>
                <w:color w:val="auto"/>
              </w:rPr>
            </w:pPr>
          </w:p>
        </w:tc>
        <w:tc>
          <w:tcPr>
            <w:tcW w:w="7400" w:type="dxa"/>
            <w:vAlign w:val="bottom"/>
            <w:gridSpan w:val="2"/>
          </w:tcPr>
          <w:p>
            <w:pPr>
              <w:ind w:left="4700"/>
              <w:spacing w:after="0"/>
              <w:rPr>
                <w:sz w:val="20"/>
                <w:szCs w:val="20"/>
                <w:color w:val="auto"/>
              </w:rPr>
            </w:pPr>
            <w:r>
              <w:rPr>
                <w:rFonts w:ascii="Arial" w:cs="Arial" w:eastAsia="Arial" w:hAnsi="Arial"/>
                <w:sz w:val="18"/>
                <w:szCs w:val="18"/>
                <w:color w:val="auto"/>
              </w:rPr>
              <w:t>38</w:t>
            </w:r>
          </w:p>
        </w:tc>
        <w:tc>
          <w:tcPr>
            <w:tcW w:w="28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8" w:name="page39"/>
    <w:bookmarkEnd w:id="38"/>
    <w:p>
      <w:pPr>
        <w:ind w:left="10420"/>
        <w:spacing w:after="0"/>
        <w:rPr>
          <w:sz w:val="20"/>
          <w:szCs w:val="20"/>
          <w:color w:val="auto"/>
        </w:rPr>
      </w:pPr>
      <w:r>
        <w:rPr>
          <w:rFonts w:ascii="Arial" w:cs="Arial" w:eastAsia="Arial" w:hAnsi="Arial"/>
          <w:sz w:val="16"/>
          <w:szCs w:val="16"/>
          <w:b w:val="1"/>
          <w:bCs w:val="1"/>
          <w:color w:val="auto"/>
        </w:rPr>
        <w:t>Exhibit 10.13</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2013 Base Salary: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Renewal Period 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Scott Jensen</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$255,000</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8"/>
          <w:szCs w:val="18"/>
          <w:color w:val="auto"/>
        </w:rPr>
        <w:t>November 9, 2012</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5"/>
          <w:szCs w:val="15"/>
          <w:color w:val="auto"/>
        </w:rPr>
        <w:t>Effective Date through September 30, 2013</w:t>
      </w:r>
    </w:p>
    <w:p>
      <w:pPr>
        <w:spacing w:after="0" w:line="50" w:lineRule="exact"/>
        <w:rPr>
          <w:sz w:val="20"/>
          <w:szCs w:val="20"/>
          <w:color w:val="auto"/>
        </w:rPr>
      </w:pPr>
    </w:p>
    <w:p>
      <w:pPr>
        <w:ind w:left="142" w:hanging="142"/>
        <w:spacing w:after="0"/>
        <w:tabs>
          <w:tab w:leader="none" w:pos="142" w:val="left"/>
        </w:tabs>
        <w:numPr>
          <w:ilvl w:val="0"/>
          <w:numId w:val="8"/>
        </w:numPr>
        <w:rPr>
          <w:rFonts w:ascii="Arial" w:cs="Arial" w:eastAsia="Arial" w:hAnsi="Arial"/>
          <w:sz w:val="18"/>
          <w:szCs w:val="18"/>
          <w:color w:val="auto"/>
        </w:rPr>
      </w:pPr>
      <w:r>
        <w:rPr>
          <w:rFonts w:ascii="Arial" w:cs="Arial" w:eastAsia="Arial" w:hAnsi="Arial"/>
          <w:sz w:val="18"/>
          <w:szCs w:val="18"/>
          <w:color w:val="auto"/>
        </w:rPr>
        <w:t>Year</w:t>
      </w:r>
    </w:p>
    <w:p>
      <w:pPr>
        <w:spacing w:after="0" w:line="9"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2 Years</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8"/>
          <w:szCs w:val="18"/>
          <w:color w:val="auto"/>
        </w:rPr>
        <w:t>1x</w:t>
      </w:r>
    </w:p>
    <w:p>
      <w:pPr>
        <w:spacing w:after="0" w:line="15" w:lineRule="exact"/>
        <w:rPr>
          <w:sz w:val="20"/>
          <w:szCs w:val="20"/>
          <w:color w:val="auto"/>
        </w:rPr>
      </w:pPr>
    </w:p>
    <w:p>
      <w:pPr>
        <w:ind w:left="2"/>
        <w:spacing w:after="0"/>
        <w:rPr>
          <w:sz w:val="20"/>
          <w:szCs w:val="20"/>
          <w:color w:val="auto"/>
        </w:rPr>
      </w:pPr>
      <w:r>
        <w:rPr>
          <w:rFonts w:ascii="Arial" w:cs="Arial" w:eastAsia="Arial" w:hAnsi="Arial"/>
          <w:sz w:val="18"/>
          <w:szCs w:val="18"/>
          <w:color w:val="auto"/>
        </w:rPr>
        <w:t>2x</w:t>
      </w:r>
    </w:p>
    <w:p>
      <w:pPr>
        <w:spacing w:after="0" w:line="200" w:lineRule="exact"/>
        <w:rPr>
          <w:sz w:val="20"/>
          <w:szCs w:val="20"/>
          <w:color w:val="auto"/>
        </w:rPr>
      </w:pPr>
    </w:p>
    <w:p>
      <w:pPr>
        <w:sectPr>
          <w:pgSz w:w="11900" w:h="16838" w:orient="portrait"/>
          <w:cols w:equalWidth="0" w:num="2">
            <w:col w:w="5338" w:space="720"/>
            <w:col w:w="5362"/>
          </w:cols>
          <w:pgMar w:left="240" w:top="125" w:right="239" w:bottom="1440" w:gutter="0" w:footer="0" w:header="0"/>
          <w:type w:val="continuous"/>
        </w:sectPr>
      </w:pPr>
    </w:p>
    <w:p>
      <w:pPr>
        <w:spacing w:after="0" w:line="1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Agreement (“Agreement”) is between the individual named above (“Executive”), and Orion Energy Systems, Inc. (“Orion”) effective as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 above.</w:t>
      </w:r>
    </w:p>
    <w:p>
      <w:pPr>
        <w:spacing w:after="0" w:line="159" w:lineRule="exact"/>
        <w:rPr>
          <w:sz w:val="20"/>
          <w:szCs w:val="20"/>
          <w:color w:val="auto"/>
        </w:rPr>
      </w:pPr>
    </w:p>
    <w:p>
      <w:pPr>
        <w:ind w:right="620" w:firstLine="913"/>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employed by Orion in a key employee capacity and the Executive’s services are valuable to the conduct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Orion; and</w:t>
      </w:r>
    </w:p>
    <w:p>
      <w:pPr>
        <w:spacing w:after="0" w:line="120" w:lineRule="exact"/>
        <w:rPr>
          <w:sz w:val="20"/>
          <w:szCs w:val="20"/>
          <w:color w:val="auto"/>
        </w:rPr>
      </w:pPr>
    </w:p>
    <w:p>
      <w:pPr>
        <w:jc w:val="both"/>
        <w:ind w:right="80" w:firstLine="913"/>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Orion and Executive desire to specify the terms and conditions on which Executive will continue employment with Orion on and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set forth above (the “Effective Date”) and under which Executive will receive severance in the event that Executive separates from service with Orion.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71" w:lineRule="exact"/>
        <w:rPr>
          <w:sz w:val="20"/>
          <w:szCs w:val="20"/>
          <w:color w:val="auto"/>
        </w:rPr>
      </w:pPr>
    </w:p>
    <w:p>
      <w:pPr>
        <w:ind w:right="120" w:firstLine="921"/>
        <w:spacing w:after="0" w:line="289" w:lineRule="auto"/>
        <w:tabs>
          <w:tab w:leader="none" w:pos="1088"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Date; Term</w:t>
      </w:r>
      <w:r>
        <w:rPr>
          <w:rFonts w:ascii="Arial" w:cs="Arial" w:eastAsia="Arial" w:hAnsi="Arial"/>
          <w:sz w:val="16"/>
          <w:szCs w:val="16"/>
          <w:color w:val="auto"/>
        </w:rPr>
        <w:t>. This Agreement shall become effective on the Effective Date and continue until the end of the initial term set forth above.</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status of the Executive will be reviewed by Orion ninety (90) days prior to the end of the initial term as set forth above (and the end of any subsequent term thereafter). Upon such review, Orion may choose not to extend Executive’s employment under this Agreement for an additional renewal period term as set forth above and, upon such a determination, shall provide written notice to such effect to Executive prior to the end of the initial term (or the end of any subsequent term thereafter). If Orion does not provide Executive with such notice of non-renewal prior to the end of any term, then the term of this Agreement shall be extended for the renewal period set forth above. Notwithstanding the foregoing, if a Change of Control occurs prior to the end of any term, the Agreement shall be automatically extended for the post-Change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90" w:lineRule="exact"/>
        <w:rPr>
          <w:sz w:val="20"/>
          <w:szCs w:val="20"/>
          <w:color w:val="auto"/>
        </w:rPr>
      </w:pPr>
    </w:p>
    <w:p>
      <w:pPr>
        <w:ind w:left="460" w:right="500" w:firstLine="443"/>
        <w:spacing w:after="0" w:line="275"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Benefits</w:t>
      </w:r>
      <w:r>
        <w:rPr>
          <w:rFonts w:ascii="Arial" w:cs="Arial" w:eastAsia="Arial" w:hAnsi="Arial"/>
          <w:sz w:val="18"/>
          <w:szCs w:val="18"/>
          <w:color w:val="auto"/>
        </w:rPr>
        <w:t>” shall mean, as of the Termination Date, the sum of: (i) Executive’s Base Salary earned but not paid for the time period ending with the Termination Date; (ii) any other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39" w:name="page40"/>
    <w:bookmarkEnd w:id="39"/>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earned but unpaid amounts as of the Termination Date, and (iii) any other payments or benefits to be provided to Executive by Orion pursuant to any employee benefit plans or arrangements adopted by Orion, to the extent such amounts are due from Orion.</w:t>
      </w:r>
    </w:p>
    <w:p>
      <w:pPr>
        <w:spacing w:after="0" w:line="45" w:lineRule="exact"/>
        <w:rPr>
          <w:sz w:val="20"/>
          <w:szCs w:val="20"/>
          <w:color w:val="auto"/>
        </w:rPr>
      </w:pPr>
    </w:p>
    <w:p>
      <w:pPr>
        <w:ind w:right="360" w:firstLine="443"/>
        <w:spacing w:after="0" w:line="275" w:lineRule="auto"/>
        <w:tabs>
          <w:tab w:leader="none" w:pos="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Orion as in effect from time to time beginning with the initial Base Salary noted above.</w:t>
      </w:r>
    </w:p>
    <w:p>
      <w:pPr>
        <w:spacing w:after="0" w:line="38" w:lineRule="exact"/>
        <w:rPr>
          <w:rFonts w:ascii="Arial" w:cs="Arial" w:eastAsia="Arial" w:hAnsi="Arial"/>
          <w:sz w:val="18"/>
          <w:szCs w:val="18"/>
          <w:color w:val="auto"/>
        </w:rPr>
      </w:pPr>
    </w:p>
    <w:p>
      <w:pPr>
        <w:ind w:right="600" w:firstLine="443"/>
        <w:spacing w:after="0" w:line="275" w:lineRule="auto"/>
        <w:tabs>
          <w:tab w:leader="none" w:pos="6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38" w:lineRule="exact"/>
        <w:rPr>
          <w:rFonts w:ascii="Arial" w:cs="Arial" w:eastAsia="Arial" w:hAnsi="Arial"/>
          <w:sz w:val="18"/>
          <w:szCs w:val="18"/>
          <w:color w:val="auto"/>
        </w:rPr>
      </w:pPr>
    </w:p>
    <w:p>
      <w:pPr>
        <w:ind w:right="180" w:firstLine="443"/>
        <w:spacing w:after="0" w:line="285"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mean a good faith finding by Orion that Executive has (i) failed, neglected, or refused to perform the lawful employment duties from time to time assigned to him (other than due to Disability); (ii) committed any willful, intentional, or grossly negligent act having the effect of materially injuring the interest, business, or reputation of Orion; (iii) violated or failed to comply in any material respect with Orion’s published rules, regulations, or policies, as in effect or amended from time to time; (iv) committed an act constituting a felony or misdemeanor involving moral turpitude, fraud, theft, or dishonesty; (v) misappropriated or embezzled any property of Orion (whether or not such act constitutes a felony or misdemeanor); or</w:t>
      </w:r>
    </w:p>
    <w:p>
      <w:pPr>
        <w:ind w:right="140" w:firstLine="4"/>
        <w:spacing w:after="0" w:line="261"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breached any material provision of this Agreement or any other applicable confidentiality, non-compete, non-solicit, general release, covenant not-to-sue, or other agreement with Orion.</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the occurrence of any of the following:</w:t>
      </w:r>
    </w:p>
    <w:p>
      <w:pPr>
        <w:spacing w:after="0" w:line="96" w:lineRule="exact"/>
        <w:rPr>
          <w:rFonts w:ascii="Arial" w:cs="Arial" w:eastAsia="Arial" w:hAnsi="Arial"/>
          <w:sz w:val="18"/>
          <w:szCs w:val="18"/>
          <w:color w:val="auto"/>
        </w:rPr>
      </w:pPr>
    </w:p>
    <w:p>
      <w:pPr>
        <w:ind w:left="460" w:firstLine="421"/>
        <w:spacing w:after="0" w:line="290" w:lineRule="auto"/>
        <w:tabs>
          <w:tab w:leader="none" w:pos="1089"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acquisition by any “person” (as such term is used in Section 13(d) and 14(d) of the Securities Exchange Act of 1934, as amended), other than (A) Orion or any of its subsidiaries, (B) a trustee or other fiduciary holding securities under any employee benefit plan of Orion or any of its subsidiaries, or (C) an underwriter temporarily holding securities pursuant to an offering of such securities, of the beneficial ownership (within the meaning of Rule 13d-3 promulgated under the Securities Exchange Act of 1934, as amended) directly or indirectly, of securities of Orion by reason of having acquired such securities during the twelve month period ending on the date of the most recent acquisition representing 20% or more of the then outstanding shares of the common stock of Orion, or the combined voting power of Orion’s then outstanding securities entitled to vote generally in the election of directors (the “Company Voting Stock”); or</w:t>
      </w:r>
    </w:p>
    <w:p>
      <w:pPr>
        <w:spacing w:after="0" w:line="37" w:lineRule="exact"/>
        <w:rPr>
          <w:rFonts w:ascii="Arial" w:cs="Arial" w:eastAsia="Arial" w:hAnsi="Arial"/>
          <w:sz w:val="16"/>
          <w:szCs w:val="16"/>
          <w:color w:val="auto"/>
        </w:rPr>
      </w:pPr>
    </w:p>
    <w:p>
      <w:pPr>
        <w:ind w:left="460" w:right="140" w:firstLine="421"/>
        <w:spacing w:after="0" w:line="332" w:lineRule="auto"/>
        <w:tabs>
          <w:tab w:leader="none" w:pos="1138"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majority of members of Orion’s Board is replaced during any twelve (12)-month period by directors whose appointment or election is not endorsed by a majority of the members of Orion’s Board before the date of the appointment or election; or</w:t>
      </w:r>
    </w:p>
    <w:p>
      <w:pPr>
        <w:spacing w:after="0" w:line="4" w:lineRule="exact"/>
        <w:rPr>
          <w:rFonts w:ascii="Arial" w:cs="Arial" w:eastAsia="Arial" w:hAnsi="Arial"/>
          <w:sz w:val="16"/>
          <w:szCs w:val="16"/>
          <w:color w:val="auto"/>
        </w:rPr>
      </w:pPr>
    </w:p>
    <w:p>
      <w:pPr>
        <w:ind w:left="460" w:right="260" w:firstLine="421"/>
        <w:spacing w:after="0" w:line="323" w:lineRule="auto"/>
        <w:tabs>
          <w:tab w:leader="none" w:pos="1187" w:val="left"/>
        </w:tabs>
        <w:numPr>
          <w:ilvl w:val="2"/>
          <w:numId w:val="12"/>
        </w:numPr>
        <w:rPr>
          <w:rFonts w:ascii="Arial" w:cs="Arial" w:eastAsia="Arial" w:hAnsi="Arial"/>
          <w:sz w:val="15"/>
          <w:szCs w:val="15"/>
          <w:color w:val="auto"/>
        </w:rPr>
      </w:pPr>
      <w:r>
        <w:rPr>
          <w:rFonts w:ascii="Arial" w:cs="Arial" w:eastAsia="Arial" w:hAnsi="Arial"/>
          <w:sz w:val="15"/>
          <w:szCs w:val="15"/>
          <w:color w:val="auto"/>
        </w:rPr>
        <w:t>the consummation of a merger, consolidation, reorganization or share exchange of Orion with any other corporation or the issuance of Company Voting Stock in connection with a merger, consolidation, reorganization or share exchange of Orion which requires approval of the shareholders of Orion, other than (A) a merger, consolidation, reorganization or share exchange which would result in the Company Voting Stock outstanding immediately prior to such merger, consolidation, reorganization or share exchange continuing to represent (either by remaining</w:t>
      </w:r>
    </w:p>
    <w:p>
      <w:pPr>
        <w:spacing w:after="0" w:line="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40" w:name="page41"/>
    <w:bookmarkEnd w:id="40"/>
    <w:p>
      <w:pPr>
        <w:ind w:left="460"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or by being converted into voting securities of the surviving entity or any parent thereof) at least fifty percent (50%) of the Company Voting Stock or such surviving entity or any parent thereof outstanding immediately after such merger, consolidation, reorganization or share exchange, or (B) a merger, consolidation or share exchange effected to implement a recapitalization of Orion (or similar transaction) in which no “person” (defined above) is or becomes the beneficial owner (within the meaning of Rule 13d-3 promulgated under the Securities Exchange Act of 1934, as amended), directly or indirectly, of securities of Orion (not including in the securities beneficially owned by such “person” (defined above) any securities acquired directly from Orion or its affiliates (within the meaning of Rule 12b-2 promulgated under the Securities Exchange Act of 1934, as amended) pursuant to the express authorization by the Board that refers to this exception) representing twenty percent (20%) or more of either the then outstanding shares of common stock of Orion or the Company Voting Stock; or</w:t>
      </w:r>
    </w:p>
    <w:p>
      <w:pPr>
        <w:spacing w:after="0" w:line="37" w:lineRule="exact"/>
        <w:rPr>
          <w:sz w:val="20"/>
          <w:szCs w:val="20"/>
          <w:color w:val="auto"/>
        </w:rPr>
      </w:pPr>
    </w:p>
    <w:p>
      <w:pPr>
        <w:ind w:left="460" w:right="200" w:firstLine="421"/>
        <w:spacing w:after="0" w:line="294" w:lineRule="auto"/>
        <w:tabs>
          <w:tab w:leader="none" w:pos="11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consummation of a plan of complete liquidation or dissolution of Orion or a sale or disposition by Orion of all or substantially all of Orion’s assets (in one transaction or a series of related transactions within any period of 24 consecutive months), in each case, which requires approval of the shareholders of Orion, other than a sale or disposition by Orion of all or substantially all of Orion’s assets to an entity at least seventy-five percent (75%) of the combined voting power of the outstanding voting securities of which are owned by “persons” (defined above) in substantially the same proportions as their ownership of Orion immediately prior to such sale.</w:t>
      </w:r>
    </w:p>
    <w:p>
      <w:pPr>
        <w:spacing w:after="0" w:line="35" w:lineRule="exact"/>
        <w:rPr>
          <w:sz w:val="20"/>
          <w:szCs w:val="20"/>
          <w:color w:val="auto"/>
        </w:rPr>
      </w:pPr>
    </w:p>
    <w:p>
      <w:pPr>
        <w:jc w:val="both"/>
        <w:ind w:left="460" w:right="20" w:firstLine="420"/>
        <w:spacing w:after="0" w:line="298" w:lineRule="auto"/>
        <w:rPr>
          <w:sz w:val="20"/>
          <w:szCs w:val="20"/>
          <w:color w:val="auto"/>
        </w:rPr>
      </w:pPr>
      <w:r>
        <w:rPr>
          <w:rFonts w:ascii="Arial" w:cs="Arial" w:eastAsia="Arial" w:hAnsi="Arial"/>
          <w:sz w:val="16"/>
          <w:szCs w:val="16"/>
          <w:color w:val="auto"/>
        </w:rPr>
        <w:t>Notwithstanding the foregoing, no “Change of Control” shall be deemed to have occurred if there is consummated any transaction or series of integrated transactions immediately following which the record holders of the common stock of Orion immediately prior to such transaction or series of transactions continue to own, directly or indirectly, in the same proportions as their ownership in Orion, an entity that owns all or substantially all of the assets or Company Voting Stock of Orion immediately following such transaction or series of transactions.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“COBRA”</w:t>
      </w:r>
      <w:r>
        <w:rPr>
          <w:rFonts w:ascii="Arial" w:cs="Arial" w:eastAsia="Arial" w:hAnsi="Arial"/>
          <w:sz w:val="18"/>
          <w:szCs w:val="18"/>
          <w:color w:val="auto"/>
        </w:rPr>
        <w:t xml:space="preserve"> shall mean the provisions of Code Section 4980B.</w:t>
      </w:r>
    </w:p>
    <w:p>
      <w:pPr>
        <w:spacing w:after="0" w:line="90" w:lineRule="exact"/>
        <w:rPr>
          <w:sz w:val="20"/>
          <w:szCs w:val="20"/>
          <w:color w:val="auto"/>
        </w:rPr>
      </w:pPr>
    </w:p>
    <w:p>
      <w:pPr>
        <w:ind w:right="40" w:firstLine="443"/>
        <w:spacing w:after="0" w:line="275"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as interpreted by rules and regulations issued pursuant thereto,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provisions thereto.</w:t>
      </w:r>
    </w:p>
    <w:p>
      <w:pPr>
        <w:spacing w:after="0" w:line="38" w:lineRule="exact"/>
        <w:rPr>
          <w:rFonts w:ascii="Arial" w:cs="Arial" w:eastAsia="Arial" w:hAnsi="Arial"/>
          <w:sz w:val="18"/>
          <w:szCs w:val="18"/>
          <w:color w:val="auto"/>
        </w:rPr>
      </w:pPr>
    </w:p>
    <w:p>
      <w:pPr>
        <w:ind w:firstLine="443"/>
        <w:spacing w:after="0" w:line="283" w:lineRule="auto"/>
        <w:tabs>
          <w:tab w:leader="none" w:pos="687"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Competing Product</w:t>
      </w:r>
      <w:r>
        <w:rPr>
          <w:rFonts w:ascii="Arial" w:cs="Arial" w:eastAsia="Arial" w:hAnsi="Arial"/>
          <w:sz w:val="16"/>
          <w:szCs w:val="16"/>
          <w:color w:val="auto"/>
        </w:rPr>
        <w:t>” means any product or service which is sold or provided in competition with a product or service: (A) that Executive sold or provided on behalf of Orion at some time during the twenty-four (24) months immediately preceding the point when Executive is no longer employed by any of the Companies (such point being the “Termination of Executive’s Employment”); (B) that one or more Orion Executives or business units managed, supervised or directed by Executive, sold or provided on behalf of Orion at some time during the twenty-four (24) months immediately preceding the Termination of Executive’s Employment; (C) that was designed, developed, tested, distributed, marketed, provided or produced by Executive (individually or in collaboration with other Orion Executives) or one or more Orion Executives or business units managed, supervised or directed by Executive at some time during the twenty-four (24) months immediately preceding the Termination of Executive’s Employment; or (D) that was designed, tested, developed, distributed, marketed, produced, sold or provided by Orion with management or executive support from Executive at some time during the twenty-four</w:t>
      </w:r>
    </w:p>
    <w:p>
      <w:pPr>
        <w:spacing w:after="0" w:line="5" w:lineRule="exact"/>
        <w:rPr>
          <w:rFonts w:ascii="Arial" w:cs="Arial" w:eastAsia="Arial" w:hAnsi="Arial"/>
          <w:sz w:val="16"/>
          <w:szCs w:val="16"/>
          <w:color w:val="auto"/>
        </w:rPr>
      </w:pPr>
    </w:p>
    <w:p>
      <w:pPr>
        <w:ind w:left="340" w:hanging="336"/>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months immediately preceding the Termination of Executive’s Employment.</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41" w:name="page42"/>
    <w:bookmarkEnd w:id="41"/>
    <w:p>
      <w:pPr>
        <w:ind w:right="240" w:firstLine="443"/>
        <w:spacing w:after="0" w:line="310"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Disability</w:t>
      </w:r>
      <w:r>
        <w:rPr>
          <w:rFonts w:ascii="Arial" w:cs="Arial" w:eastAsia="Arial" w:hAnsi="Arial"/>
          <w:sz w:val="16"/>
          <w:szCs w:val="16"/>
          <w:color w:val="auto"/>
        </w:rPr>
        <w:t>” shall mean a total and permanent mental or physical disability precluding Executive from performing the material and substantial duties of his employment for 180 days during any twelve (12) month period. For purposes of this Agreement, an Executive shall be deemed totally and permanently disabled at the end of such 180th day and which makes Executive eligible to receive benefits under Orion’s long-term disability plan.</w:t>
      </w:r>
    </w:p>
    <w:p>
      <w:pPr>
        <w:spacing w:after="0" w:line="16" w:lineRule="exact"/>
        <w:rPr>
          <w:rFonts w:ascii="Arial" w:cs="Arial" w:eastAsia="Arial" w:hAnsi="Arial"/>
          <w:sz w:val="16"/>
          <w:szCs w:val="16"/>
          <w:color w:val="auto"/>
        </w:rPr>
      </w:pPr>
    </w:p>
    <w:p>
      <w:pPr>
        <w:ind w:right="120" w:firstLine="443"/>
        <w:spacing w:after="0" w:line="262"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change in the geographic location at which the Executive must perform services; or (iii) a material breach by Orion of any provisions of this Agreement or any option agreement with Orion to which the Executive is a party.</w:t>
      </w:r>
    </w:p>
    <w:p>
      <w:pPr>
        <w:spacing w:after="0" w:line="51" w:lineRule="exact"/>
        <w:rPr>
          <w:rFonts w:ascii="Arial" w:cs="Arial" w:eastAsia="Arial" w:hAnsi="Arial"/>
          <w:sz w:val="18"/>
          <w:szCs w:val="18"/>
          <w:color w:val="auto"/>
        </w:rPr>
      </w:pPr>
    </w:p>
    <w:p>
      <w:pPr>
        <w:ind w:firstLine="443"/>
        <w:spacing w:after="0" w:line="301"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any person who at the Termination of Executive’s Employment is employed or engaged by Orion and with whom Executive has had material contact in the course of employment during the twelve (12) months immediately preceding the Termination of Executive’s Employment, and (i) is a manager, officer or director of Orion; (ii) is in possession of Confidential Information and/or Trade Secrets of Orion; and/or (iii) is directly managed by or reports to Executive as of the Termination of Executive’s Employment.</w:t>
      </w:r>
    </w:p>
    <w:p>
      <w:pPr>
        <w:spacing w:after="0" w:line="22" w:lineRule="exact"/>
        <w:rPr>
          <w:rFonts w:ascii="Arial" w:cs="Arial" w:eastAsia="Arial" w:hAnsi="Arial"/>
          <w:sz w:val="16"/>
          <w:szCs w:val="16"/>
          <w:color w:val="auto"/>
        </w:rPr>
      </w:pPr>
    </w:p>
    <w:p>
      <w:pPr>
        <w:ind w:right="20" w:firstLine="443"/>
        <w:spacing w:after="0" w:line="262"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Customer</w:t>
      </w:r>
      <w:r>
        <w:rPr>
          <w:rFonts w:ascii="Arial" w:cs="Arial" w:eastAsia="Arial" w:hAnsi="Arial"/>
          <w:sz w:val="18"/>
          <w:szCs w:val="18"/>
          <w:color w:val="auto"/>
        </w:rPr>
        <w:t>” means a customer of Orion to which Executive, or one or more individuals or Orion business units supervised, managed, or directed by Executive, sold or provided products or services on behalf of Orion during the twelve (12)-month period immediately preceding the Termination of Executive’s Employment.</w:t>
      </w:r>
    </w:p>
    <w:p>
      <w:pPr>
        <w:spacing w:after="0" w:line="51" w:lineRule="exact"/>
        <w:rPr>
          <w:rFonts w:ascii="Arial" w:cs="Arial" w:eastAsia="Arial" w:hAnsi="Arial"/>
          <w:sz w:val="18"/>
          <w:szCs w:val="18"/>
          <w:color w:val="auto"/>
        </w:rPr>
      </w:pPr>
    </w:p>
    <w:p>
      <w:pPr>
        <w:ind w:firstLine="443"/>
        <w:spacing w:after="0" w:line="287"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Territory</w:t>
      </w:r>
      <w:r>
        <w:rPr>
          <w:rFonts w:ascii="Arial" w:cs="Arial" w:eastAsia="Arial" w:hAnsi="Arial"/>
          <w:sz w:val="16"/>
          <w:szCs w:val="16"/>
          <w:color w:val="auto"/>
        </w:rPr>
        <w:t>” means: (A) Territories (as the term “Territory” as defined below) in which Executive or one or more Orion employees or business units managed or directed by Executive provided products or services on behalf of Orion during the twelve (12)-month period immediately preceding the Termination of Executive’s Employment; (B) Territories in which one or more Orion employees or business units managed or directed by Executive sold or solicited the sale of products or services on behalf of Orion during the twelve (12)-month period immediately preceding the Termination of Executive’s Employment; (C) Territories in which Executive or one or more Orion employees or business units managed or directed by Executive or receiving management or executive support from Executive provided, sold or solicited the sale of products or services on behalf of Orion during the twelve (12)-month period immediately preceding the Termination of Executive’s Employment; or (D) Territories in which Orion sold or provided products or services designed, developed, tested, or produced by Executive (either individually or in collaboration with other Orion employees) or by Orion employees or business units working under Executive’s direction, management or control during the twelve (12)-month period immediately preceding the Termination of Executive’s Employment. Notwithstanding the foregoing, the term Restricted Territory is limited to Territories in which Orion sold or provided in excess of one hundred thousand dollars (US $100,000) in the aggregate worth of products or services in the twelve (12)-month period immediately preceding the Termination of Executive’s Employment.</w:t>
      </w:r>
    </w:p>
    <w:p>
      <w:pPr>
        <w:spacing w:after="0" w:line="34" w:lineRule="exact"/>
        <w:rPr>
          <w:sz w:val="20"/>
          <w:szCs w:val="20"/>
          <w:color w:val="auto"/>
        </w:rPr>
      </w:pPr>
    </w:p>
    <w:p>
      <w:pPr>
        <w:ind w:right="200" w:firstLine="443"/>
        <w:spacing w:after="0" w:line="275"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have the meaning set forth in Code Section 409A and the related Treasury Regulations; </w:t>
      </w:r>
      <w:r>
        <w:rPr>
          <w:rFonts w:ascii="Arial" w:cs="Arial" w:eastAsia="Arial" w:hAnsi="Arial"/>
          <w:sz w:val="18"/>
          <w:szCs w:val="18"/>
          <w:i w:val="1"/>
          <w:iCs w:val="1"/>
          <w:color w:val="auto"/>
        </w:rPr>
        <w:t>provided</w:t>
      </w:r>
      <w:r>
        <w:rPr>
          <w:rFonts w:ascii="Arial" w:cs="Arial" w:eastAsia="Arial" w:hAnsi="Arial"/>
          <w:sz w:val="18"/>
          <w:szCs w:val="18"/>
          <w:color w:val="auto"/>
        </w:rPr>
        <w:t>, that for this purpose, a “separation from service” is deemed</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42" w:name="page43"/>
    <w:bookmarkEnd w:id="4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occur on the date that Orion and Executive reasonably anticipate that the level of bona fide services Executive would perform after that date (whether as an employee or independent contractor) would permanently decrease to no more than 50% of the average level of bona fide services provided in the immediately preceding thirty-six (36) months.</w:t>
      </w:r>
    </w:p>
    <w:p>
      <w:pPr>
        <w:spacing w:after="0" w:line="53" w:lineRule="exact"/>
        <w:rPr>
          <w:sz w:val="20"/>
          <w:szCs w:val="20"/>
          <w:color w:val="auto"/>
        </w:rPr>
      </w:pPr>
    </w:p>
    <w:p>
      <w:pPr>
        <w:ind w:right="440" w:firstLine="443"/>
        <w:spacing w:after="0" w:line="310" w:lineRule="auto"/>
        <w:tabs>
          <w:tab w:leader="none" w:pos="7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means sales, financial, supervisory, management, engineering, scientific, and other services of the type performed for Orion by Executive or one or more Orion Executives managed, supervised or directed by Executive during the final twenty-four (24) months preceding the Termination of Executive’s Employment, but shall not include clerical, menial or manual labor.</w:t>
      </w:r>
    </w:p>
    <w:p>
      <w:pPr>
        <w:spacing w:after="0" w:line="16" w:lineRule="exact"/>
        <w:rPr>
          <w:rFonts w:ascii="Arial" w:cs="Arial" w:eastAsia="Arial" w:hAnsi="Arial"/>
          <w:sz w:val="16"/>
          <w:szCs w:val="16"/>
          <w:color w:val="auto"/>
        </w:rPr>
      </w:pPr>
    </w:p>
    <w:p>
      <w:pPr>
        <w:ind w:firstLine="443"/>
        <w:spacing w:after="0" w:line="293"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“Severance Payment” </w:t>
      </w:r>
      <w:r>
        <w:rPr>
          <w:rFonts w:ascii="Arial" w:cs="Arial" w:eastAsia="Arial" w:hAnsi="Arial"/>
          <w:sz w:val="16"/>
          <w:szCs w:val="16"/>
          <w:color w:val="auto"/>
        </w:rPr>
        <w:t>shall mean the Executive’s Base Salary at the time of the Termination Date plus the average of the annual bonuses earned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Executive with respect to each of the three completed fiscal years of Orion preceding the year in which the Termination Date occurs (or such lesser number of fiscal years for which the Executive was employed by Orion, with any partial year’s bonus being annualized with respect to such fiscal year) multiplied by the severance multiplier set forth above</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29" w:lineRule="exact"/>
        <w:rPr>
          <w:rFonts w:ascii="Arial" w:cs="Arial" w:eastAsia="Arial" w:hAnsi="Arial"/>
          <w:sz w:val="16"/>
          <w:szCs w:val="16"/>
          <w:color w:val="auto"/>
        </w:rPr>
      </w:pPr>
    </w:p>
    <w:p>
      <w:pPr>
        <w:ind w:right="60" w:firstLine="443"/>
        <w:spacing w:after="0" w:line="258"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Customer</w:t>
      </w:r>
      <w:r>
        <w:rPr>
          <w:rFonts w:ascii="Arial" w:cs="Arial" w:eastAsia="Arial" w:hAnsi="Arial"/>
          <w:sz w:val="18"/>
          <w:szCs w:val="18"/>
          <w:color w:val="auto"/>
        </w:rPr>
        <w:t>” means a customer of Orion that purchased a product or service from the Orion during the twelve (12)-month period immediately preceding the Termination of Executive’s Employment, but is limited to individuals and entities concerning which Executive learned, created or reviewed Confidential Information or Trade Secrets on behalf of Orion during the twelve (12)-month period immediately preceding the Termination of Executive’s Employment.</w:t>
      </w:r>
    </w:p>
    <w:p>
      <w:pPr>
        <w:spacing w:after="0" w:line="55" w:lineRule="exact"/>
        <w:rPr>
          <w:rFonts w:ascii="Arial" w:cs="Arial" w:eastAsia="Arial" w:hAnsi="Arial"/>
          <w:sz w:val="18"/>
          <w:szCs w:val="18"/>
          <w:color w:val="auto"/>
        </w:rPr>
      </w:pPr>
    </w:p>
    <w:p>
      <w:pPr>
        <w:ind w:left="700" w:hanging="257"/>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shall mean the date of the Executive’s termination of employment from Orion, as further described in Section 4.</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 state within the United States, the District of Columbia, a territory of the United States, and/or a foreign nation.</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Confidential Information</w:t>
      </w:r>
      <w:r>
        <w:rPr>
          <w:rFonts w:ascii="Arial" w:cs="Arial" w:eastAsia="Arial" w:hAnsi="Arial"/>
          <w:sz w:val="16"/>
          <w:szCs w:val="16"/>
          <w:color w:val="auto"/>
        </w:rPr>
        <w:t>” means information received by Orion from others that Orion has an obligation to treat as confidential.</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w:t>
      </w:r>
      <w:r>
        <w:rPr>
          <w:rFonts w:ascii="Arial" w:cs="Arial" w:eastAsia="Arial" w:hAnsi="Arial"/>
          <w:sz w:val="18"/>
          <w:szCs w:val="18"/>
          <w:color w:val="auto"/>
        </w:rPr>
        <w:t>” means a Trade Secret as that term is defined under Wis. Stat. § 134.90, or its successor provision.</w:t>
      </w:r>
    </w:p>
    <w:p>
      <w:pPr>
        <w:spacing w:after="0" w:line="171" w:lineRule="exact"/>
        <w:rPr>
          <w:sz w:val="20"/>
          <w:szCs w:val="20"/>
          <w:color w:val="auto"/>
        </w:rPr>
      </w:pPr>
    </w:p>
    <w:p>
      <w:pPr>
        <w:ind w:left="640" w:hanging="17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Executive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Position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640" w:firstLine="421"/>
        <w:spacing w:after="0" w:line="268" w:lineRule="auto"/>
        <w:tabs>
          <w:tab w:leader="none" w:pos="10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Executive shall serve in a full-time capacity in the position set forth above or in any other position and/or with such other duties as determined from time to time by Orion.</w:t>
      </w:r>
    </w:p>
    <w:p>
      <w:pPr>
        <w:spacing w:after="0" w:line="50" w:lineRule="exact"/>
        <w:rPr>
          <w:rFonts w:ascii="Arial" w:cs="Arial" w:eastAsia="Arial" w:hAnsi="Arial"/>
          <w:sz w:val="18"/>
          <w:szCs w:val="18"/>
          <w:color w:val="auto"/>
        </w:rPr>
      </w:pPr>
    </w:p>
    <w:p>
      <w:pPr>
        <w:ind w:left="460" w:right="440" w:firstLine="421"/>
        <w:spacing w:after="0" w:line="332" w:lineRule="auto"/>
        <w:tabs>
          <w:tab w:leader="none" w:pos="113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Executive will devote Executive’s full business time and best efforts to the performance of Executive’s duties hereunder and will not engage in any other business, profession or occupation for compensation or otherwise which would conflict or interfere with</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43" w:name="page44"/>
    <w:bookmarkEnd w:id="43"/>
    <w:p>
      <w:pPr>
        <w:ind w:left="860"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rendition of such services either directly or indirectly, without the prior written consent of Orion;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preclude Executive, subject to the prior approval of Orion, from accepting appointment to or continuing to serve on any board of directors or trustees of any business organization or any charitable organization;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in each case, and in the aggregate, that such activities do not materially conflict or interfere with the performance of Executive’s duties hereunder or conflict with Section 7.</w:t>
      </w:r>
    </w:p>
    <w:p>
      <w:pPr>
        <w:spacing w:after="0" w:line="26" w:lineRule="exact"/>
        <w:rPr>
          <w:sz w:val="20"/>
          <w:szCs w:val="20"/>
          <w:color w:val="auto"/>
        </w:rPr>
      </w:pPr>
    </w:p>
    <w:p>
      <w:pPr>
        <w:ind w:left="400" w:right="60" w:firstLine="443"/>
        <w:spacing w:after="0" w:line="262" w:lineRule="auto"/>
        <w:tabs>
          <w:tab w:leader="none" w:pos="108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annual rate set forth above, payable in regular installments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Orion’s usual payroll practices. Executive shall be entitled to such increases in Executive’s Base Salary, if any, as may be determined from time to time by Orion.</w:t>
      </w:r>
    </w:p>
    <w:p>
      <w:pPr>
        <w:spacing w:after="0" w:line="51" w:lineRule="exact"/>
        <w:rPr>
          <w:rFonts w:ascii="Arial" w:cs="Arial" w:eastAsia="Arial" w:hAnsi="Arial"/>
          <w:sz w:val="18"/>
          <w:szCs w:val="18"/>
          <w:color w:val="auto"/>
        </w:rPr>
      </w:pPr>
    </w:p>
    <w:p>
      <w:pPr>
        <w:ind w:left="400" w:right="180" w:firstLine="443"/>
        <w:spacing w:after="0" w:line="258" w:lineRule="auto"/>
        <w:tabs>
          <w:tab w:leader="none" w:pos="107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Bonus Incentives</w:t>
      </w:r>
      <w:r>
        <w:rPr>
          <w:rFonts w:ascii="Arial" w:cs="Arial" w:eastAsia="Arial" w:hAnsi="Arial"/>
          <w:sz w:val="18"/>
          <w:szCs w:val="18"/>
          <w:color w:val="auto"/>
        </w:rPr>
        <w:t>. Executive shall be entitled to participate in such annual and/or long-term cash plans and programs of Orion as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the senior executives of Orion, as determined by the Board in its discretion. Any cash bonuses payable to Executive will be paid at the time Orion normally pays such bonuses to its senior executives and will be subject to the terms and conditions of the applicable annual cash incentive compensation arrangement, as determined by the Board in its discretion.</w:t>
      </w:r>
    </w:p>
    <w:p>
      <w:pPr>
        <w:spacing w:after="0" w:line="55" w:lineRule="exact"/>
        <w:rPr>
          <w:rFonts w:ascii="Arial" w:cs="Arial" w:eastAsia="Arial" w:hAnsi="Arial"/>
          <w:sz w:val="18"/>
          <w:szCs w:val="18"/>
          <w:color w:val="auto"/>
        </w:rPr>
      </w:pPr>
    </w:p>
    <w:p>
      <w:pPr>
        <w:ind w:left="400" w:right="80" w:firstLine="443"/>
        <w:spacing w:after="0" w:line="258" w:lineRule="auto"/>
        <w:tabs>
          <w:tab w:leader="none" w:pos="108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Executive shall be eligible to receive equity compensation awards (which may consist of stock options or other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as determined by the Board in its discretion pursuant to Orion’s equity compensation plans and programs in effect from time to time. These awards shall be granted in the discretion of the Board, and shall include such terms and conditions, including performance objectives, as the Board deems appropriate.</w:t>
      </w:r>
    </w:p>
    <w:p>
      <w:pPr>
        <w:spacing w:after="0" w:line="55" w:lineRule="exact"/>
        <w:rPr>
          <w:rFonts w:ascii="Arial" w:cs="Arial" w:eastAsia="Arial" w:hAnsi="Arial"/>
          <w:sz w:val="18"/>
          <w:szCs w:val="18"/>
          <w:color w:val="auto"/>
        </w:rPr>
      </w:pPr>
    </w:p>
    <w:p>
      <w:pPr>
        <w:ind w:left="400" w:right="40" w:firstLine="443"/>
        <w:spacing w:after="0" w:line="262" w:lineRule="auto"/>
        <w:tabs>
          <w:tab w:leader="none" w:pos="107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Executive shall be entitled to participate in Orion’s employee benefit plans (other than annual and/or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which are addressed in subsections (c) and (d)) as in effect from time to time on the same basis as those benefits are generally made available to other senior executives of Orion.</w:t>
      </w:r>
    </w:p>
    <w:p>
      <w:pPr>
        <w:spacing w:after="0" w:line="51" w:lineRule="exact"/>
        <w:rPr>
          <w:rFonts w:ascii="Arial" w:cs="Arial" w:eastAsia="Arial" w:hAnsi="Arial"/>
          <w:sz w:val="18"/>
          <w:szCs w:val="18"/>
          <w:color w:val="auto"/>
        </w:rPr>
      </w:pPr>
    </w:p>
    <w:p>
      <w:pPr>
        <w:ind w:left="400" w:firstLine="443"/>
        <w:spacing w:after="0" w:line="258" w:lineRule="auto"/>
        <w:tabs>
          <w:tab w:leader="none" w:pos="105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Executive shall have a right to be reimbursed for Executive's reasonable and appropriate business expenses which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incurs in connection with the performance of Executive's duties and responsibilities under this Agreement in accordance with Orion's expense reimbursement policies and procedures for its senior executives, subject to Orion’s reasonable requirements with respect to reporting and documentation of such expenses.</w:t>
      </w:r>
    </w:p>
    <w:p>
      <w:pPr>
        <w:spacing w:after="0" w:line="136" w:lineRule="exact"/>
        <w:rPr>
          <w:sz w:val="20"/>
          <w:szCs w:val="20"/>
          <w:color w:val="auto"/>
        </w:rPr>
      </w:pPr>
    </w:p>
    <w:p>
      <w:pPr>
        <w:ind w:left="-60" w:right="300" w:firstLine="921"/>
        <w:spacing w:after="0" w:line="275" w:lineRule="auto"/>
        <w:tabs>
          <w:tab w:leader="none" w:pos="1028"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Orion will terminate during the term of the Agreement, and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date of such termination, as follows:</w:t>
      </w:r>
    </w:p>
    <w:p>
      <w:pPr>
        <w:spacing w:after="0" w:line="45" w:lineRule="exact"/>
        <w:rPr>
          <w:sz w:val="20"/>
          <w:szCs w:val="20"/>
          <w:color w:val="auto"/>
        </w:rPr>
      </w:pPr>
    </w:p>
    <w:p>
      <w:pPr>
        <w:ind w:left="1080" w:hanging="237"/>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90" w:lineRule="exact"/>
        <w:rPr>
          <w:rFonts w:ascii="Arial" w:cs="Arial" w:eastAsia="Arial" w:hAnsi="Arial"/>
          <w:sz w:val="18"/>
          <w:szCs w:val="18"/>
          <w:color w:val="auto"/>
        </w:rPr>
      </w:pPr>
    </w:p>
    <w:p>
      <w:pPr>
        <w:ind w:left="400" w:firstLine="443"/>
        <w:spacing w:after="0" w:line="259" w:lineRule="auto"/>
        <w:tabs>
          <w:tab w:leader="none" w:pos="10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Executive suffers a Disability, and if within thirty (30) days after Orion notifies the Executive in writing that it intends to terminate Executive’s employment, Executive shall not have returned to the performance of Executive’s duties hereunder on a full-time basis, Orion may terminate Executive’s employment, effective immediately following the end of such thirty-day period.</w:t>
      </w:r>
    </w:p>
    <w:p>
      <w:pPr>
        <w:spacing w:after="0" w:line="59" w:lineRule="exact"/>
        <w:rPr>
          <w:rFonts w:ascii="Arial" w:cs="Arial" w:eastAsia="Arial" w:hAnsi="Arial"/>
          <w:sz w:val="18"/>
          <w:szCs w:val="18"/>
          <w:color w:val="auto"/>
        </w:rPr>
      </w:pPr>
    </w:p>
    <w:p>
      <w:pPr>
        <w:ind w:left="400" w:right="20" w:firstLine="443"/>
        <w:spacing w:after="0" w:line="268" w:lineRule="auto"/>
        <w:tabs>
          <w:tab w:leader="none" w:pos="10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Orion may terminate Executive’s employment with or without Cause (other than as a result of Disability which is governed by subsection (b)) by providing written notice to Executive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300" w:top="280" w:right="299" w:bottom="1440" w:gutter="0" w:footer="0" w:header="0"/>
        </w:sectPr>
      </w:pPr>
    </w:p>
    <w:bookmarkStart w:id="44" w:name="page45"/>
    <w:bookmarkEnd w:id="4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if Orion terminates Executive’s employment for Cause, then such written notice shall indicate in reasonable detail the facts and circumstances alleged to provide a basis for such termination for Cause.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 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Orion, and after a Change of Control, Orion’s successor, which may terminate Executive for Cause only after providing Executive (i) written notice as set forth above, (ii) the opportunity to appear before the Board and provide rebuttal to such proposed termination, and (iii) written notice following such appearance confirming such termination. Unless otherwise directed by Orion, from and after the date of the written notice of proposed termination, Executive shall be relieved of his duties and responsibilities and shall be considered to be on a paid leave of absence pending any final action by Orion or the successor confirming such proposed termination.</w:t>
      </w:r>
    </w:p>
    <w:p>
      <w:pPr>
        <w:spacing w:after="0" w:line="43" w:lineRule="exact"/>
        <w:rPr>
          <w:sz w:val="20"/>
          <w:szCs w:val="20"/>
          <w:color w:val="auto"/>
        </w:rPr>
      </w:pPr>
    </w:p>
    <w:p>
      <w:pPr>
        <w:ind w:firstLine="443"/>
        <w:spacing w:after="0" w:line="254"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may terminate his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 (30) day period, Executive’s termination of employment from Orion shall be effective on the date immediately following the end of such cure period.</w:t>
      </w:r>
    </w:p>
    <w:p>
      <w:pPr>
        <w:spacing w:after="0" w:line="138" w:lineRule="exact"/>
        <w:rPr>
          <w:sz w:val="20"/>
          <w:szCs w:val="20"/>
          <w:color w:val="auto"/>
        </w:rPr>
      </w:pPr>
    </w:p>
    <w:p>
      <w:pPr>
        <w:ind w:left="640" w:hanging="17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w:t>
      </w:r>
      <w:r>
        <w:rPr>
          <w:rFonts w:ascii="Arial" w:cs="Arial" w:eastAsia="Arial" w:hAnsi="Arial"/>
          <w:sz w:val="18"/>
          <w:szCs w:val="18"/>
          <w:color w:val="auto"/>
        </w:rPr>
        <w:t>.</w:t>
      </w:r>
    </w:p>
    <w:p>
      <w:pPr>
        <w:spacing w:after="0" w:line="90" w:lineRule="exact"/>
        <w:rPr>
          <w:sz w:val="20"/>
          <w:szCs w:val="20"/>
          <w:color w:val="auto"/>
        </w:rPr>
      </w:pPr>
    </w:p>
    <w:p>
      <w:pPr>
        <w:ind w:right="120" w:firstLine="443"/>
        <w:spacing w:after="0" w:line="338" w:lineRule="auto"/>
        <w:tabs>
          <w:tab w:leader="none" w:pos="677"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Entitlement to Severance</w:t>
      </w:r>
      <w:r>
        <w:rPr>
          <w:rFonts w:ascii="Arial" w:cs="Arial" w:eastAsia="Arial" w:hAnsi="Arial"/>
          <w:sz w:val="16"/>
          <w:szCs w:val="16"/>
          <w:color w:val="auto"/>
        </w:rPr>
        <w:t>. Subject to the other terms and conditions of this Agreement, Executive shall be entitled to the Accrued Benefits, and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severance benefits described in subsection (c), in either of the following circumstances while this Agreement is in effect:</w:t>
      </w:r>
    </w:p>
    <w:p>
      <w:pPr>
        <w:ind w:left="1100" w:hanging="219"/>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terminates his employment with Orion for Good Reason.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lived. Any non-renewal by Orion pursuant to Section 1 shall not constitute a termination of Executive’s employment under this Section 5(a) and Executive shall not be entitled to amounts set forth in Section 5(c). Any non-renewal by Executive of this Agreement pursuant to Section 1 shall constitute a resignation by Executive without Good Reason and Executive shall not be entitled to amounts set forth in Section 5(c).</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45" w:name="page46"/>
    <w:bookmarkEnd w:id="45"/>
    <w:p>
      <w:pPr>
        <w:jc w:val="both"/>
        <w:ind w:left="420" w:firstLine="443"/>
        <w:spacing w:after="0" w:line="258" w:lineRule="auto"/>
        <w:tabs>
          <w:tab w:leader="none" w:pos="110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Release Requirement</w:t>
      </w:r>
      <w:r>
        <w:rPr>
          <w:rFonts w:ascii="Arial" w:cs="Arial" w:eastAsia="Arial" w:hAnsi="Arial"/>
          <w:sz w:val="18"/>
          <w:szCs w:val="18"/>
          <w:color w:val="auto"/>
        </w:rPr>
        <w:t>. Executive will not be eligible to receive any payments or benefits under Section 5(c) until (i) Executive executes</w:t>
      </w:r>
      <w:r>
        <w:rPr>
          <w:rFonts w:ascii="Arial" w:cs="Arial" w:eastAsia="Arial" w:hAnsi="Arial"/>
          <w:sz w:val="18"/>
          <w:szCs w:val="18"/>
          <w:b w:val="1"/>
          <w:bCs w:val="1"/>
          <w:color w:val="auto"/>
        </w:rPr>
        <w:t xml:space="preserve"> </w:t>
      </w:r>
      <w:r>
        <w:rPr>
          <w:rFonts w:ascii="Arial" w:cs="Arial" w:eastAsia="Arial" w:hAnsi="Arial"/>
          <w:sz w:val="18"/>
          <w:szCs w:val="18"/>
          <w:color w:val="auto"/>
        </w:rPr>
        <w:t>a general release of all claims arising out of his employment with, and termination of employment from, Orion in the form proscribed by and acceptable to Orion (“General Release”); and (ii) the revocation period specified in such General Release expires without such Executive exercising his right of revocation as set forth in the General Release.</w:t>
      </w:r>
    </w:p>
    <w:p>
      <w:pPr>
        <w:spacing w:after="0" w:line="55" w:lineRule="exact"/>
        <w:rPr>
          <w:rFonts w:ascii="Arial" w:cs="Arial" w:eastAsia="Arial" w:hAnsi="Arial"/>
          <w:sz w:val="18"/>
          <w:szCs w:val="18"/>
          <w:color w:val="auto"/>
        </w:rPr>
      </w:pPr>
    </w:p>
    <w:p>
      <w:pPr>
        <w:ind w:left="420" w:right="140" w:firstLine="443"/>
        <w:spacing w:after="0" w:line="275" w:lineRule="auto"/>
        <w:tabs>
          <w:tab w:leader="none" w:pos="109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Severance Benefits; Timing and Form of Payment</w:t>
      </w:r>
      <w:r>
        <w:rPr>
          <w:rFonts w:ascii="Arial" w:cs="Arial" w:eastAsia="Arial" w:hAnsi="Arial"/>
          <w:sz w:val="18"/>
          <w:szCs w:val="18"/>
          <w:color w:val="auto"/>
        </w:rPr>
        <w:t>. Subject to Section 5(b) and the limitations imposed by Section 6, in lieu of any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pay under any severance pay plans, programs or policies, if Executive is entitled to severance benefits, then:</w:t>
      </w:r>
    </w:p>
    <w:p>
      <w:pPr>
        <w:spacing w:after="0" w:line="44" w:lineRule="exact"/>
        <w:rPr>
          <w:rFonts w:ascii="Arial" w:cs="Arial" w:eastAsia="Arial" w:hAnsi="Arial"/>
          <w:sz w:val="18"/>
          <w:szCs w:val="18"/>
          <w:color w:val="auto"/>
        </w:rPr>
      </w:pPr>
    </w:p>
    <w:p>
      <w:pPr>
        <w:ind w:left="880" w:right="480" w:firstLine="421"/>
        <w:spacing w:after="0" w:line="259" w:lineRule="auto"/>
        <w:tabs>
          <w:tab w:leader="none" w:pos="15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Orion shall pay Executive the Severance Payment on a ratable basis each month over the eighteen (18)-month period following the Executive’s Separation from Service, or if later, the date on which the General Release is no longer revocable, or if later, the date on which the amount payable under Section 6 is determined; and</w:t>
      </w:r>
    </w:p>
    <w:p>
      <w:pPr>
        <w:spacing w:after="0" w:line="59" w:lineRule="exact"/>
        <w:rPr>
          <w:rFonts w:ascii="Arial" w:cs="Arial" w:eastAsia="Arial" w:hAnsi="Arial"/>
          <w:sz w:val="18"/>
          <w:szCs w:val="18"/>
          <w:color w:val="auto"/>
        </w:rPr>
      </w:pPr>
    </w:p>
    <w:p>
      <w:pPr>
        <w:ind w:left="880" w:right="80" w:firstLine="421"/>
        <w:spacing w:after="0" w:line="268" w:lineRule="auto"/>
        <w:tabs>
          <w:tab w:leader="none" w:pos="15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Executive shall be entitled to receive premiums from Orion for COBRA continuation coverage for the length of such coverage at the same rate as is being charged to active employees for similar coverage.</w:t>
      </w:r>
    </w:p>
    <w:p>
      <w:pPr>
        <w:spacing w:after="0" w:line="51" w:lineRule="exact"/>
        <w:rPr>
          <w:sz w:val="20"/>
          <w:szCs w:val="20"/>
          <w:color w:val="auto"/>
        </w:rPr>
      </w:pPr>
    </w:p>
    <w:p>
      <w:pPr>
        <w:ind w:left="420" w:right="120"/>
        <w:spacing w:after="0" w:line="268" w:lineRule="auto"/>
        <w:rPr>
          <w:sz w:val="20"/>
          <w:szCs w:val="20"/>
          <w:color w:val="auto"/>
        </w:rPr>
      </w:pPr>
      <w:r>
        <w:rPr>
          <w:rFonts w:ascii="Arial" w:cs="Arial" w:eastAsia="Arial" w:hAnsi="Arial"/>
          <w:sz w:val="18"/>
          <w:szCs w:val="18"/>
          <w:color w:val="auto"/>
        </w:rPr>
        <w:t>All payments shall be subject to payroll taxes and other withholdings in accordance with Orion’s (or the applicable employer of record’s) standard payroll practices and applicable law.</w:t>
      </w:r>
    </w:p>
    <w:p>
      <w:pPr>
        <w:spacing w:after="0" w:line="45" w:lineRule="exact"/>
        <w:rPr>
          <w:sz w:val="20"/>
          <w:szCs w:val="20"/>
          <w:color w:val="auto"/>
        </w:rPr>
      </w:pPr>
    </w:p>
    <w:p>
      <w:pPr>
        <w:ind w:left="420" w:right="20" w:firstLine="443"/>
        <w:spacing w:after="0" w:line="256" w:lineRule="auto"/>
        <w:tabs>
          <w:tab w:leader="none" w:pos="1107"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Other Termination of Employment</w:t>
      </w:r>
      <w:r>
        <w:rPr>
          <w:rFonts w:ascii="Arial" w:cs="Arial" w:eastAsia="Arial" w:hAnsi="Arial"/>
          <w:sz w:val="18"/>
          <w:szCs w:val="18"/>
          <w:color w:val="auto"/>
        </w:rPr>
        <w:t>. If Executive’s employment terminates for any reason other than those described in subsection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Orion to which Executive is then a party. Orion’s obligations under this Section 5 shall survive the termination of this Agreement.</w:t>
      </w:r>
    </w:p>
    <w:p>
      <w:pPr>
        <w:spacing w:after="0" w:line="139" w:lineRule="exact"/>
        <w:rPr>
          <w:sz w:val="20"/>
          <w:szCs w:val="20"/>
          <w:color w:val="auto"/>
        </w:rPr>
      </w:pPr>
    </w:p>
    <w:p>
      <w:pPr>
        <w:ind w:left="-40" w:right="140" w:firstLine="921"/>
        <w:spacing w:after="0" w:line="311" w:lineRule="auto"/>
        <w:tabs>
          <w:tab w:leader="none" w:pos="1048" w:val="left"/>
        </w:tabs>
        <w:numPr>
          <w:ilvl w:val="0"/>
          <w:numId w:val="28"/>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Limitations on Severance Payments and Benefits</w:t>
      </w:r>
      <w:r>
        <w:rPr>
          <w:rFonts w:ascii="Arial" w:cs="Arial" w:eastAsia="Arial" w:hAnsi="Arial"/>
          <w:sz w:val="15"/>
          <w:szCs w:val="15"/>
          <w:color w:val="auto"/>
        </w:rPr>
        <w:t>. Notwithstanding any other provision of this Agreement, if any portion of the Severance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Payment or any other payment under this Agreement, or under any other agreement with or plan of Orion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Orion may pay without loss of deduction under Code Section 280G(a);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4" w:right="259" w:bottom="1440" w:gutter="0" w:footer="0" w:header="0"/>
        </w:sectPr>
      </w:pPr>
    </w:p>
    <w:bookmarkStart w:id="46" w:name="page47"/>
    <w:bookmarkEnd w:id="4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 counsel selected by Orion’s independent auditors and acceptable to Executive in Executive’s sole discretion, which opinion sets forth: (A) the amount of the Executive’s “annualized includible compensation for the base period” as defined in Code Section 280G(d)(1),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binding upon Orion and Executive.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reduction in payments and/or benefits required by this Section will occur in the following order: (I) reduction of cash payments; (II) reduction of vesting acceleration of equity awards; and (III) reduction of other benefits paid or provided to Executive. In the event that acceleration of vesting of equity awards is to be reduced, such acceleration of vesting will be cancelled in the reverse order of the date of grant for Executive’s equity awards. If two or more equity awards are granted on the same date, each award will be reduced on a pro-rata basis. In no event will Executive exercise any discretion with respect to the ordering of any reductions of payments or benefits under this Section 6.</w:t>
      </w:r>
    </w:p>
    <w:p>
      <w:pPr>
        <w:spacing w:after="0" w:line="137" w:lineRule="exact"/>
        <w:rPr>
          <w:sz w:val="20"/>
          <w:szCs w:val="20"/>
          <w:color w:val="auto"/>
        </w:rPr>
      </w:pPr>
    </w:p>
    <w:p>
      <w:pPr>
        <w:ind w:left="1100" w:hanging="179"/>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by Executive</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93" w:lineRule="auto"/>
        <w:tabs>
          <w:tab w:leader="none" w:pos="1137"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Nondisclosure of Third Party Confidential Information</w:t>
      </w:r>
      <w:r>
        <w:rPr>
          <w:rFonts w:ascii="Arial" w:cs="Arial" w:eastAsia="Arial" w:hAnsi="Arial"/>
          <w:sz w:val="16"/>
          <w:szCs w:val="16"/>
          <w:color w:val="auto"/>
        </w:rPr>
        <w:t>. During Executive’s employment with Orion and after Termination of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Executive shall not use or disclose Third Party Confidential Information for as long as the relevant third party has required Orion to maintain its confidentiality, or for so long as required by applicable law, whichever period is longer. This prohibition does not prohibit Executive’s use of general skills and know-how acquired during and prior to employment by Orion, as long as such use does not involve the use or disclosure of Third Party Confidential Information. This prohibition also does not prohibit the description by Executive of Executive’s employment history and duties, for work search or other purposes, as long as such use does not involve the use or disclosure of Third Party Confidential Information.</w:t>
      </w:r>
    </w:p>
    <w:p>
      <w:pPr>
        <w:spacing w:after="0" w:line="29" w:lineRule="exact"/>
        <w:rPr>
          <w:rFonts w:ascii="Arial" w:cs="Arial" w:eastAsia="Arial" w:hAnsi="Arial"/>
          <w:sz w:val="16"/>
          <w:szCs w:val="16"/>
          <w:color w:val="auto"/>
        </w:rPr>
      </w:pPr>
    </w:p>
    <w:p>
      <w:pPr>
        <w:ind w:left="460" w:right="20" w:firstLine="443"/>
        <w:spacing w:after="0" w:line="310"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Non-disclosure of Trade Secrets</w:t>
      </w:r>
      <w:r>
        <w:rPr>
          <w:rFonts w:ascii="Arial" w:cs="Arial" w:eastAsia="Arial" w:hAnsi="Arial"/>
          <w:sz w:val="16"/>
          <w:szCs w:val="16"/>
          <w:color w:val="auto"/>
        </w:rPr>
        <w:t>. During employment and after Termination of Executive’s Employment, Executive shall not use or disclose</w:t>
      </w:r>
      <w:r>
        <w:rPr>
          <w:rFonts w:ascii="Arial" w:cs="Arial" w:eastAsia="Arial" w:hAnsi="Arial"/>
          <w:sz w:val="16"/>
          <w:szCs w:val="16"/>
          <w:b w:val="1"/>
          <w:bCs w:val="1"/>
          <w:color w:val="auto"/>
        </w:rPr>
        <w:t xml:space="preserve"> </w:t>
      </w:r>
      <w:r>
        <w:rPr>
          <w:rFonts w:ascii="Arial" w:cs="Arial" w:eastAsia="Arial" w:hAnsi="Arial"/>
          <w:sz w:val="16"/>
          <w:szCs w:val="16"/>
          <w:color w:val="auto"/>
        </w:rPr>
        <w:t>Orion’s Trade Secrets so long as they remain Trade Secrets. Nothing in this Agreement shall limit either Executive’s statutory and other duties not to use or disclose Orion’s Trade Secrets, or Orion’s remedies in the event Executive uses or discloses Orion’s Trade Secrets.</w:t>
      </w:r>
    </w:p>
    <w:p>
      <w:pPr>
        <w:spacing w:after="0" w:line="16" w:lineRule="exact"/>
        <w:rPr>
          <w:rFonts w:ascii="Arial" w:cs="Arial" w:eastAsia="Arial" w:hAnsi="Arial"/>
          <w:sz w:val="16"/>
          <w:szCs w:val="16"/>
          <w:color w:val="auto"/>
        </w:rPr>
      </w:pPr>
    </w:p>
    <w:p>
      <w:pPr>
        <w:jc w:val="both"/>
        <w:ind w:left="460" w:right="400" w:firstLine="443"/>
        <w:spacing w:after="0" w:line="378" w:lineRule="auto"/>
        <w:tabs>
          <w:tab w:leader="none" w:pos="1137"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Obligations Not to Disclose or Use Confidential Information</w:t>
      </w:r>
      <w:r>
        <w:rPr>
          <w:rFonts w:ascii="Arial" w:cs="Arial" w:eastAsia="Arial" w:hAnsi="Arial"/>
          <w:sz w:val="15"/>
          <w:szCs w:val="15"/>
          <w:color w:val="auto"/>
        </w:rPr>
        <w:t>. Except as set forth herein or as expressly authorized in writing on behalf of</w:t>
      </w:r>
      <w:r>
        <w:rPr>
          <w:rFonts w:ascii="Arial" w:cs="Arial" w:eastAsia="Arial" w:hAnsi="Arial"/>
          <w:sz w:val="15"/>
          <w:szCs w:val="15"/>
          <w:b w:val="1"/>
          <w:bCs w:val="1"/>
          <w:color w:val="auto"/>
        </w:rPr>
        <w:t xml:space="preserve"> </w:t>
      </w:r>
      <w:r>
        <w:rPr>
          <w:rFonts w:ascii="Arial" w:cs="Arial" w:eastAsia="Arial" w:hAnsi="Arial"/>
          <w:sz w:val="15"/>
          <w:szCs w:val="15"/>
          <w:color w:val="auto"/>
        </w:rPr>
        <w:t>Orion, Executive agrees that while Executive is employed by Orion and during the two (2) year period commencing at the Termination of Executive’s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7" w:name="page48"/>
    <w:bookmarkEnd w:id="47"/>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Executive will not use or disclose (except in discharging Executive’s job duties with Orion) any Confidential Information, whether such Confidential Information is in Executive’s memory or it is set forth electronically, in writing or other form. This prohibition does not prohibit Executive’s disclosure of information after it ceases to meet the definition of “Confidential Information,” or Executive’s use of general skills and know-how acquired during and prior to employment by Orion, so long as such use does not involve the use or disclosure of Confidential Information; nor does this prohibition restrict Executive from providing prospective employers with an employment history or description of Executive’s duties with Orion, so long as Executive does not use or disclose Confidential Information. Notwithstanding the foregoing, if Executive learns information in the course of employment with Orion which is subject to a law governing confidentiality or non-disclosure, Executive shall keep such information confidential for so long as required by law, or for two (2) years, whichever period is longer.</w:t>
      </w:r>
    </w:p>
    <w:p>
      <w:pPr>
        <w:spacing w:after="0" w:line="31" w:lineRule="exact"/>
        <w:rPr>
          <w:sz w:val="20"/>
          <w:szCs w:val="20"/>
          <w:color w:val="auto"/>
        </w:rPr>
      </w:pPr>
    </w:p>
    <w:p>
      <w:pPr>
        <w:ind w:firstLine="443"/>
        <w:spacing w:after="0" w:line="285" w:lineRule="auto"/>
        <w:tabs>
          <w:tab w:leader="none" w:pos="687"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Return of Property; No Copying or Transfer of Documents</w:t>
      </w:r>
      <w:r>
        <w:rPr>
          <w:rFonts w:ascii="Arial" w:cs="Arial" w:eastAsia="Arial" w:hAnsi="Arial"/>
          <w:sz w:val="16"/>
          <w:szCs w:val="16"/>
          <w:color w:val="auto"/>
        </w:rPr>
        <w:t>. All equipment, books, records, papers, notes, catalogs, compilations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data bases, correspondence, recordings, stored data (including data or files that exist on any personal computer or other electronic storage device), software, and any physical items, including copies and duplicates, that Executive generates or develops or which come into Executive’s possession or control, which relate directly or indirectly to, or are a part of Orion’s (or its customers’) business matters, whether of a public nature or not, shall be and remain the property of Orion, and Executive shall deliver all such materials and items, and any and all copies of them, to Orion upon termination of employment. During employment or after Termination of Executive’s Employment, Executive will not copy, duplicate, or otherwise reproduce, or permit copying, duplicating, or reproduction of Orion documents or writings, whether stored on paper, magnetic tape, CD, electronically, or otherwise, including but not limited to notes, notebooks, letters, blueprints, manuals, drawings, sketches, specifications, formulas, financial documents, business plans, and the like, or any other documentation owned or originated by Orion and relating to Orion’s business which, from time to time, may have come into Executive’s possession, custody, or control as a result of or in the course of Executive’s employment with Orion, without the express written consent of Orion, or, as a part of Executive’s duties performed hereunder for the benefit of Orion. Executive expressly covenants and warrants, upon termination of employment for any reason (or no reason), that Executive shall promptly deliver to Orion any and all originals and copies in Executive’s possession, custody, or control of any and all said property, documents or writings, and that Executive shall not make, retain, or transfer to any third party any copies thereof. In the event any Confidential Information or Trade Secrets are stored or otherwise kept in or on a computer hard drive or other storage device owned by or otherwise in the possession or control of Executive (collectively, “Executive Storage Device”), upon Termination of Executive’s Employment Executive will present to Orion for inspection and removal of all information regarding Orion (including but not limited to Confidential Information or Trade Secrets) stored on any Executive Storage Device.</w:t>
      </w:r>
    </w:p>
    <w:p>
      <w:pPr>
        <w:spacing w:after="0" w:line="40" w:lineRule="exact"/>
        <w:rPr>
          <w:rFonts w:ascii="Arial" w:cs="Arial" w:eastAsia="Arial" w:hAnsi="Arial"/>
          <w:sz w:val="16"/>
          <w:szCs w:val="16"/>
          <w:color w:val="auto"/>
        </w:rPr>
      </w:pPr>
    </w:p>
    <w:p>
      <w:pPr>
        <w:ind w:firstLine="443"/>
        <w:spacing w:after="0" w:line="255" w:lineRule="auto"/>
        <w:tabs>
          <w:tab w:leader="none" w:pos="67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Duty of Loyalty</w:t>
      </w:r>
      <w:r>
        <w:rPr>
          <w:rFonts w:ascii="Arial" w:cs="Arial" w:eastAsia="Arial" w:hAnsi="Arial"/>
          <w:sz w:val="18"/>
          <w:szCs w:val="18"/>
          <w:color w:val="auto"/>
        </w:rPr>
        <w:t>. During employment with Orion, Executive shall owe Orion an undivided duty of loyalty, and shall take no action adverse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duty of loyalty. Executive’s duty of loyalty to Orion includes but is not limited to a duty to promptly disclose to Orion any information that might cause Orion to take or refrain from taking any action, or which otherwise might cause Orion to alter its behavior. Without limiting the generality of the foregoing, Executive shall promptly notify Orion at any time that Executive decides to terminate employment with Orion or enter into competition with Orion, as Orion may decide at such time to limit, suspend, or terminate Executive’s employment or access to one or more Companies’ Confidential Information, Trade Secrets, or customer relationships.</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48" w:name="page49"/>
    <w:bookmarkEnd w:id="48"/>
    <w:p>
      <w:pPr>
        <w:ind w:right="360" w:firstLine="443"/>
        <w:spacing w:after="0" w:line="275" w:lineRule="auto"/>
        <w:tabs>
          <w:tab w:leader="none" w:pos="65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Restriction on Misuse of Goodwill</w:t>
      </w:r>
      <w:r>
        <w:rPr>
          <w:rFonts w:ascii="Arial" w:cs="Arial" w:eastAsia="Arial" w:hAnsi="Arial"/>
          <w:sz w:val="18"/>
          <w:szCs w:val="18"/>
          <w:color w:val="auto"/>
        </w:rPr>
        <w:t>. For eighteen (18) months following the Termination of Executive’s Employment,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not sell or solicit the sale of a Competing Product to a Restricted Customer.</w:t>
      </w:r>
    </w:p>
    <w:p>
      <w:pPr>
        <w:spacing w:after="0" w:line="38" w:lineRule="exact"/>
        <w:rPr>
          <w:rFonts w:ascii="Arial" w:cs="Arial" w:eastAsia="Arial" w:hAnsi="Arial"/>
          <w:sz w:val="18"/>
          <w:szCs w:val="18"/>
          <w:color w:val="auto"/>
        </w:rPr>
      </w:pPr>
    </w:p>
    <w:p>
      <w:pPr>
        <w:ind w:right="300" w:firstLine="443"/>
        <w:spacing w:after="0" w:line="262"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Limited Restriction on Assisting Misuse of Goodwill</w:t>
      </w:r>
      <w:r>
        <w:rPr>
          <w:rFonts w:ascii="Arial" w:cs="Arial" w:eastAsia="Arial" w:hAnsi="Arial"/>
          <w:sz w:val="18"/>
          <w:szCs w:val="18"/>
          <w:color w:val="auto"/>
        </w:rPr>
        <w:t>. For eighteen (18) months following the Termination of Executive’s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whatever reason, Executive shall not perform Services as part of or in support of providing, selling or soliciting the sale of a Competing Product to a Restricted Customer.</w:t>
      </w:r>
    </w:p>
    <w:p>
      <w:pPr>
        <w:spacing w:after="0" w:line="51" w:lineRule="exact"/>
        <w:rPr>
          <w:rFonts w:ascii="Arial" w:cs="Arial" w:eastAsia="Arial" w:hAnsi="Arial"/>
          <w:sz w:val="18"/>
          <w:szCs w:val="18"/>
          <w:color w:val="auto"/>
        </w:rPr>
      </w:pPr>
    </w:p>
    <w:p>
      <w:pPr>
        <w:ind w:right="360" w:firstLine="443"/>
        <w:spacing w:after="0" w:line="2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Limited Restriction on Misuse of Information</w:t>
      </w:r>
      <w:r>
        <w:rPr>
          <w:rFonts w:ascii="Arial" w:cs="Arial" w:eastAsia="Arial" w:hAnsi="Arial"/>
          <w:sz w:val="18"/>
          <w:szCs w:val="18"/>
          <w:color w:val="auto"/>
        </w:rPr>
        <w:t>. For eighteen (18) months following Termination of Executive’s Employment,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not sell or solicit the sale of a Competing Product to a Strategic Customer.</w:t>
      </w:r>
    </w:p>
    <w:p>
      <w:pPr>
        <w:spacing w:after="0" w:line="38" w:lineRule="exact"/>
        <w:rPr>
          <w:rFonts w:ascii="Arial" w:cs="Arial" w:eastAsia="Arial" w:hAnsi="Arial"/>
          <w:sz w:val="18"/>
          <w:szCs w:val="18"/>
          <w:color w:val="auto"/>
        </w:rPr>
      </w:pPr>
    </w:p>
    <w:p>
      <w:pPr>
        <w:ind w:right="360" w:firstLine="443"/>
        <w:spacing w:after="0" w:line="262"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Limited Restriction on Assisting Misuse of Information</w:t>
      </w:r>
      <w:r>
        <w:rPr>
          <w:rFonts w:ascii="Arial" w:cs="Arial" w:eastAsia="Arial" w:hAnsi="Arial"/>
          <w:sz w:val="18"/>
          <w:szCs w:val="18"/>
          <w:color w:val="auto"/>
        </w:rPr>
        <w:t>. For eighteen (18) months following Termination of Executive’s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whatever reason, Executive shall not perform Services as part of or in support of providing, selling or soliciting the sale of a Competing Product to a Strategic Customer.</w:t>
      </w:r>
    </w:p>
    <w:p>
      <w:pPr>
        <w:spacing w:after="0" w:line="51" w:lineRule="exact"/>
        <w:rPr>
          <w:rFonts w:ascii="Arial" w:cs="Arial" w:eastAsia="Arial" w:hAnsi="Arial"/>
          <w:sz w:val="18"/>
          <w:szCs w:val="18"/>
          <w:color w:val="auto"/>
        </w:rPr>
      </w:pPr>
    </w:p>
    <w:p>
      <w:pPr>
        <w:ind w:right="220" w:firstLine="443"/>
        <w:spacing w:after="0" w:line="262"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Limited Territorial Restriction</w:t>
      </w:r>
      <w:r>
        <w:rPr>
          <w:rFonts w:ascii="Arial" w:cs="Arial" w:eastAsia="Arial" w:hAnsi="Arial"/>
          <w:sz w:val="18"/>
          <w:szCs w:val="18"/>
          <w:color w:val="auto"/>
        </w:rPr>
        <w:t>. For eighteen (18) months following Termination of Executive’s Employment, for whatever reason,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perform Services as part of or in support of the business of selling, soliciting the sale of or providing Competing Products in the Restricted Territory.</w:t>
      </w:r>
    </w:p>
    <w:p>
      <w:pPr>
        <w:spacing w:after="0" w:line="51" w:lineRule="exact"/>
        <w:rPr>
          <w:rFonts w:ascii="Arial" w:cs="Arial" w:eastAsia="Arial" w:hAnsi="Arial"/>
          <w:sz w:val="18"/>
          <w:szCs w:val="18"/>
          <w:color w:val="auto"/>
        </w:rPr>
      </w:pPr>
    </w:p>
    <w:p>
      <w:pPr>
        <w:ind w:right="220" w:firstLine="443"/>
        <w:spacing w:after="0" w:line="262"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Limited Territorial Restriction — Design, Development, Production and Testing Activities</w:t>
      </w:r>
      <w:r>
        <w:rPr>
          <w:rFonts w:ascii="Arial" w:cs="Arial" w:eastAsia="Arial" w:hAnsi="Arial"/>
          <w:sz w:val="18"/>
          <w:szCs w:val="18"/>
          <w:color w:val="auto"/>
        </w:rPr>
        <w:t>. For eighteen (18)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Executive’s Employment, for whatever reason, Executive shall not perform Services as part of or in support of the business of designing, testing, developing or producing Competing Products for sale in the Restricted Territory.</w:t>
      </w:r>
    </w:p>
    <w:p>
      <w:pPr>
        <w:spacing w:after="0" w:line="51" w:lineRule="exact"/>
        <w:rPr>
          <w:rFonts w:ascii="Arial" w:cs="Arial" w:eastAsia="Arial" w:hAnsi="Arial"/>
          <w:sz w:val="18"/>
          <w:szCs w:val="18"/>
          <w:color w:val="auto"/>
        </w:rPr>
      </w:pPr>
    </w:p>
    <w:p>
      <w:pPr>
        <w:ind w:right="240" w:firstLine="443"/>
        <w:spacing w:after="0" w:line="25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Non-solicitation of Key Employees</w:t>
      </w:r>
      <w:r>
        <w:rPr>
          <w:rFonts w:ascii="Arial" w:cs="Arial" w:eastAsia="Arial" w:hAnsi="Arial"/>
          <w:sz w:val="18"/>
          <w:szCs w:val="18"/>
          <w:color w:val="auto"/>
        </w:rPr>
        <w:t>. For eighteen (18) months following the Termination of Executive’s Employment, for whatever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without the prior written consent of Orion, solicit a Key Employee to engage in competition with Orion, unless such Key Employee has already ceased employment with Orion. This shall not bar any Employee of Orion from applying for or accepting employment with any person or entity.</w:t>
      </w:r>
    </w:p>
    <w:p>
      <w:pPr>
        <w:spacing w:after="0" w:line="55" w:lineRule="exact"/>
        <w:rPr>
          <w:rFonts w:ascii="Arial" w:cs="Arial" w:eastAsia="Arial" w:hAnsi="Arial"/>
          <w:sz w:val="18"/>
          <w:szCs w:val="18"/>
          <w:color w:val="auto"/>
        </w:rPr>
      </w:pPr>
    </w:p>
    <w:p>
      <w:pPr>
        <w:ind w:left="740" w:hanging="29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Disclosure and Assignment to Orion of Inventions and Innovations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firstLine="421"/>
        <w:spacing w:after="0" w:line="290" w:lineRule="auto"/>
        <w:tabs>
          <w:tab w:leader="none" w:pos="10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Executive agrees to disclose and assign to Orion as Orion’s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Orion to which Executive’s employment relates or as to which Executive may receive information due to Executive’s employment with Orion, or (2) that result from or are suggested by any work which Executive may do for Orion or (3) that are otherwise made through the use of Orion time, facilities or materials. To the extent any of the Innovations is copyrightable, each such Innovation shall be considered a “work for hire.”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49" w:name="page50"/>
    <w:bookmarkEnd w:id="49"/>
    <w:p>
      <w:pPr>
        <w:ind w:left="880" w:right="120" w:firstLine="421"/>
        <w:spacing w:after="0" w:line="259" w:lineRule="auto"/>
        <w:tabs>
          <w:tab w:leader="none" w:pos="1558"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agrees to execute all necessary papers and otherwise provide proper assistance (at Orion’s expense), during and subsequent to Executive’s employment, to enable Orion to obtain for itself or its nominees, all right, title, and interest in and to patents, copyrights, trademarks or other legal protection for such Innovations in any and all countries.</w:t>
      </w:r>
    </w:p>
    <w:p>
      <w:pPr>
        <w:spacing w:after="0" w:line="59" w:lineRule="exact"/>
        <w:rPr>
          <w:rFonts w:ascii="Arial" w:cs="Arial" w:eastAsia="Arial" w:hAnsi="Arial"/>
          <w:sz w:val="18"/>
          <w:szCs w:val="18"/>
          <w:color w:val="auto"/>
        </w:rPr>
      </w:pPr>
    </w:p>
    <w:p>
      <w:pPr>
        <w:ind w:left="1600" w:hanging="299"/>
        <w:spacing w:after="0"/>
        <w:tabs>
          <w:tab w:leader="none" w:pos="1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Executive agrees to make and maintain for Orion adequate and current written records of all such Innovations;</w:t>
      </w:r>
    </w:p>
    <w:p>
      <w:pPr>
        <w:spacing w:after="0" w:line="90" w:lineRule="exact"/>
        <w:rPr>
          <w:rFonts w:ascii="Arial" w:cs="Arial" w:eastAsia="Arial" w:hAnsi="Arial"/>
          <w:sz w:val="18"/>
          <w:szCs w:val="18"/>
          <w:color w:val="auto"/>
        </w:rPr>
      </w:pPr>
    </w:p>
    <w:p>
      <w:pPr>
        <w:ind w:left="880" w:firstLine="421"/>
        <w:spacing w:after="0" w:line="259" w:lineRule="auto"/>
        <w:tabs>
          <w:tab w:leader="none" w:pos="15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Orion promptly all items which belong to Orion or which by their nature are for the use of Orion employees only, including, without limitation, all written and other materials which are of a secret or confidential nature relating to the business of Orion.</w:t>
      </w:r>
    </w:p>
    <w:p>
      <w:pPr>
        <w:spacing w:after="0" w:line="59" w:lineRule="exact"/>
        <w:rPr>
          <w:rFonts w:ascii="Arial" w:cs="Arial" w:eastAsia="Arial" w:hAnsi="Arial"/>
          <w:sz w:val="18"/>
          <w:szCs w:val="18"/>
          <w:color w:val="auto"/>
        </w:rPr>
      </w:pPr>
    </w:p>
    <w:p>
      <w:pPr>
        <w:ind w:left="880" w:right="40" w:firstLine="421"/>
        <w:spacing w:after="0" w:line="290" w:lineRule="auto"/>
        <w:tabs>
          <w:tab w:leader="none" w:pos="15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Orion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Orion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Orion any and all claims, of any nature whatsoever, which Executive may now have or may hereafter have for infringement of any patent or copyright resulting from any such application.</w:t>
      </w:r>
    </w:p>
    <w:p>
      <w:pPr>
        <w:spacing w:after="0" w:line="31" w:lineRule="exact"/>
        <w:rPr>
          <w:rFonts w:ascii="Arial" w:cs="Arial" w:eastAsia="Arial" w:hAnsi="Arial"/>
          <w:sz w:val="16"/>
          <w:szCs w:val="16"/>
          <w:color w:val="auto"/>
        </w:rPr>
      </w:pPr>
    </w:p>
    <w:p>
      <w:pPr>
        <w:ind w:left="420" w:right="40" w:firstLine="443"/>
        <w:spacing w:after="0" w:line="291" w:lineRule="auto"/>
        <w:tabs>
          <w:tab w:leader="none" w:pos="1107"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Remedies Not Exclusive</w:t>
      </w:r>
      <w:r>
        <w:rPr>
          <w:rFonts w:ascii="Arial" w:cs="Arial" w:eastAsia="Arial" w:hAnsi="Arial"/>
          <w:sz w:val="16"/>
          <w:szCs w:val="16"/>
          <w:color w:val="auto"/>
        </w:rPr>
        <w:t>. In the event that Executive breaches any terms of this Section 7, Executive acknowledges and agrees that said breach</w:t>
      </w:r>
      <w:r>
        <w:rPr>
          <w:rFonts w:ascii="Arial" w:cs="Arial" w:eastAsia="Arial" w:hAnsi="Arial"/>
          <w:sz w:val="16"/>
          <w:szCs w:val="16"/>
          <w:b w:val="1"/>
          <w:bCs w:val="1"/>
          <w:color w:val="auto"/>
        </w:rPr>
        <w:t xml:space="preserve"> </w:t>
      </w:r>
      <w:r>
        <w:rPr>
          <w:rFonts w:ascii="Arial" w:cs="Arial" w:eastAsia="Arial" w:hAnsi="Arial"/>
          <w:sz w:val="16"/>
          <w:szCs w:val="16"/>
          <w:color w:val="auto"/>
        </w:rPr>
        <w:t>may result in the immediate and irreparable harm to the business and goodwill of Orion and that damages, if any, and remedies of law for such breach may be inadequate and indeterminable. Orion, upon Executive’s breach of this Section 7, shall therefore be entitled (in addition to and without limiting any other remedies that Orion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Orion shall prevail, its reasonable attorney’s fees and costs and other expenses in enforcing its rights under this Section 7.</w:t>
      </w:r>
    </w:p>
    <w:p>
      <w:pPr>
        <w:spacing w:after="0" w:line="32" w:lineRule="exact"/>
        <w:rPr>
          <w:rFonts w:ascii="Arial" w:cs="Arial" w:eastAsia="Arial" w:hAnsi="Arial"/>
          <w:sz w:val="16"/>
          <w:szCs w:val="16"/>
          <w:color w:val="auto"/>
        </w:rPr>
      </w:pPr>
    </w:p>
    <w:p>
      <w:pPr>
        <w:ind w:left="420" w:firstLine="443"/>
        <w:spacing w:after="0" w:line="255" w:lineRule="auto"/>
        <w:tabs>
          <w:tab w:leader="none" w:pos="109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by a court of competent jurisdiction, it shall not be stricken in its entirety and held totally void and 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139" w:lineRule="exact"/>
        <w:rPr>
          <w:sz w:val="20"/>
          <w:szCs w:val="20"/>
          <w:color w:val="auto"/>
        </w:rPr>
      </w:pPr>
    </w:p>
    <w:p>
      <w:pPr>
        <w:ind w:left="-40" w:right="180" w:firstLine="921"/>
        <w:spacing w:after="0" w:line="275" w:lineRule="auto"/>
        <w:tabs>
          <w:tab w:leader="none" w:pos="1048"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80" w:top="280" w:right="279" w:bottom="1440" w:gutter="0" w:footer="0" w:header="0"/>
        </w:sectPr>
      </w:pPr>
    </w:p>
    <w:bookmarkStart w:id="50" w:name="page51"/>
    <w:bookmarkEnd w:id="5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States mail, postage prepaid, addressed to Executive at the address appearing at the end of this Agreement and to Orion with attention to the Chief Executive Officer of Orion and the General Counsel of Orion. Either party may change its address by written notice in accordance with this paragraph.</w:t>
      </w:r>
    </w:p>
    <w:p>
      <w:pPr>
        <w:spacing w:after="0" w:line="79" w:lineRule="exact"/>
        <w:rPr>
          <w:sz w:val="20"/>
          <w:szCs w:val="20"/>
          <w:color w:val="auto"/>
        </w:rPr>
      </w:pPr>
    </w:p>
    <w:p>
      <w:pPr>
        <w:ind w:right="100" w:firstLine="921"/>
        <w:spacing w:after="0" w:line="262"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Orion’s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Orion. However, Executive shall not be required to mitigate the amount of any payment provided for pursuant to this Agreement by seeking other employment or otherwise.</w:t>
      </w:r>
    </w:p>
    <w:p>
      <w:pPr>
        <w:spacing w:after="0" w:line="132" w:lineRule="exact"/>
        <w:rPr>
          <w:rFonts w:ascii="Arial" w:cs="Arial" w:eastAsia="Arial" w:hAnsi="Arial"/>
          <w:sz w:val="18"/>
          <w:szCs w:val="18"/>
          <w:color w:val="auto"/>
        </w:rPr>
      </w:pPr>
    </w:p>
    <w:p>
      <w:pPr>
        <w:ind w:right="160" w:firstLine="921"/>
        <w:spacing w:after="0" w:line="296" w:lineRule="auto"/>
        <w:tabs>
          <w:tab w:leader="none" w:pos="1176" w:val="left"/>
        </w:tabs>
        <w:numPr>
          <w:ilvl w:val="1"/>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Orion will require any successor (whether direct or indirect, by purchase, merger, consolidation or otherwise) to all or substantially all of the business and/or assets of Orion to assume expressly and agree to perform this Agreement in the same manner and to the same extent that Orion would be required to perform it if no such succession had taken place. As used in this Agreement, “Orion” shall mean Orion as hereinbefore defined and any successor to its business and/or assets as aforesaid which assumes and agrees to perform this Agreement by operation of law, or otherwise.</w:t>
      </w:r>
    </w:p>
    <w:p>
      <w:pPr>
        <w:spacing w:after="0" w:line="107" w:lineRule="exact"/>
        <w:rPr>
          <w:rFonts w:ascii="Arial" w:cs="Arial" w:eastAsia="Arial" w:hAnsi="Arial"/>
          <w:sz w:val="16"/>
          <w:szCs w:val="16"/>
          <w:color w:val="auto"/>
        </w:rPr>
      </w:pPr>
    </w:p>
    <w:p>
      <w:pPr>
        <w:ind w:right="80" w:firstLine="921"/>
        <w:spacing w:after="0" w:line="293" w:lineRule="auto"/>
        <w:tabs>
          <w:tab w:leader="none" w:pos="1170" w:val="left"/>
        </w:tabs>
        <w:numPr>
          <w:ilvl w:val="1"/>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Any controversy or claim arising out of or relating to this Agreement or the breach of this Agreement that cannot be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resolved by the Executive and Orion,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Orion and the Executive, and judgment may be entered on the arbitrator’s award in any court having jurisdiction. Notwithstanding the foregoing, both Executive and Orion may seek to obtain injunctive relief in a Wisconsin court of competent jurisdiction pending arbitration.</w:t>
      </w:r>
    </w:p>
    <w:p>
      <w:pPr>
        <w:spacing w:after="0" w:line="110" w:lineRule="exact"/>
        <w:rPr>
          <w:rFonts w:ascii="Arial" w:cs="Arial" w:eastAsia="Arial" w:hAnsi="Arial"/>
          <w:sz w:val="16"/>
          <w:szCs w:val="16"/>
          <w:color w:val="auto"/>
        </w:rPr>
      </w:pPr>
    </w:p>
    <w:p>
      <w:pPr>
        <w:jc w:val="both"/>
        <w:ind w:firstLine="921"/>
        <w:spacing w:after="0" w:line="258" w:lineRule="auto"/>
        <w:tabs>
          <w:tab w:leader="none" w:pos="1176" w:val="left"/>
        </w:tabs>
        <w:numPr>
          <w:ilvl w:val="1"/>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136" w:lineRule="exact"/>
        <w:rPr>
          <w:rFonts w:ascii="Arial" w:cs="Arial" w:eastAsia="Arial" w:hAnsi="Arial"/>
          <w:sz w:val="18"/>
          <w:szCs w:val="18"/>
          <w:color w:val="auto"/>
        </w:rPr>
      </w:pPr>
    </w:p>
    <w:p>
      <w:pPr>
        <w:ind w:right="140" w:firstLine="921"/>
        <w:spacing w:after="0" w:line="303" w:lineRule="auto"/>
        <w:tabs>
          <w:tab w:leader="none" w:pos="1176" w:val="left"/>
        </w:tabs>
        <w:numPr>
          <w:ilvl w:val="1"/>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409A Compliance</w:t>
      </w:r>
      <w:r>
        <w:rPr>
          <w:rFonts w:ascii="Arial" w:cs="Arial" w:eastAsia="Arial" w:hAnsi="Arial"/>
          <w:sz w:val="15"/>
          <w:szCs w:val="15"/>
          <w:color w:val="auto"/>
        </w:rPr>
        <w:t>. This Agreement is intended to comply with, or otherwise be exempt from, Section 409A of the Code (“Section</w:t>
      </w:r>
      <w:r>
        <w:rPr>
          <w:rFonts w:ascii="Arial" w:cs="Arial" w:eastAsia="Arial" w:hAnsi="Arial"/>
          <w:sz w:val="15"/>
          <w:szCs w:val="15"/>
          <w:b w:val="1"/>
          <w:bCs w:val="1"/>
          <w:color w:val="auto"/>
        </w:rPr>
        <w:t xml:space="preserve"> </w:t>
      </w:r>
      <w:r>
        <w:rPr>
          <w:rFonts w:ascii="Arial" w:cs="Arial" w:eastAsia="Arial" w:hAnsi="Arial"/>
          <w:sz w:val="15"/>
          <w:szCs w:val="15"/>
          <w:color w:val="auto"/>
        </w:rPr>
        <w:t>409A”). Orion shall undertake to administer, interpret, and construe this Agreement in a manner that does not result in the imposition to the Executive of additional taxes or interest under Section 409A of the Code. If a payment obligation under this Agreement arises on account of the Executive’s Separation from Service while the Executive is a “specified employee” (as defined under Section 409A of the Code and determined in good faith by the Board), any payment of “deferred compensation” (as defined under Treasury Regulation Section 1.409A-1(b)(1), after giving effect to the exemptions in Treasury Regulation Sections 1.409A-1(b)(3) through (b)(12)) that is scheduled to be paid within six (6) months after such Separation from Service shall accrue without interest and shall be paid within fifteen (15) days after the end of the six-month period beginning on the date of such separation from service or, if earlier, within fifteen</w:t>
      </w: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days after the appointment of the personal representative or executor of the Executive’s estate following his death.</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51" w:name="page52"/>
    <w:bookmarkEnd w:id="51"/>
    <w:p>
      <w:pPr>
        <w:ind w:firstLine="921"/>
        <w:spacing w:after="0" w:line="275"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Captions and Paragraph Headings</w:t>
      </w:r>
      <w:r>
        <w:rPr>
          <w:rFonts w:ascii="Arial" w:cs="Arial" w:eastAsia="Arial" w:hAnsi="Arial"/>
          <w:sz w:val="18"/>
          <w:szCs w:val="18"/>
          <w:color w:val="auto"/>
        </w:rPr>
        <w:t>. Captions and paragraph headings used herein are for convenience only and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not be used in construing it.</w:t>
      </w:r>
    </w:p>
    <w:p>
      <w:pPr>
        <w:spacing w:after="0" w:line="119" w:lineRule="exact"/>
        <w:rPr>
          <w:rFonts w:ascii="Arial" w:cs="Arial" w:eastAsia="Arial" w:hAnsi="Arial"/>
          <w:sz w:val="18"/>
          <w:szCs w:val="18"/>
          <w:color w:val="auto"/>
        </w:rPr>
      </w:pPr>
    </w:p>
    <w:p>
      <w:pPr>
        <w:jc w:val="both"/>
        <w:ind w:right="220" w:firstLine="921"/>
        <w:spacing w:after="0" w:line="310"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Invalid Provisions</w:t>
      </w:r>
      <w:r>
        <w:rPr>
          <w:rFonts w:ascii="Arial" w:cs="Arial" w:eastAsia="Arial" w:hAnsi="Arial"/>
          <w:sz w:val="16"/>
          <w:szCs w:val="16"/>
          <w:color w:val="auto"/>
        </w:rPr>
        <w:t>. Subject to Section 7(e), should any provision of this Agreement for any reason be declared invalid, void,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by a 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97" w:lineRule="exact"/>
        <w:rPr>
          <w:rFonts w:ascii="Arial" w:cs="Arial" w:eastAsia="Arial" w:hAnsi="Arial"/>
          <w:sz w:val="16"/>
          <w:szCs w:val="16"/>
          <w:color w:val="auto"/>
        </w:rPr>
      </w:pPr>
    </w:p>
    <w:p>
      <w:pPr>
        <w:ind w:right="80" w:firstLine="921"/>
        <w:spacing w:after="0" w:line="339"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The failure of a party to insist upon strict adherence to any term of this Agreement on any occasion shall not be considered a waiver</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party’s rights or deprive such party of the right thereafter to insist upon strict adherence to that term or any other term of this Agreement.</w:t>
      </w:r>
    </w:p>
    <w:p>
      <w:pPr>
        <w:spacing w:after="0" w:line="74" w:lineRule="exact"/>
        <w:rPr>
          <w:rFonts w:ascii="Arial" w:cs="Arial" w:eastAsia="Arial" w:hAnsi="Arial"/>
          <w:sz w:val="16"/>
          <w:szCs w:val="16"/>
          <w:color w:val="auto"/>
        </w:rPr>
      </w:pPr>
    </w:p>
    <w:p>
      <w:pPr>
        <w:ind w:firstLine="921"/>
        <w:spacing w:after="0" w:line="326" w:lineRule="auto"/>
        <w:tabs>
          <w:tab w:leader="none" w:pos="1176" w:val="left"/>
        </w:tabs>
        <w:numPr>
          <w:ilvl w:val="0"/>
          <w:numId w:val="38"/>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This Agreement contains the entire agreement of the parties with respect to the subject matter of this Agreement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supersedes any and all other agreements, either oral or in writing, between the parties hereto with respect to the employment of Executive by Orion.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89" w:lineRule="exact"/>
        <w:rPr>
          <w:rFonts w:ascii="Arial" w:cs="Arial" w:eastAsia="Arial" w:hAnsi="Arial"/>
          <w:sz w:val="15"/>
          <w:szCs w:val="15"/>
          <w:color w:val="auto"/>
        </w:rPr>
      </w:pPr>
    </w:p>
    <w:p>
      <w:pPr>
        <w:ind w:left="1180" w:hanging="259"/>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w:t>
      </w:r>
      <w:r>
        <w:rPr>
          <w:rFonts w:ascii="Arial" w:cs="Arial" w:eastAsia="Arial" w:hAnsi="Arial"/>
          <w:sz w:val="16"/>
          <w:szCs w:val="16"/>
          <w:color w:val="auto"/>
        </w:rPr>
        <w:t>. This Agreement may not be modified or amended by oral agreement, but only by an agreement in writing signed by Orion and</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w:t>
      </w:r>
    </w:p>
    <w:p>
      <w:pPr>
        <w:spacing w:after="0" w:line="158" w:lineRule="exact"/>
        <w:rPr>
          <w:rFonts w:ascii="Arial" w:cs="Arial" w:eastAsia="Arial" w:hAnsi="Arial"/>
          <w:sz w:val="16"/>
          <w:szCs w:val="16"/>
          <w:color w:val="auto"/>
        </w:rPr>
      </w:pPr>
    </w:p>
    <w:p>
      <w:pPr>
        <w:ind w:firstLine="921"/>
        <w:spacing w:after="0" w:line="275"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hereto were upon the same instrument.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is effective as of the Effective Date set forth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Scott Jensen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ENERGY SYSTEMS, INC</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Potts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Operating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Michael J. Potts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Orion Energy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2210 Woodland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WI 54220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follow-up to our previous conversation, we have mutually agreed to increase your current annual base salary from $275,000 to $280,000 per year in consideration of your agreement to waive any prior or currently existing “Good Reason” termination rights you may have had or currently have under your executive employment and severance agreement, dated February 21, 2008 (“Employment Agreement”) and to modify your Employment Agreement by amending and restating the definition of “Good Reason” set forth in Section 2(k) as follows:</w:t>
      </w:r>
    </w:p>
    <w:p>
      <w:pPr>
        <w:spacing w:after="0" w:line="62"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“(k) “Good Reason” shall mean the occurrence of any of the following without the consent of Executive: (i) a material diminution in the Executive’s Base Salary; (ii) a material diminution in the Executive’s authority, duties or responsibilities; (iii) a material change in the geographic location at which the Executive must perform services; or (iv) a material breach by Orion of any provisions of this Agreement or any option agreement with the Company to which the Executive is a party.”</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Please acknowledge your understanding and acceptance of this letter waiving any prior or currently existing “Good Reason” termination rights under your Employment Agreement and amending your Employment Agreement by signing and returning this letter. Except as otherwise specified in this letter, your existing Employment Agreement is not affected by this letter and by signing this letter you agree that your Employment Agreement, as modified hereby, will continue in full force and effect, that no event described in the definition of “Good Reason” in your Employment Agreement has occurred and that all terms and conditions of your Employment Agreement have been fully complied with and that you do not have any outstanding claims thereunder.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Best regards,</w:t>
            </w: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19"/>
        </w:trPr>
        <w:tc>
          <w:tcPr>
            <w:tcW w:w="5280" w:type="dxa"/>
            <w:vAlign w:val="bottom"/>
            <w:gridSpan w:val="2"/>
          </w:tcPr>
          <w:p>
            <w:pPr>
              <w:spacing w:after="0"/>
              <w:rPr>
                <w:sz w:val="20"/>
                <w:szCs w:val="20"/>
                <w:color w:val="auto"/>
              </w:rPr>
            </w:pPr>
            <w:r>
              <w:rPr>
                <w:rFonts w:ascii="Arial" w:cs="Arial" w:eastAsia="Arial" w:hAnsi="Arial"/>
                <w:sz w:val="18"/>
                <w:szCs w:val="18"/>
                <w:color w:val="auto"/>
              </w:rPr>
              <w:t>ORION ENERGY SYSTEMS, INC.</w:t>
            </w:r>
          </w:p>
        </w:tc>
        <w:tc>
          <w:tcPr>
            <w:tcW w:w="6140" w:type="dxa"/>
            <w:vAlign w:val="bottom"/>
            <w:gridSpan w:val="3"/>
          </w:tcPr>
          <w:p>
            <w:pPr>
              <w:ind w:left="580"/>
              <w:spacing w:after="0"/>
              <w:rPr>
                <w:sz w:val="20"/>
                <w:szCs w:val="20"/>
                <w:color w:val="auto"/>
              </w:rPr>
            </w:pPr>
            <w:r>
              <w:rPr>
                <w:rFonts w:ascii="Arial" w:cs="Arial" w:eastAsia="Arial" w:hAnsi="Arial"/>
                <w:sz w:val="18"/>
                <w:szCs w:val="18"/>
                <w:color w:val="auto"/>
              </w:rPr>
              <w:t>Accepted and Agreed:</w:t>
            </w:r>
          </w:p>
        </w:tc>
      </w:tr>
      <w:tr>
        <w:trPr>
          <w:trHeight w:val="433"/>
        </w:trPr>
        <w:tc>
          <w:tcPr>
            <w:tcW w:w="5280" w:type="dxa"/>
            <w:vAlign w:val="bottom"/>
            <w:gridSpan w:val="2"/>
          </w:tcPr>
          <w:p>
            <w:pPr>
              <w:spacing w:after="0"/>
              <w:rPr>
                <w:sz w:val="20"/>
                <w:szCs w:val="20"/>
                <w:color w:val="auto"/>
              </w:rPr>
            </w:pPr>
            <w:r>
              <w:rPr>
                <w:rFonts w:ascii="Arial" w:cs="Arial" w:eastAsia="Arial" w:hAnsi="Arial"/>
                <w:sz w:val="18"/>
                <w:szCs w:val="18"/>
                <w:color w:val="auto"/>
              </w:rPr>
              <w:t>By:</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22"/>
        </w:trPr>
        <w:tc>
          <w:tcPr>
            <w:tcW w:w="38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H. Scribante</w:t>
            </w:r>
          </w:p>
        </w:tc>
        <w:tc>
          <w:tcPr>
            <w:tcW w:w="5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40" w:type="dxa"/>
            <w:vAlign w:val="bottom"/>
            <w:gridSpan w:val="3"/>
          </w:tcPr>
          <w:p>
            <w:pPr>
              <w:ind w:left="580"/>
              <w:spacing w:after="0"/>
              <w:rPr>
                <w:sz w:val="20"/>
                <w:szCs w:val="20"/>
                <w:color w:val="auto"/>
              </w:rPr>
            </w:pPr>
            <w:r>
              <w:rPr>
                <w:rFonts w:ascii="Arial" w:cs="Arial" w:eastAsia="Arial" w:hAnsi="Arial"/>
                <w:sz w:val="18"/>
                <w:szCs w:val="18"/>
                <w:color w:val="auto"/>
              </w:rPr>
              <w:t>Michael J. Potts</w:t>
            </w:r>
          </w:p>
        </w:tc>
      </w:tr>
      <w:tr>
        <w:trPr>
          <w:trHeight w:val="433"/>
        </w:trPr>
        <w:tc>
          <w:tcPr>
            <w:tcW w:w="3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140" w:type="dxa"/>
            <w:vAlign w:val="bottom"/>
            <w:gridSpan w:val="3"/>
          </w:tcPr>
          <w:p>
            <w:pPr>
              <w:ind w:left="580"/>
              <w:spacing w:after="0"/>
              <w:rPr>
                <w:sz w:val="20"/>
                <w:szCs w:val="20"/>
                <w:color w:val="auto"/>
              </w:rPr>
            </w:pPr>
            <w:r>
              <w:rPr>
                <w:rFonts w:ascii="Arial" w:cs="Arial" w:eastAsia="Arial" w:hAnsi="Arial"/>
                <w:sz w:val="18"/>
                <w:szCs w:val="18"/>
                <w:color w:val="auto"/>
              </w:rPr>
              <w:t>Effective Date:   November 9, 2012</w:t>
            </w:r>
          </w:p>
        </w:tc>
      </w:tr>
      <w:tr>
        <w:trPr>
          <w:trHeight w:val="20"/>
        </w:trPr>
        <w:tc>
          <w:tcPr>
            <w:tcW w:w="3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80" w:firstLine="8"/>
        <w:spacing w:after="0" w:line="268"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H. Scribante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80" w:firstLine="8"/>
        <w:spacing w:after="0" w:line="268"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2012,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 November 9, 2012</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John H. Scribante</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2012,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 November 9, 2012</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Roman"/>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
    <w:nsid w:val="2CA88611"/>
    <w:multiLevelType w:val="hybridMultilevel"/>
    <w:lvl w:ilvl="0">
      <w:lvlJc w:val="left"/>
      <w:lvlText w:val="(%1)"/>
      <w:numFmt w:val="lowerRoman"/>
      <w:start w:val="6"/>
    </w:lvl>
    <w:lvl w:ilvl="1">
      <w:lvlJc w:val="left"/>
      <w:lvlText w:val="(%2)"/>
      <w:numFmt w:val="lowerLetter"/>
      <w:start w:val="5"/>
    </w:lvl>
    <w:lvl w:ilvl="2">
      <w:lvlJc w:val="left"/>
      <w:lvlText w:val="(%3)"/>
      <w:numFmt w:val="lowerRoman"/>
      <w:start w:val="1"/>
    </w:lvl>
  </w:abstractNum>
  <w:abstractNum w:abstractNumId="12">
    <w:nsid w:val="836C40E"/>
    <w:multiLevelType w:val="hybridMultilevel"/>
    <w:lvl w:ilvl="0">
      <w:lvlJc w:val="left"/>
      <w:lvlText w:val="(%1)"/>
      <w:numFmt w:val="lowerRoman"/>
      <w:start w:val="4"/>
    </w:lvl>
  </w:abstractNum>
  <w:abstractNum w:abstractNumId="13">
    <w:nsid w:val="2901D82"/>
    <w:multiLevelType w:val="hybridMultilevel"/>
    <w:lvl w:ilvl="0">
      <w:lvlJc w:val="left"/>
      <w:lvlText w:val="%1"/>
      <w:numFmt w:val="decimal"/>
      <w:start w:val="1"/>
    </w:lvl>
    <w:lvl w:ilvl="1">
      <w:lvlJc w:val="left"/>
      <w:lvlText w:val="(%2)"/>
      <w:numFmt w:val="lowerLetter"/>
      <w:start w:val="6"/>
    </w:lvl>
  </w:abstractNum>
  <w:abstractNum w:abstractNumId="14">
    <w:nsid w:val="3A95F874"/>
    <w:multiLevelType w:val="hybridMultilevel"/>
    <w:lvl w:ilvl="0">
      <w:lvlJc w:val="left"/>
      <w:lvlText w:val="(%1)"/>
      <w:numFmt w:val="decimal"/>
      <w:start w:val="24"/>
    </w:lvl>
    <w:lvl w:ilvl="1">
      <w:lvlJc w:val="left"/>
      <w:lvlText w:val="%2"/>
      <w:numFmt w:val="lowerLetter"/>
      <w:start w:val="1"/>
    </w:lvl>
  </w:abstractNum>
  <w:abstractNum w:abstractNumId="15">
    <w:nsid w:val="8138641"/>
    <w:multiLevelType w:val="hybridMultilevel"/>
    <w:lvl w:ilvl="0">
      <w:lvlJc w:val="left"/>
      <w:lvlText w:val="(%1)"/>
      <w:numFmt w:val="lowerLetter"/>
      <w:start w:val="8"/>
    </w:lvl>
  </w:abstractNum>
  <w:abstractNum w:abstractNumId="16">
    <w:nsid w:val="1E7FF521"/>
    <w:multiLevelType w:val="hybridMultilevel"/>
    <w:lvl w:ilvl="0">
      <w:lvlJc w:val="left"/>
      <w:lvlText w:val="(%1)"/>
      <w:numFmt w:val="lowerRoman"/>
      <w:start w:val="1"/>
    </w:lvl>
  </w:abstractNum>
  <w:abstractNum w:abstractNumId="17">
    <w:nsid w:val="7C3DBD3D"/>
    <w:multiLevelType w:val="hybridMultilevel"/>
    <w:lvl w:ilvl="0">
      <w:lvlJc w:val="left"/>
      <w:lvlText w:val="(%1)"/>
      <w:numFmt w:val="lowerLetter"/>
      <w:start w:val="13"/>
    </w:lvl>
  </w:abstractNum>
  <w:abstractNum w:abstractNumId="18">
    <w:nsid w:val="737B8DDC"/>
    <w:multiLevelType w:val="hybridMultilevel"/>
    <w:lvl w:ilvl="0">
      <w:lvlJc w:val="left"/>
      <w:lvlText w:val="%1."/>
      <w:numFmt w:val="decimal"/>
      <w:start w:val="3"/>
    </w:lvl>
    <w:lvl w:ilvl="1">
      <w:lvlJc w:val="left"/>
      <w:lvlText w:val="(%2)"/>
      <w:numFmt w:val="lowerRoman"/>
      <w:start w:val="1"/>
    </w:lvl>
  </w:abstractNum>
  <w:abstractNum w:abstractNumId="19">
    <w:nsid w:val="6CEAF087"/>
    <w:multiLevelType w:val="hybridMultilevel"/>
    <w:lvl w:ilvl="0">
      <w:lvlJc w:val="left"/>
      <w:lvlText w:val="(%1)"/>
      <w:numFmt w:val="lowerLetter"/>
      <w:start w:val="2"/>
    </w:lvl>
  </w:abstractNum>
  <w:abstractNum w:abstractNumId="20">
    <w:nsid w:val="22221A70"/>
    <w:multiLevelType w:val="hybridMultilevel"/>
    <w:lvl w:ilvl="0">
      <w:lvlJc w:val="left"/>
      <w:lvlText w:val="%1."/>
      <w:numFmt w:val="decimal"/>
      <w:start w:val="4"/>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4"/>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lowerLetter"/>
      <w:start w:val="1"/>
    </w:lvl>
    <w:lvl w:ilvl="1">
      <w:lvlJc w:val="left"/>
      <w:lvlText w:val="(%2)"/>
      <w:numFmt w:val="lowerRoman"/>
      <w:start w:val="1"/>
    </w:lvl>
  </w:abstractNum>
  <w:abstractNum w:abstractNumId="25">
    <w:nsid w:val="5577F8E1"/>
    <w:multiLevelType w:val="hybridMultilevel"/>
    <w:lvl w:ilvl="0">
      <w:lvlJc w:val="left"/>
      <w:lvlText w:val="(%1)"/>
      <w:numFmt w:val="lowerLetter"/>
      <w:start w:val="2"/>
    </w:lvl>
    <w:lvl w:ilvl="1">
      <w:lvlJc w:val="left"/>
      <w:lvlText w:val="(%2)"/>
      <w:numFmt w:val="lowerRoman"/>
      <w:start w:val="1"/>
    </w:lvl>
  </w:abstractNum>
  <w:abstractNum w:abstractNumId="26">
    <w:nsid w:val="440BADFC"/>
    <w:multiLevelType w:val="hybridMultilevel"/>
    <w:lvl w:ilvl="0">
      <w:lvlJc w:val="left"/>
      <w:lvlText w:val="(%1)"/>
      <w:numFmt w:val="lowerLetter"/>
      <w:start w:val="4"/>
    </w:lvl>
  </w:abstractNum>
  <w:abstractNum w:abstractNumId="27">
    <w:nsid w:val="5072367"/>
    <w:multiLevelType w:val="hybridMultilevel"/>
    <w:lvl w:ilvl="0">
      <w:lvlJc w:val="left"/>
      <w:lvlText w:val="%1."/>
      <w:numFmt w:val="decimal"/>
      <w:start w:val="6"/>
    </w:lvl>
  </w:abstractNum>
  <w:abstractNum w:abstractNumId="28">
    <w:nsid w:val="3804823E"/>
    <w:multiLevelType w:val="hybridMultilevel"/>
    <w:lvl w:ilvl="0">
      <w:lvlJc w:val="left"/>
      <w:lvlText w:val="%1."/>
      <w:numFmt w:val="decimal"/>
      <w:start w:val="7"/>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4"/>
    </w:lvl>
  </w:abstractNum>
  <w:abstractNum w:abstractNumId="31">
    <w:nsid w:val="5C482A97"/>
    <w:multiLevelType w:val="hybridMultilevel"/>
    <w:lvl w:ilvl="0">
      <w:lvlJc w:val="left"/>
      <w:lvlText w:val="(%1)"/>
      <w:numFmt w:val="lowerLetter"/>
      <w:start w:val="6"/>
    </w:lvl>
    <w:lvl w:ilvl="1">
      <w:lvlJc w:val="left"/>
      <w:lvlText w:val="(%2)"/>
      <w:numFmt w:val="lowerLetter"/>
      <w:start w:val="9"/>
    </w:lvl>
  </w:abstractNum>
  <w:abstractNum w:abstractNumId="32">
    <w:nsid w:val="2463B9EA"/>
    <w:multiLevelType w:val="hybridMultilevel"/>
    <w:lvl w:ilvl="0">
      <w:lvlJc w:val="left"/>
      <w:lvlText w:val="%1"/>
      <w:numFmt w:val="lowerLetter"/>
      <w:start w:val="1"/>
    </w:lvl>
    <w:lvl w:ilvl="1">
      <w:lvlJc w:val="left"/>
      <w:lvlText w:val="(%2)"/>
      <w:numFmt w:val="lowerRoman"/>
      <w:start w:val="2"/>
    </w:lvl>
  </w:abstractNum>
  <w:abstractNum w:abstractNumId="33">
    <w:nsid w:val="5E884ADC"/>
    <w:multiLevelType w:val="hybridMultilevel"/>
    <w:lvl w:ilvl="0">
      <w:lvlJc w:val="left"/>
      <w:lvlText w:val="(%1)"/>
      <w:numFmt w:val="lowerLetter"/>
      <w:start w:val="4"/>
    </w:lvl>
    <w:lvl w:ilvl="1">
      <w:lvlJc w:val="left"/>
      <w:lvlText w:val="%2"/>
      <w:numFmt w:val="lowerRoman"/>
      <w:start w:val="1"/>
    </w:lvl>
  </w:abstractNum>
  <w:abstractNum w:abstractNumId="34">
    <w:nsid w:val="51EAD36B"/>
    <w:multiLevelType w:val="hybridMultilevel"/>
    <w:lvl w:ilvl="0">
      <w:lvlJc w:val="left"/>
      <w:lvlText w:val="%1."/>
      <w:numFmt w:val="decimal"/>
      <w:start w:val="8"/>
    </w:lvl>
  </w:abstractNum>
  <w:abstractNum w:abstractNumId="35">
    <w:nsid w:val="2D517796"/>
    <w:multiLevelType w:val="hybridMultilevel"/>
    <w:lvl w:ilvl="0">
      <w:lvlJc w:val="left"/>
      <w:lvlText w:val="%1"/>
      <w:numFmt w:val="decimal"/>
      <w:start w:val="1"/>
    </w:lvl>
    <w:lvl w:ilvl="1">
      <w:lvlJc w:val="left"/>
      <w:lvlText w:val="%2."/>
      <w:numFmt w:val="decimal"/>
      <w:start w:val="9"/>
    </w:lvl>
  </w:abstractNum>
  <w:abstractNum w:abstractNumId="36">
    <w:nsid w:val="580BD78F"/>
    <w:multiLevelType w:val="hybridMultilevel"/>
    <w:lvl w:ilvl="0">
      <w:lvlJc w:val="left"/>
      <w:lvlText w:val="(%1)"/>
      <w:numFmt w:val="decimal"/>
      <w:start w:val="15"/>
    </w:lvl>
    <w:lvl w:ilvl="1">
      <w:lvlJc w:val="left"/>
      <w:lvlText w:val="%2"/>
      <w:numFmt w:val="decimal"/>
      <w:start w:val="1"/>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5"/>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5"/>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2019-12-09T19:46:09Z</dcterms:created>
  <dcterms:modified xsi:type="dcterms:W3CDTF">2019-12-09T19:46:09Z</dcterms:modified>
</cp:coreProperties>
</file>