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153670</wp:posOffset>
            </wp:positionH>
            <wp:positionV relativeFrom="page">
              <wp:posOffset>153670</wp:posOffset>
            </wp:positionV>
            <wp:extent cx="7254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177800</wp:posOffset>
            </wp:positionV>
            <wp:extent cx="7254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825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107315</wp:posOffset>
            </wp:positionV>
            <wp:extent cx="1515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114300</wp:posOffset>
            </wp:positionV>
            <wp:extent cx="1515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spacing w:after="0" w:line="250" w:lineRule="exact"/>
        <w:rPr>
          <w:sz w:val="24"/>
          <w:szCs w:val="24"/>
          <w:color w:val="auto"/>
        </w:rPr>
      </w:pPr>
    </w:p>
    <w:p>
      <w:pPr>
        <w:ind w:left="440" w:hanging="438"/>
        <w:spacing w:after="0"/>
        <w:tabs>
          <w:tab w:leader="none" w:pos="4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December 31, 2011</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88" w:lineRule="exact"/>
        <w:rPr>
          <w:sz w:val="24"/>
          <w:szCs w:val="24"/>
          <w:color w:val="auto"/>
        </w:rPr>
      </w:pPr>
    </w:p>
    <w:p>
      <w:pPr>
        <w:ind w:left="440" w:hanging="438"/>
        <w:spacing w:after="0"/>
        <w:tabs>
          <w:tab w:leader="none" w:pos="4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111125</wp:posOffset>
            </wp:positionV>
            <wp:extent cx="1515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Orion Energy Systems,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107315</wp:posOffset>
            </wp:positionV>
            <wp:extent cx="1515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spacing w:after="0" w:line="252" w:lineRule="exact"/>
        <w:rPr>
          <w:sz w:val="24"/>
          <w:szCs w:val="24"/>
          <w:color w:val="auto"/>
        </w:rPr>
      </w:pPr>
    </w:p>
    <w:tbl>
      <w:tblPr>
        <w:tblLayout w:type="fixed"/>
        <w:tblInd w:w="1280" w:type="dxa"/>
        <w:tblCellMar>
          <w:top w:w="0" w:type="dxa"/>
          <w:left w:w="0" w:type="dxa"/>
          <w:bottom w:w="0" w:type="dxa"/>
          <w:right w:w="0" w:type="dxa"/>
        </w:tblCellMar>
      </w:tblPr>
      <w:tr>
        <w:trPr>
          <w:trHeight w:val="204"/>
        </w:trPr>
        <w:tc>
          <w:tcPr>
            <w:tcW w:w="4980" w:type="dxa"/>
            <w:vAlign w:val="bottom"/>
          </w:tcPr>
          <w:p>
            <w:pPr>
              <w:jc w:val="center"/>
              <w:ind w:right="1709"/>
              <w:spacing w:after="0"/>
              <w:rPr>
                <w:sz w:val="20"/>
                <w:szCs w:val="20"/>
                <w:color w:val="auto"/>
              </w:rPr>
            </w:pPr>
            <w:r>
              <w:rPr>
                <w:rFonts w:ascii="Arial" w:cs="Arial" w:eastAsia="Arial" w:hAnsi="Arial"/>
                <w:sz w:val="17"/>
                <w:szCs w:val="17"/>
                <w:b w:val="1"/>
                <w:bCs w:val="1"/>
                <w:color w:val="auto"/>
                <w:w w:val="84"/>
              </w:rPr>
              <w:t>Wisconsin</w:t>
            </w:r>
          </w:p>
        </w:tc>
        <w:tc>
          <w:tcPr>
            <w:tcW w:w="3020" w:type="dxa"/>
            <w:vAlign w:val="bottom"/>
          </w:tcPr>
          <w:p>
            <w:pPr>
              <w:jc w:val="right"/>
              <w:ind w:right="149"/>
              <w:spacing w:after="0"/>
              <w:rPr>
                <w:sz w:val="20"/>
                <w:szCs w:val="20"/>
                <w:color w:val="auto"/>
              </w:rPr>
            </w:pPr>
            <w:r>
              <w:rPr>
                <w:rFonts w:ascii="Arial" w:cs="Arial" w:eastAsia="Arial" w:hAnsi="Arial"/>
                <w:sz w:val="17"/>
                <w:szCs w:val="17"/>
                <w:b w:val="1"/>
                <w:bCs w:val="1"/>
                <w:color w:val="auto"/>
              </w:rPr>
              <w:t>39-1847269</w:t>
            </w:r>
          </w:p>
        </w:tc>
      </w:tr>
      <w:tr>
        <w:trPr>
          <w:trHeight w:val="140"/>
        </w:trPr>
        <w:tc>
          <w:tcPr>
            <w:tcW w:w="4980" w:type="dxa"/>
            <w:vAlign w:val="bottom"/>
          </w:tcPr>
          <w:p>
            <w:pPr>
              <w:jc w:val="center"/>
              <w:ind w:right="1709"/>
              <w:spacing w:after="0" w:line="141" w:lineRule="exact"/>
              <w:rPr>
                <w:sz w:val="20"/>
                <w:szCs w:val="20"/>
                <w:color w:val="auto"/>
              </w:rPr>
            </w:pPr>
            <w:r>
              <w:rPr>
                <w:rFonts w:ascii="Arial" w:cs="Arial" w:eastAsia="Arial" w:hAnsi="Arial"/>
                <w:sz w:val="13"/>
                <w:szCs w:val="13"/>
                <w:b w:val="1"/>
                <w:bCs w:val="1"/>
                <w:color w:val="auto"/>
                <w:w w:val="89"/>
              </w:rPr>
              <w:t>(State or other jurisdiction of</w:t>
            </w:r>
          </w:p>
        </w:tc>
        <w:tc>
          <w:tcPr>
            <w:tcW w:w="3020" w:type="dxa"/>
            <w:vAlign w:val="bottom"/>
          </w:tcPr>
          <w:p>
            <w:pPr>
              <w:jc w:val="center"/>
              <w:ind w:left="1689"/>
              <w:spacing w:after="0" w:line="141" w:lineRule="exact"/>
              <w:rPr>
                <w:sz w:val="20"/>
                <w:szCs w:val="20"/>
                <w:color w:val="auto"/>
              </w:rPr>
            </w:pPr>
            <w:r>
              <w:rPr>
                <w:rFonts w:ascii="Arial" w:cs="Arial" w:eastAsia="Arial" w:hAnsi="Arial"/>
                <w:sz w:val="13"/>
                <w:szCs w:val="13"/>
                <w:b w:val="1"/>
                <w:bCs w:val="1"/>
                <w:color w:val="auto"/>
                <w:w w:val="94"/>
              </w:rPr>
              <w:t>(I.R.S. Employer</w:t>
            </w:r>
          </w:p>
        </w:tc>
      </w:tr>
      <w:tr>
        <w:trPr>
          <w:trHeight w:val="166"/>
        </w:trPr>
        <w:tc>
          <w:tcPr>
            <w:tcW w:w="4980" w:type="dxa"/>
            <w:vAlign w:val="bottom"/>
          </w:tcPr>
          <w:p>
            <w:pPr>
              <w:jc w:val="center"/>
              <w:ind w:right="1689"/>
              <w:spacing w:after="0"/>
              <w:rPr>
                <w:sz w:val="20"/>
                <w:szCs w:val="20"/>
                <w:color w:val="auto"/>
              </w:rPr>
            </w:pPr>
            <w:r>
              <w:rPr>
                <w:rFonts w:ascii="Arial" w:cs="Arial" w:eastAsia="Arial" w:hAnsi="Arial"/>
                <w:sz w:val="13"/>
                <w:szCs w:val="13"/>
                <w:b w:val="1"/>
                <w:bCs w:val="1"/>
                <w:color w:val="auto"/>
                <w:w w:val="89"/>
              </w:rPr>
              <w:t>incorporation or organization)</w:t>
            </w:r>
          </w:p>
        </w:tc>
        <w:tc>
          <w:tcPr>
            <w:tcW w:w="3020" w:type="dxa"/>
            <w:vAlign w:val="bottom"/>
          </w:tcPr>
          <w:p>
            <w:pPr>
              <w:jc w:val="center"/>
              <w:ind w:left="1689"/>
              <w:spacing w:after="0"/>
              <w:rPr>
                <w:sz w:val="20"/>
                <w:szCs w:val="20"/>
                <w:color w:val="auto"/>
              </w:rPr>
            </w:pPr>
            <w:r>
              <w:rPr>
                <w:rFonts w:ascii="Arial" w:cs="Arial" w:eastAsia="Arial" w:hAnsi="Arial"/>
                <w:sz w:val="13"/>
                <w:szCs w:val="13"/>
                <w:b w:val="1"/>
                <w:bCs w:val="1"/>
                <w:color w:val="auto"/>
                <w:w w:val="92"/>
              </w:rPr>
              <w:t>Identification number)</w:t>
            </w:r>
          </w:p>
        </w:tc>
      </w:tr>
      <w:tr>
        <w:trPr>
          <w:trHeight w:val="370"/>
        </w:trPr>
        <w:tc>
          <w:tcPr>
            <w:tcW w:w="4980" w:type="dxa"/>
            <w:vAlign w:val="bottom"/>
          </w:tcPr>
          <w:p>
            <w:pPr>
              <w:jc w:val="center"/>
              <w:ind w:right="1689"/>
              <w:spacing w:after="0"/>
              <w:rPr>
                <w:sz w:val="20"/>
                <w:szCs w:val="20"/>
                <w:color w:val="auto"/>
              </w:rPr>
            </w:pPr>
            <w:r>
              <w:rPr>
                <w:rFonts w:ascii="Arial" w:cs="Arial" w:eastAsia="Arial" w:hAnsi="Arial"/>
                <w:sz w:val="17"/>
                <w:szCs w:val="17"/>
                <w:b w:val="1"/>
                <w:bCs w:val="1"/>
                <w:color w:val="auto"/>
                <w:w w:val="88"/>
              </w:rPr>
              <w:t>2210 Woodland Drive, Manitowoc, Wisconsin</w:t>
            </w:r>
          </w:p>
        </w:tc>
        <w:tc>
          <w:tcPr>
            <w:tcW w:w="3020" w:type="dxa"/>
            <w:vAlign w:val="bottom"/>
          </w:tcPr>
          <w:p>
            <w:pPr>
              <w:jc w:val="right"/>
              <w:ind w:right="349"/>
              <w:spacing w:after="0"/>
              <w:rPr>
                <w:sz w:val="20"/>
                <w:szCs w:val="20"/>
                <w:color w:val="auto"/>
              </w:rPr>
            </w:pPr>
            <w:r>
              <w:rPr>
                <w:rFonts w:ascii="Arial" w:cs="Arial" w:eastAsia="Arial" w:hAnsi="Arial"/>
                <w:sz w:val="17"/>
                <w:szCs w:val="17"/>
                <w:b w:val="1"/>
                <w:bCs w:val="1"/>
                <w:color w:val="auto"/>
              </w:rPr>
              <w:t>54220</w:t>
            </w:r>
          </w:p>
        </w:tc>
      </w:tr>
      <w:tr>
        <w:trPr>
          <w:trHeight w:val="166"/>
        </w:trPr>
        <w:tc>
          <w:tcPr>
            <w:tcW w:w="4980" w:type="dxa"/>
            <w:vAlign w:val="bottom"/>
          </w:tcPr>
          <w:p>
            <w:pPr>
              <w:jc w:val="center"/>
              <w:ind w:right="1689"/>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020" w:type="dxa"/>
            <w:vAlign w:val="bottom"/>
          </w:tcPr>
          <w:p>
            <w:pPr>
              <w:jc w:val="center"/>
              <w:ind w:left="1689"/>
              <w:spacing w:after="0"/>
              <w:rPr>
                <w:sz w:val="20"/>
                <w:szCs w:val="20"/>
                <w:color w:val="auto"/>
              </w:rPr>
            </w:pPr>
            <w:r>
              <w:rPr>
                <w:rFonts w:ascii="Arial" w:cs="Arial" w:eastAsia="Arial" w:hAnsi="Arial"/>
                <w:sz w:val="13"/>
                <w:szCs w:val="13"/>
                <w:b w:val="1"/>
                <w:bCs w:val="1"/>
                <w:color w:val="auto"/>
                <w:w w:val="86"/>
              </w:rPr>
              <w:t>(Zip code)</w:t>
            </w:r>
          </w:p>
        </w:tc>
      </w:tr>
    </w:tbl>
    <w:p>
      <w:pPr>
        <w:spacing w:after="0" w:line="2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(920) 892-9340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111125</wp:posOffset>
            </wp:positionV>
            <wp:extent cx="1515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spacing w:after="0" w:line="235" w:lineRule="exact"/>
        <w:rPr>
          <w:sz w:val="24"/>
          <w:szCs w:val="24"/>
          <w:color w:val="auto"/>
        </w:rPr>
      </w:pPr>
    </w:p>
    <w:p>
      <w:pPr>
        <w:ind w:right="28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ind w:right="60"/>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ind w:right="120"/>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17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65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3120" w:type="dxa"/>
            <w:vAlign w:val="bottom"/>
          </w:tcPr>
          <w:p>
            <w:pPr>
              <w:ind w:left="500"/>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tc>
      </w:tr>
      <w:tr>
        <w:trPr>
          <w:trHeight w:val="306"/>
        </w:trPr>
        <w:tc>
          <w:tcPr>
            <w:tcW w:w="1720" w:type="dxa"/>
            <w:vAlign w:val="bottom"/>
          </w:tcPr>
          <w:p>
            <w:pPr>
              <w:spacing w:after="0"/>
              <w:rPr>
                <w:sz w:val="20"/>
                <w:szCs w:val="20"/>
                <w:color w:val="auto"/>
              </w:rPr>
            </w:pPr>
            <w:r>
              <w:rPr>
                <w:rFonts w:ascii="Arial" w:cs="Arial" w:eastAsia="Arial" w:hAnsi="Arial"/>
                <w:sz w:val="17"/>
                <w:szCs w:val="17"/>
                <w:color w:val="auto"/>
              </w:rPr>
              <w:t>Non-accelerated filer</w:t>
            </w:r>
          </w:p>
        </w:tc>
        <w:tc>
          <w:tcPr>
            <w:tcW w:w="6580" w:type="dxa"/>
            <w:vAlign w:val="bottom"/>
          </w:tcPr>
          <w:p>
            <w:pPr>
              <w:ind w:left="24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120" w:type="dxa"/>
            <w:vAlign w:val="bottom"/>
          </w:tcPr>
          <w:p>
            <w:pPr>
              <w:ind w:left="500"/>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tc>
      </w:tr>
      <w:tr>
        <w:trPr>
          <w:trHeight w:val="357"/>
        </w:trPr>
        <w:tc>
          <w:tcPr>
            <w:tcW w:w="8300" w:type="dxa"/>
            <w:vAlign w:val="bottom"/>
            <w:gridSpan w:val="2"/>
          </w:tcPr>
          <w:p>
            <w:pPr>
              <w:spacing w:after="0" w:line="196" w:lineRule="exact"/>
              <w:rPr>
                <w:sz w:val="20"/>
                <w:szCs w:val="20"/>
                <w:color w:val="auto"/>
              </w:rPr>
            </w:pPr>
            <w:r>
              <w:rPr>
                <w:rFonts w:ascii="Arial" w:cs="Arial" w:eastAsia="Arial" w:hAnsi="Arial"/>
                <w:sz w:val="17"/>
                <w:szCs w:val="17"/>
                <w:color w:val="auto"/>
                <w:w w:val="90"/>
              </w:rPr>
              <w:t xml:space="preserve">Indicate by check mark whether the Registrant is a shell company (as defined in Rule 12b-2 of the Exchange Act).  Yes </w:t>
            </w:r>
            <w:r>
              <w:rPr>
                <w:rFonts w:ascii="MS PGothic" w:cs="MS PGothic" w:eastAsia="MS PGothic" w:hAnsi="MS PGothic"/>
                <w:sz w:val="17"/>
                <w:szCs w:val="17"/>
                <w:color w:val="auto"/>
                <w:w w:val="90"/>
              </w:rPr>
              <w:t>☐</w:t>
            </w:r>
          </w:p>
        </w:tc>
        <w:tc>
          <w:tcPr>
            <w:tcW w:w="3120" w:type="dxa"/>
            <w:vAlign w:val="bottom"/>
          </w:tcPr>
          <w:p>
            <w:pPr>
              <w:ind w:left="8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r>
        <w:trPr>
          <w:trHeight w:val="263"/>
        </w:trPr>
        <w:tc>
          <w:tcPr>
            <w:tcW w:w="8300" w:type="dxa"/>
            <w:vAlign w:val="bottom"/>
            <w:gridSpan w:val="2"/>
          </w:tcPr>
          <w:p>
            <w:pPr>
              <w:spacing w:after="0"/>
              <w:rPr>
                <w:sz w:val="20"/>
                <w:szCs w:val="20"/>
                <w:color w:val="auto"/>
              </w:rPr>
            </w:pPr>
            <w:r>
              <w:rPr>
                <w:rFonts w:ascii="Arial" w:cs="Arial" w:eastAsia="Arial" w:hAnsi="Arial"/>
                <w:sz w:val="17"/>
                <w:szCs w:val="17"/>
                <w:color w:val="auto"/>
              </w:rPr>
              <w:t>There were 22,562,258 shares of the Registrant’s common stock outstanding on June 6, 2012.</w:t>
            </w:r>
          </w:p>
        </w:tc>
        <w:tc>
          <w:tcPr>
            <w:tcW w:w="3120" w:type="dxa"/>
            <w:vAlign w:val="bottom"/>
          </w:tcPr>
          <w:p>
            <w:pPr>
              <w:spacing w:after="0"/>
              <w:rPr>
                <w:sz w:val="22"/>
                <w:szCs w:val="22"/>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658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0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Orion Energy Systems,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December 31, 2011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980" w:type="dxa"/>
            <w:vAlign w:val="bottom"/>
            <w:gridSpan w:val="16"/>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Page(s)</w:t>
            </w:r>
          </w:p>
        </w:tc>
        <w:tc>
          <w:tcPr>
            <w:tcW w:w="0" w:type="dxa"/>
            <w:vAlign w:val="bottom"/>
          </w:tcPr>
          <w:p>
            <w:pPr>
              <w:spacing w:after="0"/>
              <w:rPr>
                <w:sz w:val="1"/>
                <w:szCs w:val="1"/>
                <w:color w:val="auto"/>
              </w:rPr>
            </w:pPr>
          </w:p>
        </w:tc>
      </w:tr>
      <w:tr>
        <w:trPr>
          <w:trHeight w:val="146"/>
        </w:trPr>
        <w:tc>
          <w:tcPr>
            <w:tcW w:w="10980" w:type="dxa"/>
            <w:vAlign w:val="bottom"/>
            <w:gridSpan w:val="16"/>
            <w:vMerge w:val="continue"/>
          </w:tcPr>
          <w:p>
            <w:pPr>
              <w:spacing w:after="0"/>
              <w:rPr>
                <w:sz w:val="12"/>
                <w:szCs w:val="12"/>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 w:type="dxa"/>
            <w:vAlign w:val="bottom"/>
            <w:tcBorders>
              <w:bottom w:val="single" w:sz="8" w:color="0000EE"/>
            </w:tcBorders>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ITEM 1.</w:t>
              </w:r>
            </w:hyperlink>
          </w:p>
        </w:tc>
        <w:tc>
          <w:tcPr>
            <w:tcW w:w="2380" w:type="dxa"/>
            <w:vAlign w:val="bottom"/>
            <w:tcBorders>
              <w:bottom w:val="single" w:sz="8" w:color="0000EE"/>
            </w:tcBorders>
            <w:gridSpan w:val="7"/>
          </w:tcPr>
          <w:p>
            <w:pPr>
              <w:ind w:left="20"/>
              <w:spacing w:after="0"/>
              <w:rPr>
                <w:rFonts w:ascii="Arial" w:cs="Arial" w:eastAsia="Arial" w:hAnsi="Arial"/>
                <w:sz w:val="17"/>
                <w:szCs w:val="17"/>
                <w:b w:val="1"/>
                <w:bCs w:val="1"/>
                <w:color w:val="0000EE"/>
                <w:w w:val="87"/>
              </w:rPr>
            </w:pPr>
            <w:hyperlink w:anchor="page3">
              <w:r>
                <w:rPr>
                  <w:rFonts w:ascii="Arial" w:cs="Arial" w:eastAsia="Arial" w:hAnsi="Arial"/>
                  <w:sz w:val="17"/>
                  <w:szCs w:val="17"/>
                  <w:b w:val="1"/>
                  <w:bCs w:val="1"/>
                  <w:color w:val="0000EE"/>
                  <w:w w:val="87"/>
                </w:rPr>
                <w:t>Financial Statements (unaudited)</w:t>
              </w:r>
            </w:hyperlink>
          </w:p>
        </w:tc>
        <w:tc>
          <w:tcPr>
            <w:tcW w:w="7960" w:type="dxa"/>
            <w:vAlign w:val="bottom"/>
            <w:gridSpan w:val="7"/>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0560" w:type="dxa"/>
            <w:vAlign w:val="bottom"/>
            <w:gridSpan w:val="15"/>
          </w:tcPr>
          <w:p>
            <w:pPr>
              <w:spacing w:after="0" w:line="185" w:lineRule="exact"/>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 as of March 31, 2011 and December 31, 2011</w:t>
              </w:r>
            </w:hyperlink>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0" w:type="dxa"/>
            <w:vAlign w:val="bottom"/>
          </w:tcPr>
          <w:p>
            <w:pPr>
              <w:spacing w:after="0"/>
              <w:rPr>
                <w:sz w:val="16"/>
                <w:szCs w:val="16"/>
                <w:color w:val="auto"/>
              </w:rPr>
            </w:pPr>
          </w:p>
        </w:tc>
        <w:tc>
          <w:tcPr>
            <w:tcW w:w="10560" w:type="dxa"/>
            <w:vAlign w:val="bottom"/>
            <w:gridSpan w:val="15"/>
          </w:tcPr>
          <w:p>
            <w:pPr>
              <w:spacing w:after="0" w:line="185"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Operations for the Three and Nine Months Ended December 31, 2010 and 2011</w:t>
              </w:r>
            </w:hyperlink>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7960" w:type="dxa"/>
            <w:vAlign w:val="bottom"/>
            <w:tcBorders>
              <w:top w:val="single" w:sz="8" w:color="0000EE"/>
            </w:tcBorders>
            <w:gridSpan w:val="14"/>
          </w:tcPr>
          <w:p>
            <w:pPr>
              <w:spacing w:after="0" w:line="185" w:lineRule="exact"/>
              <w:rPr>
                <w:rFonts w:ascii="Arial" w:cs="Arial" w:eastAsia="Arial" w:hAnsi="Arial"/>
                <w:sz w:val="17"/>
                <w:szCs w:val="17"/>
                <w:color w:val="0000EE"/>
                <w:w w:val="95"/>
              </w:rPr>
            </w:pPr>
            <w:hyperlink w:anchor="page5">
              <w:r>
                <w:rPr>
                  <w:rFonts w:ascii="Arial" w:cs="Arial" w:eastAsia="Arial" w:hAnsi="Arial"/>
                  <w:sz w:val="17"/>
                  <w:szCs w:val="17"/>
                  <w:color w:val="0000EE"/>
                  <w:w w:val="95"/>
                </w:rPr>
                <w:t>Condensed Consolidated Statements of Cash Flows for the Nine Months Ended December 31, 2010 and 2011</w:t>
              </w:r>
            </w:hyperlink>
          </w:p>
        </w:tc>
        <w:tc>
          <w:tcPr>
            <w:tcW w:w="2600" w:type="dxa"/>
            <w:vAlign w:val="bottom"/>
          </w:tcPr>
          <w:p>
            <w:pPr>
              <w:spacing w:after="0"/>
              <w:rPr>
                <w:sz w:val="16"/>
                <w:szCs w:val="16"/>
                <w:color w:val="auto"/>
              </w:rPr>
            </w:pPr>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3920" w:type="dxa"/>
            <w:vAlign w:val="bottom"/>
            <w:tcBorders>
              <w:top w:val="single" w:sz="8" w:color="0000EE"/>
              <w:bottom w:val="single" w:sz="8" w:color="0000EE"/>
            </w:tcBorders>
            <w:gridSpan w:val="9"/>
          </w:tcPr>
          <w:p>
            <w:pPr>
              <w:spacing w:after="0" w:line="185" w:lineRule="exact"/>
              <w:rPr>
                <w:rFonts w:ascii="Arial" w:cs="Arial" w:eastAsia="Arial" w:hAnsi="Arial"/>
                <w:sz w:val="17"/>
                <w:szCs w:val="17"/>
                <w:color w:val="0000EE"/>
                <w:w w:val="86"/>
              </w:rPr>
            </w:pPr>
            <w:hyperlink w:anchor="page6">
              <w:r>
                <w:rPr>
                  <w:rFonts w:ascii="Arial" w:cs="Arial" w:eastAsia="Arial" w:hAnsi="Arial"/>
                  <w:sz w:val="17"/>
                  <w:szCs w:val="17"/>
                  <w:color w:val="0000EE"/>
                  <w:w w:val="86"/>
                </w:rPr>
                <w:t>Notes to the Condensed Consolidated Financial Statements</w:t>
              </w:r>
            </w:hyperlink>
          </w:p>
        </w:tc>
        <w:tc>
          <w:tcPr>
            <w:tcW w:w="3340" w:type="dxa"/>
            <w:vAlign w:val="bottom"/>
            <w:tcBorders>
              <w:top w:val="single" w:sz="8" w:color="0000EE"/>
            </w:tcBorders>
            <w:gridSpan w:val="4"/>
          </w:tcPr>
          <w:p>
            <w:pPr>
              <w:spacing w:after="0"/>
              <w:rPr>
                <w:sz w:val="16"/>
                <w:szCs w:val="16"/>
                <w:color w:val="auto"/>
              </w:rPr>
            </w:pPr>
          </w:p>
        </w:tc>
        <w:tc>
          <w:tcPr>
            <w:tcW w:w="3300" w:type="dxa"/>
            <w:vAlign w:val="bottom"/>
            <w:gridSpan w:val="2"/>
          </w:tcPr>
          <w:p>
            <w:pPr>
              <w:spacing w:after="0"/>
              <w:rPr>
                <w:sz w:val="16"/>
                <w:szCs w:val="16"/>
                <w:color w:val="auto"/>
              </w:rPr>
            </w:pPr>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4"/>
        </w:trPr>
        <w:tc>
          <w:tcPr>
            <w:tcW w:w="640" w:type="dxa"/>
            <w:vAlign w:val="bottom"/>
            <w:tcBorders>
              <w:bottom w:val="single" w:sz="8" w:color="0000EE"/>
            </w:tcBorders>
            <w:gridSpan w:val="2"/>
          </w:tcPr>
          <w:p>
            <w:pPr>
              <w:spacing w:after="0" w:line="185"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ITEM 2.</w:t>
              </w:r>
            </w:hyperlink>
          </w:p>
        </w:tc>
        <w:tc>
          <w:tcPr>
            <w:tcW w:w="6320" w:type="dxa"/>
            <w:vAlign w:val="bottom"/>
            <w:tcBorders>
              <w:bottom w:val="single" w:sz="8" w:color="0000EE"/>
            </w:tcBorders>
            <w:gridSpan w:val="11"/>
          </w:tcPr>
          <w:p>
            <w:pPr>
              <w:ind w:left="20"/>
              <w:spacing w:after="0" w:line="185" w:lineRule="exact"/>
              <w:rPr>
                <w:rFonts w:ascii="Arial" w:cs="Arial" w:eastAsia="Arial" w:hAnsi="Arial"/>
                <w:sz w:val="17"/>
                <w:szCs w:val="17"/>
                <w:b w:val="1"/>
                <w:bCs w:val="1"/>
                <w:color w:val="0000EE"/>
                <w:w w:val="86"/>
              </w:rPr>
            </w:pPr>
            <w:hyperlink w:anchor="page21">
              <w:r>
                <w:rPr>
                  <w:rFonts w:ascii="Arial" w:cs="Arial" w:eastAsia="Arial" w:hAnsi="Arial"/>
                  <w:sz w:val="17"/>
                  <w:szCs w:val="17"/>
                  <w:b w:val="1"/>
                  <w:bCs w:val="1"/>
                  <w:color w:val="0000EE"/>
                  <w:w w:val="86"/>
                </w:rPr>
                <w:t>Management’s Discussion and Analysis of Financial Condition and Results of Operations</w:t>
              </w:r>
            </w:hyperlink>
          </w:p>
        </w:tc>
        <w:tc>
          <w:tcPr>
            <w:tcW w:w="4020" w:type="dxa"/>
            <w:vAlign w:val="bottom"/>
            <w:gridSpan w:val="3"/>
          </w:tcPr>
          <w:p>
            <w:pPr>
              <w:spacing w:after="0"/>
              <w:rPr>
                <w:sz w:val="16"/>
                <w:szCs w:val="16"/>
                <w:color w:val="auto"/>
              </w:rPr>
            </w:pPr>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4"/>
        </w:trPr>
        <w:tc>
          <w:tcPr>
            <w:tcW w:w="640" w:type="dxa"/>
            <w:vAlign w:val="bottom"/>
            <w:tcBorders>
              <w:bottom w:val="single" w:sz="8" w:color="0000EE"/>
            </w:tcBorders>
            <w:gridSpan w:val="2"/>
          </w:tcPr>
          <w:p>
            <w:pPr>
              <w:spacing w:after="0" w:line="185" w:lineRule="exact"/>
              <w:rPr>
                <w:rFonts w:ascii="Arial" w:cs="Arial" w:eastAsia="Arial" w:hAnsi="Arial"/>
                <w:sz w:val="17"/>
                <w:szCs w:val="17"/>
                <w:b w:val="1"/>
                <w:bCs w:val="1"/>
                <w:color w:val="0000EE"/>
              </w:rPr>
            </w:pPr>
            <w:hyperlink w:anchor="page32">
              <w:r>
                <w:rPr>
                  <w:rFonts w:ascii="Arial" w:cs="Arial" w:eastAsia="Arial" w:hAnsi="Arial"/>
                  <w:sz w:val="17"/>
                  <w:szCs w:val="17"/>
                  <w:b w:val="1"/>
                  <w:bCs w:val="1"/>
                  <w:color w:val="0000EE"/>
                </w:rPr>
                <w:t>ITEM 3.</w:t>
              </w:r>
            </w:hyperlink>
          </w:p>
        </w:tc>
        <w:tc>
          <w:tcPr>
            <w:tcW w:w="4280" w:type="dxa"/>
            <w:vAlign w:val="bottom"/>
            <w:tcBorders>
              <w:bottom w:val="single" w:sz="8" w:color="0000EE"/>
            </w:tcBorders>
            <w:gridSpan w:val="9"/>
          </w:tcPr>
          <w:p>
            <w:pPr>
              <w:ind w:left="20"/>
              <w:spacing w:after="0" w:line="185" w:lineRule="exact"/>
              <w:rPr>
                <w:rFonts w:ascii="Arial" w:cs="Arial" w:eastAsia="Arial" w:hAnsi="Arial"/>
                <w:sz w:val="17"/>
                <w:szCs w:val="17"/>
                <w:b w:val="1"/>
                <w:bCs w:val="1"/>
                <w:color w:val="0000EE"/>
                <w:w w:val="88"/>
              </w:rPr>
            </w:pPr>
            <w:hyperlink w:anchor="page32">
              <w:r>
                <w:rPr>
                  <w:rFonts w:ascii="Arial" w:cs="Arial" w:eastAsia="Arial" w:hAnsi="Arial"/>
                  <w:sz w:val="17"/>
                  <w:szCs w:val="17"/>
                  <w:b w:val="1"/>
                  <w:bCs w:val="1"/>
                  <w:color w:val="0000EE"/>
                  <w:w w:val="88"/>
                </w:rPr>
                <w:t>Quantitative and Qualitative Disclosures about Market Risk</w:t>
              </w:r>
            </w:hyperlink>
          </w:p>
        </w:tc>
        <w:tc>
          <w:tcPr>
            <w:tcW w:w="6060" w:type="dxa"/>
            <w:vAlign w:val="bottom"/>
            <w:gridSpan w:val="5"/>
          </w:tcPr>
          <w:p>
            <w:pPr>
              <w:spacing w:after="0"/>
              <w:rPr>
                <w:sz w:val="16"/>
                <w:szCs w:val="16"/>
                <w:color w:val="auto"/>
              </w:rPr>
            </w:pPr>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4"/>
        </w:trPr>
        <w:tc>
          <w:tcPr>
            <w:tcW w:w="2420" w:type="dxa"/>
            <w:vAlign w:val="bottom"/>
            <w:tcBorders>
              <w:bottom w:val="single" w:sz="8" w:color="0000EE"/>
            </w:tcBorders>
            <w:gridSpan w:val="7"/>
          </w:tcPr>
          <w:p>
            <w:pPr>
              <w:spacing w:after="0" w:line="185" w:lineRule="exact"/>
              <w:rPr>
                <w:rFonts w:ascii="Arial" w:cs="Arial" w:eastAsia="Arial" w:hAnsi="Arial"/>
                <w:sz w:val="17"/>
                <w:szCs w:val="17"/>
                <w:b w:val="1"/>
                <w:bCs w:val="1"/>
                <w:color w:val="0000EE"/>
                <w:w w:val="89"/>
              </w:rPr>
            </w:pPr>
            <w:hyperlink w:anchor="page32">
              <w:r>
                <w:rPr>
                  <w:rFonts w:ascii="Arial" w:cs="Arial" w:eastAsia="Arial" w:hAnsi="Arial"/>
                  <w:sz w:val="17"/>
                  <w:szCs w:val="17"/>
                  <w:b w:val="1"/>
                  <w:bCs w:val="1"/>
                  <w:color w:val="0000EE"/>
                  <w:w w:val="89"/>
                </w:rPr>
                <w:t>ITEM 4. Controls and Procedures</w:t>
              </w:r>
            </w:hyperlink>
          </w:p>
        </w:tc>
        <w:tc>
          <w:tcPr>
            <w:tcW w:w="8560" w:type="dxa"/>
            <w:vAlign w:val="bottom"/>
            <w:gridSpan w:val="9"/>
          </w:tcPr>
          <w:p>
            <w:pPr>
              <w:spacing w:after="0"/>
              <w:rPr>
                <w:sz w:val="16"/>
                <w:szCs w:val="16"/>
                <w:color w:val="auto"/>
              </w:rPr>
            </w:pPr>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0"/>
        </w:trPr>
        <w:tc>
          <w:tcPr>
            <w:tcW w:w="10980" w:type="dxa"/>
            <w:vAlign w:val="bottom"/>
            <w:gridSpan w:val="16"/>
          </w:tcPr>
          <w:p>
            <w:pPr>
              <w:spacing w:after="0"/>
              <w:rPr>
                <w:sz w:val="20"/>
                <w:szCs w:val="20"/>
                <w:color w:val="auto"/>
              </w:rPr>
            </w:pPr>
            <w:r>
              <w:rPr>
                <w:rFonts w:ascii="Arial" w:cs="Arial" w:eastAsia="Arial" w:hAnsi="Arial"/>
                <w:sz w:val="17"/>
                <w:szCs w:val="17"/>
                <w:b w:val="1"/>
                <w:bCs w:val="1"/>
                <w:color w:val="auto"/>
              </w:rPr>
              <w:t>PART II OTHER INFORMATION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680" w:type="dxa"/>
            <w:vAlign w:val="bottom"/>
            <w:tcBorders>
              <w:bottom w:val="single" w:sz="8" w:color="0000EE"/>
            </w:tcBorders>
            <w:gridSpan w:val="5"/>
          </w:tcPr>
          <w:p>
            <w:pPr>
              <w:spacing w:after="0" w:line="179" w:lineRule="exact"/>
              <w:rPr>
                <w:rFonts w:ascii="Arial" w:cs="Arial" w:eastAsia="Arial" w:hAnsi="Arial"/>
                <w:sz w:val="17"/>
                <w:szCs w:val="17"/>
                <w:b w:val="1"/>
                <w:bCs w:val="1"/>
                <w:color w:val="0000EE"/>
                <w:w w:val="92"/>
              </w:rPr>
            </w:pPr>
            <w:hyperlink w:anchor="page33">
              <w:r>
                <w:rPr>
                  <w:rFonts w:ascii="Arial" w:cs="Arial" w:eastAsia="Arial" w:hAnsi="Arial"/>
                  <w:sz w:val="17"/>
                  <w:szCs w:val="17"/>
                  <w:b w:val="1"/>
                  <w:bCs w:val="1"/>
                  <w:color w:val="0000EE"/>
                  <w:w w:val="92"/>
                </w:rPr>
                <w:t>ITEM 1A. Risk Factors</w:t>
              </w:r>
            </w:hyperlink>
          </w:p>
        </w:tc>
        <w:tc>
          <w:tcPr>
            <w:tcW w:w="9300" w:type="dxa"/>
            <w:vAlign w:val="bottom"/>
            <w:gridSpan w:val="11"/>
          </w:tcPr>
          <w:p>
            <w:pPr>
              <w:spacing w:after="0"/>
              <w:rPr>
                <w:sz w:val="15"/>
                <w:szCs w:val="15"/>
                <w:color w:val="auto"/>
              </w:rPr>
            </w:pPr>
          </w:p>
        </w:tc>
        <w:tc>
          <w:tcPr>
            <w:tcW w:w="440" w:type="dxa"/>
            <w:vAlign w:val="bottom"/>
          </w:tcPr>
          <w:p>
            <w:pPr>
              <w:jc w:val="right"/>
              <w:spacing w:after="0" w:line="17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4"/>
        </w:trPr>
        <w:tc>
          <w:tcPr>
            <w:tcW w:w="10980" w:type="dxa"/>
            <w:vAlign w:val="bottom"/>
            <w:gridSpan w:val="16"/>
          </w:tcPr>
          <w:p>
            <w:pPr>
              <w:spacing w:after="0" w:line="185"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ITEM 5. Other Information</w:t>
              </w:r>
            </w:hyperlink>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4"/>
        </w:trPr>
        <w:tc>
          <w:tcPr>
            <w:tcW w:w="640" w:type="dxa"/>
            <w:vAlign w:val="bottom"/>
            <w:tcBorders>
              <w:top w:val="single" w:sz="8" w:color="0000EE"/>
            </w:tcBorders>
            <w:gridSpan w:val="2"/>
          </w:tcPr>
          <w:p>
            <w:pPr>
              <w:spacing w:after="0" w:line="185" w:lineRule="exact"/>
              <w:rPr>
                <w:rFonts w:ascii="Arial" w:cs="Arial" w:eastAsia="Arial" w:hAnsi="Arial"/>
                <w:sz w:val="17"/>
                <w:szCs w:val="17"/>
                <w:b w:val="1"/>
                <w:bCs w:val="1"/>
                <w:color w:val="0000EE"/>
              </w:rPr>
            </w:pPr>
            <w:hyperlink w:anchor="page35">
              <w:r>
                <w:rPr>
                  <w:rFonts w:ascii="Arial" w:cs="Arial" w:eastAsia="Arial" w:hAnsi="Arial"/>
                  <w:sz w:val="17"/>
                  <w:szCs w:val="17"/>
                  <w:b w:val="1"/>
                  <w:bCs w:val="1"/>
                  <w:color w:val="0000EE"/>
                </w:rPr>
                <w:t>ITEM 6.</w:t>
              </w:r>
            </w:hyperlink>
          </w:p>
        </w:tc>
        <w:tc>
          <w:tcPr>
            <w:tcW w:w="1340" w:type="dxa"/>
            <w:vAlign w:val="bottom"/>
            <w:tcBorders>
              <w:top w:val="single" w:sz="8" w:color="0000EE"/>
            </w:tcBorders>
            <w:gridSpan w:val="4"/>
          </w:tcPr>
          <w:p>
            <w:pPr>
              <w:ind w:left="20"/>
              <w:spacing w:after="0" w:line="185" w:lineRule="exact"/>
              <w:rPr>
                <w:rFonts w:ascii="Arial" w:cs="Arial" w:eastAsia="Arial" w:hAnsi="Arial"/>
                <w:sz w:val="17"/>
                <w:szCs w:val="17"/>
                <w:b w:val="1"/>
                <w:bCs w:val="1"/>
                <w:color w:val="0000EE"/>
              </w:rPr>
            </w:pPr>
            <w:hyperlink w:anchor="page35">
              <w:r>
                <w:rPr>
                  <w:rFonts w:ascii="Arial" w:cs="Arial" w:eastAsia="Arial" w:hAnsi="Arial"/>
                  <w:sz w:val="17"/>
                  <w:szCs w:val="17"/>
                  <w:b w:val="1"/>
                  <w:bCs w:val="1"/>
                  <w:color w:val="0000EE"/>
                </w:rPr>
                <w:t>Exhibits</w:t>
              </w:r>
            </w:hyperlink>
          </w:p>
        </w:tc>
        <w:tc>
          <w:tcPr>
            <w:tcW w:w="9000" w:type="dxa"/>
            <w:vAlign w:val="bottom"/>
            <w:gridSpan w:val="10"/>
          </w:tcPr>
          <w:p>
            <w:pPr>
              <w:spacing w:after="0"/>
              <w:rPr>
                <w:sz w:val="16"/>
                <w:szCs w:val="16"/>
                <w:color w:val="auto"/>
              </w:rPr>
            </w:pPr>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4"/>
        </w:trPr>
        <w:tc>
          <w:tcPr>
            <w:tcW w:w="1240" w:type="dxa"/>
            <w:vAlign w:val="bottom"/>
            <w:tcBorders>
              <w:top w:val="single" w:sz="8" w:color="0000EE"/>
            </w:tcBorders>
            <w:gridSpan w:val="4"/>
          </w:tcPr>
          <w:p>
            <w:pPr>
              <w:spacing w:after="0" w:line="185"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SIGNATURES</w:t>
              </w:r>
            </w:hyperlink>
          </w:p>
        </w:tc>
        <w:tc>
          <w:tcPr>
            <w:tcW w:w="9740" w:type="dxa"/>
            <w:vAlign w:val="bottom"/>
            <w:gridSpan w:val="12"/>
          </w:tcPr>
          <w:p>
            <w:pPr>
              <w:spacing w:after="0"/>
              <w:rPr>
                <w:sz w:val="16"/>
                <w:szCs w:val="16"/>
                <w:color w:val="auto"/>
              </w:rPr>
            </w:pPr>
          </w:p>
        </w:tc>
        <w:tc>
          <w:tcPr>
            <w:tcW w:w="440" w:type="dxa"/>
            <w:vAlign w:val="bottom"/>
          </w:tcPr>
          <w:p>
            <w:pPr>
              <w:jc w:val="right"/>
              <w:spacing w:after="0" w:line="185"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362"/>
        </w:trPr>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120" w:type="dxa"/>
            <w:vAlign w:val="bottom"/>
            <w:gridSpan w:val="9"/>
          </w:tcPr>
          <w:p>
            <w:pPr>
              <w:jc w:val="right"/>
              <w:ind w:right="420"/>
              <w:spacing w:after="0"/>
              <w:rPr>
                <w:sz w:val="20"/>
                <w:szCs w:val="20"/>
                <w:color w:val="auto"/>
              </w:rPr>
            </w:pPr>
            <w:r>
              <w:rPr>
                <w:rFonts w:ascii="Arial" w:cs="Arial" w:eastAsia="Arial" w:hAnsi="Arial"/>
                <w:sz w:val="17"/>
                <w:szCs w:val="17"/>
                <w:color w:val="auto"/>
              </w:rPr>
              <w:t>2</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PART I – FINANCIAL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ORION ENERGY SYSTEMS,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March 31,</w:t>
            </w:r>
          </w:p>
        </w:tc>
        <w:tc>
          <w:tcPr>
            <w:tcW w:w="80" w:type="dxa"/>
            <w:vAlign w:val="bottom"/>
          </w:tcPr>
          <w:p>
            <w:pPr>
              <w:spacing w:after="0"/>
              <w:rPr>
                <w:sz w:val="13"/>
                <w:szCs w:val="13"/>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3"/>
        </w:trPr>
        <w:tc>
          <w:tcPr>
            <w:tcW w:w="93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93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11,560</w:t>
            </w:r>
          </w:p>
        </w:tc>
        <w:tc>
          <w:tcPr>
            <w:tcW w:w="120" w:type="dxa"/>
            <w:vAlign w:val="bottom"/>
          </w:tcPr>
          <w:p>
            <w:pPr>
              <w:spacing w:after="0"/>
              <w:rPr>
                <w:sz w:val="17"/>
                <w:szCs w:val="17"/>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18,233</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1,015</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Accounts receivable, net of allowances of $757 and $831</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23,401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20,509</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19,473</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2,686</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1,254</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2,280</w:t>
            </w:r>
          </w:p>
        </w:tc>
        <w:tc>
          <w:tcPr>
            <w:tcW w:w="0" w:type="dxa"/>
            <w:vAlign w:val="bottom"/>
          </w:tcPr>
          <w:p>
            <w:pPr>
              <w:spacing w:after="0"/>
              <w:rPr>
                <w:sz w:val="1"/>
                <w:szCs w:val="1"/>
                <w:color w:val="auto"/>
              </w:rPr>
            </w:pPr>
          </w:p>
        </w:tc>
      </w:tr>
      <w:tr>
        <w:trPr>
          <w:trHeight w:val="26"/>
        </w:trPr>
        <w:tc>
          <w:tcPr>
            <w:tcW w:w="9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65,450</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30,595</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Patents and licenses, net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1,702</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Long-term accounts receivable</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8,496</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Long-term inventory</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13,212</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2,461</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2,985</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121,087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5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124,901</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12,483</w:t>
            </w:r>
          </w:p>
        </w:tc>
        <w:tc>
          <w:tcPr>
            <w:tcW w:w="120" w:type="dxa"/>
            <w:vAlign w:val="bottom"/>
          </w:tcPr>
          <w:p>
            <w:pPr>
              <w:spacing w:after="0"/>
              <w:rPr>
                <w:sz w:val="17"/>
                <w:szCs w:val="17"/>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15,488</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3,511</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Deferred revenue, current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2,596</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Current maturities of long-term debt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2,344</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20"/>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24,231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23,939</w:t>
            </w:r>
          </w:p>
        </w:tc>
        <w:tc>
          <w:tcPr>
            <w:tcW w:w="0" w:type="dxa"/>
            <w:vAlign w:val="bottom"/>
          </w:tcPr>
          <w:p>
            <w:pPr>
              <w:spacing w:after="0"/>
              <w:rPr>
                <w:sz w:val="1"/>
                <w:szCs w:val="1"/>
                <w:color w:val="auto"/>
              </w:rPr>
            </w:pPr>
          </w:p>
        </w:tc>
      </w:tr>
      <w:tr>
        <w:trPr>
          <w:trHeight w:val="205"/>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maturities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6,341</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Deferred revenue, long-term</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1,527</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2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30,632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32,207</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(See Note F)</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w w:val="94"/>
              </w:rPr>
              <w:t>Preferred stock, $0.01 par value: Shares authorized: 30,000,000 at March 31, 2011 and December 31, 2011; no shares issued and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outstanding at March 31, 2011 and December 31, 2011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9360" w:type="dxa"/>
            <w:vAlign w:val="bottom"/>
          </w:tcPr>
          <w:p>
            <w:pPr>
              <w:spacing w:after="0"/>
              <w:rPr>
                <w:sz w:val="20"/>
                <w:szCs w:val="20"/>
                <w:color w:val="auto"/>
              </w:rPr>
            </w:pPr>
            <w:r>
              <w:rPr>
                <w:rFonts w:ascii="Arial" w:cs="Arial" w:eastAsia="Arial" w:hAnsi="Arial"/>
                <w:sz w:val="17"/>
                <w:szCs w:val="17"/>
                <w:color w:val="auto"/>
                <w:w w:val="89"/>
              </w:rPr>
              <w:t>Common stock, no par value: Shares authorized: 200,000,000 at March 31, 2011 and December 31, 2011; shares issued: 30,312,758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360" w:type="dxa"/>
            <w:vAlign w:val="bottom"/>
          </w:tcPr>
          <w:p>
            <w:pPr>
              <w:ind w:left="200"/>
              <w:spacing w:after="0"/>
              <w:rPr>
                <w:sz w:val="20"/>
                <w:szCs w:val="20"/>
                <w:color w:val="auto"/>
              </w:rPr>
            </w:pPr>
            <w:r>
              <w:rPr>
                <w:rFonts w:ascii="Arial" w:cs="Arial" w:eastAsia="Arial" w:hAnsi="Arial"/>
                <w:sz w:val="17"/>
                <w:szCs w:val="17"/>
                <w:color w:val="auto"/>
                <w:w w:val="95"/>
              </w:rPr>
              <w:t>30,411,704 at March 31, 2011 and December 31, 2011; shares outstanding: 22,893,803 and 22,924,746 at March 31, 2011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360" w:type="dxa"/>
            <w:vAlign w:val="bottom"/>
          </w:tcPr>
          <w:p>
            <w:pPr>
              <w:ind w:left="200"/>
              <w:spacing w:after="0"/>
              <w:rPr>
                <w:sz w:val="20"/>
                <w:szCs w:val="20"/>
                <w:color w:val="auto"/>
              </w:rPr>
            </w:pPr>
            <w:r>
              <w:rPr>
                <w:rFonts w:ascii="Arial" w:cs="Arial" w:eastAsia="Arial" w:hAnsi="Arial"/>
                <w:sz w:val="17"/>
                <w:szCs w:val="17"/>
                <w:color w:val="auto"/>
              </w:rPr>
              <w:t>December 31, 2011</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126,072</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Stockholder notes receivable</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4"/>
        </w:trPr>
        <w:tc>
          <w:tcPr>
            <w:tcW w:w="9360" w:type="dxa"/>
            <w:vAlign w:val="bottom"/>
            <w:shd w:val="clear" w:color="auto" w:fill="CCEEFF"/>
          </w:tcPr>
          <w:p>
            <w:pPr>
              <w:spacing w:after="0"/>
              <w:rPr>
                <w:sz w:val="20"/>
                <w:szCs w:val="20"/>
                <w:color w:val="auto"/>
              </w:rPr>
            </w:pPr>
            <w:r>
              <w:rPr>
                <w:rFonts w:ascii="Arial" w:cs="Arial" w:eastAsia="Arial" w:hAnsi="Arial"/>
                <w:sz w:val="17"/>
                <w:szCs w:val="17"/>
                <w:color w:val="auto"/>
              </w:rPr>
              <w:t>Treasury stock: 7,431,897 and 7,486,958 common shares at March 31, 2011 and December 31, 2011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(31,708)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(32,025)</w:t>
            </w: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(1,776)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6"/>
        </w:trPr>
        <w:tc>
          <w:tcPr>
            <w:tcW w:w="9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shareholders’ equity</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92,694</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20"/>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121,087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5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124,901</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7" w:right="2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ORION ENERGY SYSTEMS, INC. AND SUBSIDIARIES UNAUDITED CONDENSED CONSOLIDATED STATEMENTS OF OPERATIONS (in thousands, except share and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w w:val="93"/>
              </w:rPr>
              <w:t>Three Months Ended 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93"/>
              </w:rPr>
              <w:t>Nine Months Ended December 31,</w:t>
            </w:r>
          </w:p>
        </w:tc>
        <w:tc>
          <w:tcPr>
            <w:tcW w:w="0" w:type="dxa"/>
            <w:vAlign w:val="bottom"/>
          </w:tcPr>
          <w:p>
            <w:pPr>
              <w:spacing w:after="0"/>
              <w:rPr>
                <w:sz w:val="1"/>
                <w:szCs w:val="1"/>
                <w:color w:val="auto"/>
              </w:rPr>
            </w:pPr>
          </w:p>
        </w:tc>
      </w:tr>
      <w:tr>
        <w:trPr>
          <w:trHeight w:val="153"/>
        </w:trPr>
        <w:tc>
          <w:tcPr>
            <w:tcW w:w="6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2010</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2011</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2010</w:t>
            </w:r>
          </w:p>
        </w:tc>
        <w:tc>
          <w:tcPr>
            <w:tcW w:w="3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21,633</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52,476</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tcPr>
          <w:p>
            <w:pPr>
              <w:spacing w:after="0"/>
              <w:rPr>
                <w:sz w:val="20"/>
                <w:szCs w:val="20"/>
                <w:color w:val="auto"/>
              </w:rPr>
            </w:pPr>
            <w:r>
              <w:rPr>
                <w:rFonts w:ascii="Arial" w:cs="Arial" w:eastAsia="Arial" w:hAnsi="Arial"/>
                <w:sz w:val="17"/>
                <w:szCs w:val="17"/>
                <w:color w:val="auto"/>
              </w:rPr>
              <w:t>Service revenue</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2,011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3,132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3,997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7,356</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23,644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27,406</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56,473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79,102</w:t>
            </w:r>
          </w:p>
        </w:tc>
        <w:tc>
          <w:tcPr>
            <w:tcW w:w="0" w:type="dxa"/>
            <w:vAlign w:val="bottom"/>
          </w:tcPr>
          <w:p>
            <w:pPr>
              <w:spacing w:after="0"/>
              <w:rPr>
                <w:sz w:val="1"/>
                <w:szCs w:val="1"/>
                <w:color w:val="auto"/>
              </w:rPr>
            </w:pPr>
          </w:p>
        </w:tc>
      </w:tr>
      <w:tr>
        <w:trPr>
          <w:trHeight w:val="204"/>
        </w:trPr>
        <w:tc>
          <w:tcPr>
            <w:tcW w:w="6100" w:type="dxa"/>
            <w:vAlign w:val="bottom"/>
          </w:tcPr>
          <w:p>
            <w:pPr>
              <w:spacing w:after="0"/>
              <w:rPr>
                <w:sz w:val="20"/>
                <w:szCs w:val="20"/>
                <w:color w:val="auto"/>
              </w:rPr>
            </w:pPr>
            <w:r>
              <w:rPr>
                <w:rFonts w:ascii="Arial" w:cs="Arial" w:eastAsia="Arial" w:hAnsi="Arial"/>
                <w:sz w:val="17"/>
                <w:szCs w:val="17"/>
                <w:color w:val="auto"/>
              </w:rPr>
              <w:t>Cost of product revenue</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14,134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17,445</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34,186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50,484</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 revenue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2,447</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5,716</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20"/>
              <w:spacing w:after="0"/>
              <w:rPr>
                <w:sz w:val="20"/>
                <w:szCs w:val="20"/>
                <w:color w:val="auto"/>
              </w:rPr>
            </w:pPr>
            <w:r>
              <w:rPr>
                <w:rFonts w:ascii="Arial" w:cs="Arial" w:eastAsia="Arial" w:hAnsi="Arial"/>
                <w:sz w:val="17"/>
                <w:szCs w:val="17"/>
                <w:color w:val="auto"/>
              </w:rPr>
              <w:t>Total cost of revenue</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15,810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19,892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37,277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56,200</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19,196</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22,902</w:t>
            </w:r>
          </w:p>
        </w:tc>
        <w:tc>
          <w:tcPr>
            <w:tcW w:w="0" w:type="dxa"/>
            <w:vAlign w:val="bottom"/>
          </w:tcPr>
          <w:p>
            <w:pPr>
              <w:spacing w:after="0"/>
              <w:rPr>
                <w:sz w:val="1"/>
                <w:szCs w:val="1"/>
                <w:color w:val="auto"/>
              </w:rPr>
            </w:pPr>
          </w:p>
        </w:tc>
      </w:tr>
      <w:tr>
        <w:trPr>
          <w:trHeight w:val="204"/>
        </w:trPr>
        <w:tc>
          <w:tcPr>
            <w:tcW w:w="6100" w:type="dxa"/>
            <w:vAlign w:val="bottom"/>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2,841</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8,642</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8,641</w:t>
            </w:r>
          </w:p>
        </w:tc>
        <w:tc>
          <w:tcPr>
            <w:tcW w:w="0" w:type="dxa"/>
            <w:vAlign w:val="bottom"/>
          </w:tcPr>
          <w:p>
            <w:pPr>
              <w:spacing w:after="0"/>
              <w:rPr>
                <w:sz w:val="1"/>
                <w:szCs w:val="1"/>
                <w:color w:val="auto"/>
              </w:rPr>
            </w:pPr>
          </w:p>
        </w:tc>
      </w:tr>
      <w:tr>
        <w:trPr>
          <w:trHeight w:val="204"/>
        </w:trPr>
        <w:tc>
          <w:tcPr>
            <w:tcW w:w="610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3,235</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4,053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10,124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11,557</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1,771</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2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6,558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7,450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20,563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21,969</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(1,367)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204"/>
        </w:trPr>
        <w:tc>
          <w:tcPr>
            <w:tcW w:w="6100" w:type="dxa"/>
            <w:vAlign w:val="bottom"/>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04"/>
        </w:trPr>
        <w:tc>
          <w:tcPr>
            <w:tcW w:w="6100" w:type="dxa"/>
            <w:vAlign w:val="bottom"/>
          </w:tcPr>
          <w:p>
            <w:pPr>
              <w:spacing w:after="0"/>
              <w:rPr>
                <w:sz w:val="20"/>
                <w:szCs w:val="20"/>
                <w:color w:val="auto"/>
              </w:rPr>
            </w:pPr>
            <w:r>
              <w:rPr>
                <w:rFonts w:ascii="Arial" w:cs="Arial" w:eastAsia="Arial" w:hAnsi="Arial"/>
                <w:sz w:val="17"/>
                <w:szCs w:val="17"/>
                <w:color w:val="auto"/>
              </w:rPr>
              <w:t>Dividend and interest income</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other income (expense)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7"/>
                <w:szCs w:val="17"/>
                <w:color w:val="auto"/>
              </w:rPr>
              <w:t>Income (loss) before income tax</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1,367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(1,155)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1,130</w:t>
            </w:r>
          </w:p>
        </w:tc>
        <w:tc>
          <w:tcPr>
            <w:tcW w:w="0" w:type="dxa"/>
            <w:vAlign w:val="bottom"/>
          </w:tcPr>
          <w:p>
            <w:pPr>
              <w:spacing w:after="0"/>
              <w:rPr>
                <w:sz w:val="1"/>
                <w:szCs w:val="1"/>
                <w:color w:val="auto"/>
              </w:rPr>
            </w:pPr>
          </w:p>
        </w:tc>
      </w:tr>
      <w:tr>
        <w:trPr>
          <w:trHeight w:val="205"/>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(976)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20"/>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(182)</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74</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(179)</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Basic net income (loss) per share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4"/>
        </w:trPr>
        <w:tc>
          <w:tcPr>
            <w:tcW w:w="6100" w:type="dxa"/>
            <w:vAlign w:val="bottom"/>
          </w:tcPr>
          <w:p>
            <w:pPr>
              <w:spacing w:after="0"/>
              <w:rPr>
                <w:sz w:val="20"/>
                <w:szCs w:val="20"/>
                <w:color w:val="auto"/>
              </w:rPr>
            </w:pPr>
            <w:r>
              <w:rPr>
                <w:rFonts w:ascii="Arial" w:cs="Arial" w:eastAsia="Arial" w:hAnsi="Arial"/>
                <w:sz w:val="17"/>
                <w:szCs w:val="17"/>
                <w:color w:val="auto"/>
              </w:rPr>
              <w:t>Weighted-average common shares outstanding</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22,726,426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22,996,050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22,629,776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86"/>
              </w:rPr>
              <w:t>22,969,169</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Diluted net income (loss) per share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12"/>
        </w:trPr>
        <w:tc>
          <w:tcPr>
            <w:tcW w:w="6100" w:type="dxa"/>
            <w:vAlign w:val="bottom"/>
          </w:tcPr>
          <w:p>
            <w:pPr>
              <w:spacing w:after="0"/>
              <w:rPr>
                <w:sz w:val="20"/>
                <w:szCs w:val="20"/>
                <w:color w:val="auto"/>
              </w:rPr>
            </w:pPr>
            <w:r>
              <w:rPr>
                <w:rFonts w:ascii="Arial" w:cs="Arial" w:eastAsia="Arial" w:hAnsi="Arial"/>
                <w:sz w:val="17"/>
                <w:szCs w:val="17"/>
                <w:color w:val="auto"/>
              </w:rPr>
              <w:t>Weighted-average common shares outstanding</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22,726,426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23,254,830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22,629,776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86"/>
              </w:rPr>
              <w:t>23,388,651</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67" w:right="239" w:bottom="1440" w:gutter="0" w:footer="0" w:header="0"/>
        </w:sectPr>
      </w:pPr>
    </w:p>
    <w:bookmarkStart w:id="4" w:name="page5"/>
    <w:bookmarkEnd w:id="4"/>
    <w:p>
      <w:pPr>
        <w:jc w:val="center"/>
        <w:spacing w:after="0" w:line="26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ORION ENERGY SYSTEMS, INC. AND SUBSIDIARIES UNAUDITED CONDENSED CONSOLIDATED STATEMENTS OF CASH FLOWS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2020" w:type="dxa"/>
            <w:vAlign w:val="bottom"/>
            <w:gridSpan w:val="6"/>
          </w:tcPr>
          <w:p>
            <w:pPr>
              <w:jc w:val="right"/>
              <w:ind w:right="120"/>
              <w:spacing w:after="0"/>
              <w:rPr>
                <w:sz w:val="20"/>
                <w:szCs w:val="20"/>
                <w:color w:val="auto"/>
              </w:rPr>
            </w:pPr>
            <w:r>
              <w:rPr>
                <w:rFonts w:ascii="Arial" w:cs="Arial" w:eastAsia="Arial" w:hAnsi="Arial"/>
                <w:sz w:val="13"/>
                <w:szCs w:val="13"/>
                <w:b w:val="1"/>
                <w:bCs w:val="1"/>
                <w:color w:val="auto"/>
                <w:w w:val="89"/>
              </w:rPr>
              <w:t>Nine Months Ended December 31,</w:t>
            </w:r>
          </w:p>
        </w:tc>
        <w:tc>
          <w:tcPr>
            <w:tcW w:w="0" w:type="dxa"/>
            <w:vAlign w:val="bottom"/>
          </w:tcPr>
          <w:p>
            <w:pPr>
              <w:spacing w:after="0"/>
              <w:rPr>
                <w:sz w:val="1"/>
                <w:szCs w:val="1"/>
                <w:color w:val="auto"/>
              </w:rPr>
            </w:pPr>
          </w:p>
        </w:tc>
      </w:tr>
      <w:tr>
        <w:trPr>
          <w:trHeight w:val="153"/>
        </w:trPr>
        <w:tc>
          <w:tcPr>
            <w:tcW w:w="94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2010</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940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Operating activities</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0" w:type="dxa"/>
            <w:vAlign w:val="bottom"/>
          </w:tcPr>
          <w:p>
            <w:pPr>
              <w:spacing w:after="0"/>
              <w:rPr>
                <w:sz w:val="20"/>
                <w:szCs w:val="20"/>
                <w:color w:val="auto"/>
              </w:rPr>
            </w:pPr>
            <w:r>
              <w:rPr>
                <w:rFonts w:ascii="Arial" w:cs="Arial" w:eastAsia="Arial" w:hAnsi="Arial"/>
                <w:sz w:val="17"/>
                <w:szCs w:val="17"/>
                <w:color w:val="auto"/>
              </w:rPr>
              <w:t>Net income (loss)</w:t>
            </w: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(179)</w:t>
            </w: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0" w:type="dxa"/>
            <w:vAlign w:val="bottom"/>
          </w:tcPr>
          <w:p>
            <w:pPr>
              <w:ind w:left="12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2,414</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3,029</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Stock-based compensation expense</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04"/>
        </w:trPr>
        <w:tc>
          <w:tcPr>
            <w:tcW w:w="9400" w:type="dxa"/>
            <w:vAlign w:val="bottom"/>
          </w:tcPr>
          <w:p>
            <w:pPr>
              <w:ind w:left="1220"/>
              <w:spacing w:after="0"/>
              <w:rPr>
                <w:sz w:val="20"/>
                <w:szCs w:val="20"/>
                <w:color w:val="auto"/>
              </w:rPr>
            </w:pPr>
            <w:r>
              <w:rPr>
                <w:rFonts w:ascii="Arial" w:cs="Arial" w:eastAsia="Arial" w:hAnsi="Arial"/>
                <w:sz w:val="17"/>
                <w:szCs w:val="17"/>
                <w:color w:val="auto"/>
              </w:rPr>
              <w:t>Deferred income tax benefit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(595)</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Gain on sale of property and equipment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4"/>
        </w:trPr>
        <w:tc>
          <w:tcPr>
            <w:tcW w:w="9400" w:type="dxa"/>
            <w:vAlign w:val="bottom"/>
          </w:tcPr>
          <w:p>
            <w:pPr>
              <w:ind w:left="1220"/>
              <w:spacing w:after="0"/>
              <w:rPr>
                <w:sz w:val="20"/>
                <w:szCs w:val="20"/>
                <w:color w:val="auto"/>
              </w:rPr>
            </w:pPr>
            <w:r>
              <w:rPr>
                <w:rFonts w:ascii="Arial" w:cs="Arial" w:eastAsia="Arial" w:hAnsi="Arial"/>
                <w:sz w:val="17"/>
                <w:szCs w:val="17"/>
                <w:color w:val="auto"/>
              </w:rPr>
              <w:t>Change in bad debt expense</w:t>
            </w:r>
          </w:p>
        </w:tc>
        <w:tc>
          <w:tcPr>
            <w:tcW w:w="2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85</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4"/>
        </w:trPr>
        <w:tc>
          <w:tcPr>
            <w:tcW w:w="9400" w:type="dxa"/>
            <w:vAlign w:val="bottom"/>
          </w:tcPr>
          <w:p>
            <w:pPr>
              <w:ind w:left="820"/>
              <w:spacing w:after="0"/>
              <w:rPr>
                <w:sz w:val="20"/>
                <w:szCs w:val="20"/>
                <w:color w:val="auto"/>
              </w:rPr>
            </w:pPr>
            <w:r>
              <w:rPr>
                <w:rFonts w:ascii="Arial" w:cs="Arial" w:eastAsia="Arial" w:hAnsi="Arial"/>
                <w:sz w:val="17"/>
                <w:szCs w:val="17"/>
                <w:color w:val="auto"/>
              </w:rPr>
              <w:t>Changes in operating assets and liabilities: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Accounts receivable</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(10,138)</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1,573</w:t>
            </w:r>
          </w:p>
        </w:tc>
        <w:tc>
          <w:tcPr>
            <w:tcW w:w="0" w:type="dxa"/>
            <w:vAlign w:val="bottom"/>
          </w:tcPr>
          <w:p>
            <w:pPr>
              <w:spacing w:after="0"/>
              <w:rPr>
                <w:sz w:val="1"/>
                <w:szCs w:val="1"/>
                <w:color w:val="auto"/>
              </w:rPr>
            </w:pPr>
          </w:p>
        </w:tc>
      </w:tr>
      <w:tr>
        <w:trPr>
          <w:trHeight w:val="204"/>
        </w:trPr>
        <w:tc>
          <w:tcPr>
            <w:tcW w:w="9400" w:type="dxa"/>
            <w:vAlign w:val="bottom"/>
          </w:tcPr>
          <w:p>
            <w:pPr>
              <w:ind w:left="1220"/>
              <w:spacing w:after="0"/>
              <w:rPr>
                <w:sz w:val="20"/>
                <w:szCs w:val="20"/>
                <w:color w:val="auto"/>
              </w:rPr>
            </w:pPr>
            <w:r>
              <w:rPr>
                <w:rFonts w:ascii="Arial" w:cs="Arial" w:eastAsia="Arial" w:hAnsi="Arial"/>
                <w:sz w:val="17"/>
                <w:szCs w:val="17"/>
                <w:color w:val="auto"/>
              </w:rPr>
              <w:t>Inventories</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(6,239)</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(3,596)</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Deferred contract costs</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(5,562)</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6,903</w:t>
            </w:r>
          </w:p>
        </w:tc>
        <w:tc>
          <w:tcPr>
            <w:tcW w:w="0" w:type="dxa"/>
            <w:vAlign w:val="bottom"/>
          </w:tcPr>
          <w:p>
            <w:pPr>
              <w:spacing w:after="0"/>
              <w:rPr>
                <w:sz w:val="1"/>
                <w:szCs w:val="1"/>
                <w:color w:val="auto"/>
              </w:rPr>
            </w:pPr>
          </w:p>
        </w:tc>
      </w:tr>
      <w:tr>
        <w:trPr>
          <w:trHeight w:val="204"/>
        </w:trPr>
        <w:tc>
          <w:tcPr>
            <w:tcW w:w="9400" w:type="dxa"/>
            <w:vAlign w:val="bottom"/>
          </w:tcPr>
          <w:p>
            <w:pPr>
              <w:ind w:left="1220"/>
              <w:spacing w:after="0"/>
              <w:rPr>
                <w:sz w:val="20"/>
                <w:szCs w:val="20"/>
                <w:color w:val="auto"/>
              </w:rPr>
            </w:pPr>
            <w:r>
              <w:rPr>
                <w:rFonts w:ascii="Arial" w:cs="Arial" w:eastAsia="Arial" w:hAnsi="Arial"/>
                <w:sz w:val="17"/>
                <w:szCs w:val="17"/>
                <w:color w:val="auto"/>
              </w:rPr>
              <w:t>Prepaid expenses and other</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(2,044)</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(1,089)</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3,162</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(6,081)</w:t>
            </w:r>
          </w:p>
        </w:tc>
        <w:tc>
          <w:tcPr>
            <w:tcW w:w="0" w:type="dxa"/>
            <w:vAlign w:val="bottom"/>
          </w:tcPr>
          <w:p>
            <w:pPr>
              <w:spacing w:after="0"/>
              <w:rPr>
                <w:sz w:val="1"/>
                <w:szCs w:val="1"/>
                <w:color w:val="auto"/>
              </w:rPr>
            </w:pPr>
          </w:p>
        </w:tc>
      </w:tr>
      <w:tr>
        <w:trPr>
          <w:trHeight w:val="204"/>
        </w:trPr>
        <w:tc>
          <w:tcPr>
            <w:tcW w:w="9400" w:type="dxa"/>
            <w:vAlign w:val="bottom"/>
          </w:tcPr>
          <w:p>
            <w:pPr>
              <w:ind w:left="1220"/>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7,602</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Accrued expenses</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20"/>
        </w:trPr>
        <w:tc>
          <w:tcPr>
            <w:tcW w:w="9400" w:type="dxa"/>
            <w:vAlign w:val="bottom"/>
            <w:vMerge w:val="restart"/>
          </w:tcPr>
          <w:p>
            <w:pPr>
              <w:ind w:left="820"/>
              <w:spacing w:after="0"/>
              <w:rPr>
                <w:sz w:val="20"/>
                <w:szCs w:val="20"/>
                <w:color w:val="auto"/>
              </w:rPr>
            </w:pPr>
            <w:r>
              <w:rPr>
                <w:rFonts w:ascii="Arial" w:cs="Arial" w:eastAsia="Arial" w:hAnsi="Arial"/>
                <w:sz w:val="17"/>
                <w:szCs w:val="17"/>
                <w:b w:val="1"/>
                <w:bCs w:val="1"/>
                <w:color w:val="auto"/>
              </w:rPr>
              <w:t>Net cash (used in) provided by operating activities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(10,585)</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6,486</w:t>
            </w:r>
          </w:p>
        </w:tc>
        <w:tc>
          <w:tcPr>
            <w:tcW w:w="0" w:type="dxa"/>
            <w:vAlign w:val="bottom"/>
          </w:tcPr>
          <w:p>
            <w:pPr>
              <w:spacing w:after="0"/>
              <w:rPr>
                <w:sz w:val="1"/>
                <w:szCs w:val="1"/>
                <w:color w:val="auto"/>
              </w:rPr>
            </w:pPr>
          </w:p>
        </w:tc>
      </w:tr>
      <w:tr>
        <w:trPr>
          <w:trHeight w:val="205"/>
        </w:trPr>
        <w:tc>
          <w:tcPr>
            <w:tcW w:w="9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0" w:type="dxa"/>
            <w:vAlign w:val="bottom"/>
          </w:tcPr>
          <w:p>
            <w:pPr>
              <w:ind w:left="420"/>
              <w:spacing w:after="0"/>
              <w:rPr>
                <w:sz w:val="20"/>
                <w:szCs w:val="20"/>
                <w:color w:val="auto"/>
              </w:rPr>
            </w:pPr>
            <w:r>
              <w:rPr>
                <w:rFonts w:ascii="Arial" w:cs="Arial" w:eastAsia="Arial" w:hAnsi="Arial"/>
                <w:sz w:val="17"/>
                <w:szCs w:val="17"/>
                <w:color w:val="auto"/>
              </w:rPr>
              <w:t>Purchase of property and equipment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(2,986)</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(3,398)</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Purchase of property and equipment held under operating leases</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(2,126)</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4"/>
        </w:trPr>
        <w:tc>
          <w:tcPr>
            <w:tcW w:w="9400" w:type="dxa"/>
            <w:vAlign w:val="bottom"/>
          </w:tcPr>
          <w:p>
            <w:pPr>
              <w:ind w:left="420"/>
              <w:spacing w:after="0"/>
              <w:rPr>
                <w:sz w:val="20"/>
                <w:szCs w:val="20"/>
                <w:color w:val="auto"/>
              </w:rPr>
            </w:pPr>
            <w:r>
              <w:rPr>
                <w:rFonts w:ascii="Arial" w:cs="Arial" w:eastAsia="Arial" w:hAnsi="Arial"/>
                <w:sz w:val="17"/>
                <w:szCs w:val="17"/>
                <w:color w:val="auto"/>
              </w:rPr>
              <w:t>Purchase of short-term investments</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Additions to patents and licenses</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4"/>
        </w:trPr>
        <w:tc>
          <w:tcPr>
            <w:tcW w:w="9400" w:type="dxa"/>
            <w:vAlign w:val="bottom"/>
          </w:tcPr>
          <w:p>
            <w:pPr>
              <w:ind w:left="420"/>
              <w:spacing w:after="0"/>
              <w:rPr>
                <w:sz w:val="20"/>
                <w:szCs w:val="20"/>
                <w:color w:val="auto"/>
              </w:rPr>
            </w:pPr>
            <w:r>
              <w:rPr>
                <w:rFonts w:ascii="Arial" w:cs="Arial" w:eastAsia="Arial" w:hAnsi="Arial"/>
                <w:sz w:val="17"/>
                <w:szCs w:val="17"/>
                <w:color w:val="auto"/>
              </w:rPr>
              <w:t>Proceeds from sales of property, plant and equipment</w:t>
            </w:r>
          </w:p>
        </w:tc>
        <w:tc>
          <w:tcPr>
            <w:tcW w:w="2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Long-term assets</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(330)</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400" w:type="dxa"/>
            <w:vAlign w:val="bottom"/>
            <w:vMerge w:val="restart"/>
          </w:tcPr>
          <w:p>
            <w:pPr>
              <w:ind w:left="420"/>
              <w:spacing w:after="0"/>
              <w:rPr>
                <w:sz w:val="20"/>
                <w:szCs w:val="20"/>
                <w:color w:val="auto"/>
              </w:rPr>
            </w:pPr>
            <w:r>
              <w:rPr>
                <w:rFonts w:ascii="Arial" w:cs="Arial" w:eastAsia="Arial" w:hAnsi="Arial"/>
                <w:sz w:val="17"/>
                <w:szCs w:val="17"/>
                <w:b w:val="1"/>
                <w:bCs w:val="1"/>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(5,589)</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(3,584)</w:t>
            </w:r>
          </w:p>
        </w:tc>
        <w:tc>
          <w:tcPr>
            <w:tcW w:w="0" w:type="dxa"/>
            <w:vAlign w:val="bottom"/>
          </w:tcPr>
          <w:p>
            <w:pPr>
              <w:spacing w:after="0"/>
              <w:rPr>
                <w:sz w:val="1"/>
                <w:szCs w:val="1"/>
                <w:color w:val="auto"/>
              </w:rPr>
            </w:pPr>
          </w:p>
        </w:tc>
      </w:tr>
      <w:tr>
        <w:trPr>
          <w:trHeight w:val="205"/>
        </w:trPr>
        <w:tc>
          <w:tcPr>
            <w:tcW w:w="9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0" w:type="dxa"/>
            <w:vAlign w:val="bottom"/>
          </w:tcPr>
          <w:p>
            <w:pPr>
              <w:ind w:left="420"/>
              <w:spacing w:after="0"/>
              <w:rPr>
                <w:sz w:val="20"/>
                <w:szCs w:val="20"/>
                <w:color w:val="auto"/>
              </w:rPr>
            </w:pPr>
            <w:r>
              <w:rPr>
                <w:rFonts w:ascii="Arial" w:cs="Arial" w:eastAsia="Arial" w:hAnsi="Arial"/>
                <w:sz w:val="17"/>
                <w:szCs w:val="17"/>
                <w:color w:val="auto"/>
              </w:rPr>
              <w:t>Payment of long-term debt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(528)</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(1,260)</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long-term debt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2,689</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4,583</w:t>
            </w:r>
          </w:p>
        </w:tc>
        <w:tc>
          <w:tcPr>
            <w:tcW w:w="0" w:type="dxa"/>
            <w:vAlign w:val="bottom"/>
          </w:tcPr>
          <w:p>
            <w:pPr>
              <w:spacing w:after="0"/>
              <w:rPr>
                <w:sz w:val="1"/>
                <w:szCs w:val="1"/>
                <w:color w:val="auto"/>
              </w:rPr>
            </w:pPr>
          </w:p>
        </w:tc>
      </w:tr>
      <w:tr>
        <w:trPr>
          <w:trHeight w:val="204"/>
        </w:trPr>
        <w:tc>
          <w:tcPr>
            <w:tcW w:w="9400" w:type="dxa"/>
            <w:vAlign w:val="bottom"/>
          </w:tcPr>
          <w:p>
            <w:pPr>
              <w:ind w:left="420"/>
              <w:spacing w:after="0"/>
              <w:rPr>
                <w:sz w:val="20"/>
                <w:szCs w:val="20"/>
                <w:color w:val="auto"/>
              </w:rPr>
            </w:pPr>
            <w:r>
              <w:rPr>
                <w:rFonts w:ascii="Arial" w:cs="Arial" w:eastAsia="Arial" w:hAnsi="Arial"/>
                <w:sz w:val="17"/>
                <w:szCs w:val="17"/>
                <w:color w:val="auto"/>
              </w:rPr>
              <w:t>Proceeds from repayment of shareholder notes</w:t>
            </w:r>
          </w:p>
        </w:tc>
        <w:tc>
          <w:tcPr>
            <w:tcW w:w="2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Repurchase of common stock into treasury</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4"/>
        </w:trPr>
        <w:tc>
          <w:tcPr>
            <w:tcW w:w="9400" w:type="dxa"/>
            <w:vAlign w:val="bottom"/>
          </w:tcPr>
          <w:p>
            <w:pPr>
              <w:ind w:left="420"/>
              <w:spacing w:after="0"/>
              <w:rPr>
                <w:sz w:val="20"/>
                <w:szCs w:val="20"/>
                <w:color w:val="auto"/>
              </w:rPr>
            </w:pPr>
            <w:r>
              <w:rPr>
                <w:rFonts w:ascii="Arial" w:cs="Arial" w:eastAsia="Arial" w:hAnsi="Arial"/>
                <w:sz w:val="17"/>
                <w:szCs w:val="17"/>
                <w:color w:val="auto"/>
              </w:rPr>
              <w:t>Excess tax benefits from stock-based compensation</w:t>
            </w:r>
          </w:p>
        </w:tc>
        <w:tc>
          <w:tcPr>
            <w:tcW w:w="2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193</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financing costs</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4"/>
        </w:trPr>
        <w:tc>
          <w:tcPr>
            <w:tcW w:w="9400" w:type="dxa"/>
            <w:vAlign w:val="bottom"/>
          </w:tcPr>
          <w:p>
            <w:pPr>
              <w:ind w:left="420"/>
              <w:spacing w:after="0"/>
              <w:rPr>
                <w:sz w:val="20"/>
                <w:szCs w:val="20"/>
                <w:color w:val="auto"/>
              </w:rPr>
            </w:pPr>
            <w:r>
              <w:rPr>
                <w:rFonts w:ascii="Arial" w:cs="Arial" w:eastAsia="Arial" w:hAnsi="Arial"/>
                <w:sz w:val="17"/>
                <w:szCs w:val="17"/>
                <w:color w:val="auto"/>
              </w:rPr>
              <w:t>Proceeds from issuance of common stock</w:t>
            </w:r>
          </w:p>
        </w:tc>
        <w:tc>
          <w:tcPr>
            <w:tcW w:w="2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374</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6"/>
        </w:trPr>
        <w:tc>
          <w:tcPr>
            <w:tcW w:w="9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Net cash provided by financing activities</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2,668</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3,771</w:t>
            </w:r>
          </w:p>
        </w:tc>
        <w:tc>
          <w:tcPr>
            <w:tcW w:w="0" w:type="dxa"/>
            <w:vAlign w:val="bottom"/>
          </w:tcPr>
          <w:p>
            <w:pPr>
              <w:spacing w:after="0"/>
              <w:rPr>
                <w:sz w:val="1"/>
                <w:szCs w:val="1"/>
                <w:color w:val="auto"/>
              </w:rPr>
            </w:pPr>
          </w:p>
        </w:tc>
      </w:tr>
      <w:tr>
        <w:trPr>
          <w:trHeight w:val="20"/>
        </w:trPr>
        <w:tc>
          <w:tcPr>
            <w:tcW w:w="9400" w:type="dxa"/>
            <w:vAlign w:val="bottom"/>
            <w:vMerge w:val="restart"/>
          </w:tcPr>
          <w:p>
            <w:pPr>
              <w:spacing w:after="0"/>
              <w:rPr>
                <w:sz w:val="20"/>
                <w:szCs w:val="20"/>
                <w:color w:val="auto"/>
              </w:rPr>
            </w:pPr>
            <w:r>
              <w:rPr>
                <w:rFonts w:ascii="Arial" w:cs="Arial" w:eastAsia="Arial" w:hAnsi="Arial"/>
                <w:sz w:val="17"/>
                <w:szCs w:val="17"/>
                <w:color w:val="auto"/>
              </w:rPr>
              <w:t>Net increase (decrease) in cash and cash equivalents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(13,506)</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6,673</w:t>
            </w:r>
          </w:p>
        </w:tc>
        <w:tc>
          <w:tcPr>
            <w:tcW w:w="0" w:type="dxa"/>
            <w:vAlign w:val="bottom"/>
          </w:tcPr>
          <w:p>
            <w:pPr>
              <w:spacing w:after="0"/>
              <w:rPr>
                <w:sz w:val="1"/>
                <w:szCs w:val="1"/>
                <w:color w:val="auto"/>
              </w:rPr>
            </w:pPr>
          </w:p>
        </w:tc>
      </w:tr>
      <w:tr>
        <w:trPr>
          <w:trHeight w:val="205"/>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23,364</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11,560</w:t>
            </w:r>
          </w:p>
        </w:tc>
        <w:tc>
          <w:tcPr>
            <w:tcW w:w="0" w:type="dxa"/>
            <w:vAlign w:val="bottom"/>
          </w:tcPr>
          <w:p>
            <w:pPr>
              <w:spacing w:after="0"/>
              <w:rPr>
                <w:sz w:val="1"/>
                <w:szCs w:val="1"/>
                <w:color w:val="auto"/>
              </w:rPr>
            </w:pPr>
          </w:p>
        </w:tc>
      </w:tr>
      <w:tr>
        <w:trPr>
          <w:trHeight w:val="20"/>
        </w:trPr>
        <w:tc>
          <w:tcPr>
            <w:tcW w:w="9400" w:type="dxa"/>
            <w:vAlign w:val="bottom"/>
            <w:vMerge w:val="restart"/>
          </w:tcPr>
          <w:p>
            <w:pPr>
              <w:spacing w:after="0"/>
              <w:rPr>
                <w:sz w:val="20"/>
                <w:szCs w:val="20"/>
                <w:color w:val="auto"/>
              </w:rPr>
            </w:pPr>
            <w:r>
              <w:rPr>
                <w:rFonts w:ascii="Arial" w:cs="Arial" w:eastAsia="Arial" w:hAnsi="Arial"/>
                <w:sz w:val="17"/>
                <w:szCs w:val="17"/>
                <w:color w:val="auto"/>
              </w:rPr>
              <w:t>Cash and cash equivalents at end of period</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vMerge w:val="continue"/>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9,858</w:t>
            </w: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18,233</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0" w:type="dxa"/>
            <w:vAlign w:val="bottom"/>
          </w:tcPr>
          <w:p>
            <w:pPr>
              <w:ind w:left="420"/>
              <w:spacing w:after="0"/>
              <w:rPr>
                <w:sz w:val="20"/>
                <w:szCs w:val="20"/>
                <w:color w:val="auto"/>
              </w:rPr>
            </w:pPr>
            <w:r>
              <w:rPr>
                <w:rFonts w:ascii="Arial" w:cs="Arial" w:eastAsia="Arial" w:hAnsi="Arial"/>
                <w:sz w:val="17"/>
                <w:szCs w:val="17"/>
                <w:color w:val="auto"/>
              </w:rPr>
              <w:t>Cash paid for interest</w:t>
            </w: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192</w:t>
            </w: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Cash paid for income taxes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4"/>
        </w:trPr>
        <w:tc>
          <w:tcPr>
            <w:tcW w:w="9400" w:type="dxa"/>
            <w:vAlign w:val="bottom"/>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Shares issued from treasury for shareholder note receivable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158</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2"/>
        </w:trPr>
        <w:tc>
          <w:tcPr>
            <w:tcW w:w="9400" w:type="dxa"/>
            <w:vAlign w:val="bottom"/>
          </w:tcPr>
          <w:p>
            <w:pPr>
              <w:ind w:left="420"/>
              <w:spacing w:after="0"/>
              <w:rPr>
                <w:sz w:val="20"/>
                <w:szCs w:val="20"/>
                <w:color w:val="auto"/>
              </w:rPr>
            </w:pPr>
            <w:r>
              <w:rPr>
                <w:rFonts w:ascii="Arial" w:cs="Arial" w:eastAsia="Arial" w:hAnsi="Arial"/>
                <w:sz w:val="17"/>
                <w:szCs w:val="17"/>
                <w:color w:val="auto"/>
              </w:rPr>
              <w:t>Shares surrendered into treasury from stock option exercise</w:t>
            </w: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51</w:t>
            </w: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7"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ORION ENERGY SYSTEMS, INC. AND SUBSIDIARIES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 NOTES TO THE CONDENSED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 DESCRIPTION OF BUSINESS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85"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31" w:lineRule="exact"/>
        <w:rPr>
          <w:sz w:val="20"/>
          <w:szCs w:val="20"/>
          <w:color w:val="auto"/>
        </w:rPr>
      </w:pPr>
    </w:p>
    <w:p>
      <w:pPr>
        <w:jc w:val="both"/>
        <w:ind w:firstLine="457"/>
        <w:spacing w:after="0" w:line="260" w:lineRule="auto"/>
        <w:rPr>
          <w:sz w:val="20"/>
          <w:szCs w:val="20"/>
          <w:color w:val="auto"/>
        </w:rPr>
      </w:pPr>
      <w:r>
        <w:rPr>
          <w:rFonts w:ascii="Arial" w:cs="Arial" w:eastAsia="Arial" w:hAnsi="Arial"/>
          <w:sz w:val="17"/>
          <w:szCs w:val="17"/>
          <w:color w:val="auto"/>
        </w:rPr>
        <w:t>In August 2009, the Company created Orion Engineered Systems, a new operating division offering additional alternative renewable energy systems. The Company first introduced the presentation of operating segments for the quarter ended December 31, 2010. See Note I “Segment Reporting” of these financial statements for further discussion of our reportable segments.</w:t>
      </w:r>
    </w:p>
    <w:p>
      <w:pPr>
        <w:spacing w:after="0" w:line="131" w:lineRule="exact"/>
        <w:rPr>
          <w:sz w:val="20"/>
          <w:szCs w:val="20"/>
          <w:color w:val="auto"/>
        </w:rPr>
      </w:pPr>
    </w:p>
    <w:p>
      <w:pPr>
        <w:ind w:right="360" w:firstLine="457"/>
        <w:spacing w:after="0" w:line="270" w:lineRule="auto"/>
        <w:rPr>
          <w:sz w:val="20"/>
          <w:szCs w:val="20"/>
          <w:color w:val="auto"/>
        </w:rPr>
      </w:pPr>
      <w:r>
        <w:rPr>
          <w:rFonts w:ascii="Arial" w:cs="Arial" w:eastAsia="Arial" w:hAnsi="Arial"/>
          <w:sz w:val="17"/>
          <w:szCs w:val="17"/>
          <w:color w:val="auto"/>
        </w:rPr>
        <w:t>The Company’s corporate offices and manufacturing operations are located in Manitowoc, Wisconsin and an operations facility occupied by Orion Engineered Systems is located in Plymouth, Wisconsin.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 SUMMARY OF SIGNIFICANT ACCOUNTING POLICIES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85" w:lineRule="exact"/>
        <w:rPr>
          <w:sz w:val="20"/>
          <w:szCs w:val="20"/>
          <w:color w:val="auto"/>
        </w:rPr>
      </w:pPr>
    </w:p>
    <w:p>
      <w:pPr>
        <w:ind w:right="860" w:firstLine="457"/>
        <w:spacing w:after="0" w:line="270" w:lineRule="auto"/>
        <w:rPr>
          <w:sz w:val="20"/>
          <w:szCs w:val="20"/>
          <w:color w:val="auto"/>
        </w:rPr>
      </w:pPr>
      <w:r>
        <w:rPr>
          <w:rFonts w:ascii="Arial" w:cs="Arial" w:eastAsia="Arial" w:hAnsi="Arial"/>
          <w:sz w:val="17"/>
          <w:szCs w:val="17"/>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85"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2012 or other interim periods.</w:t>
      </w:r>
    </w:p>
    <w:p>
      <w:pPr>
        <w:spacing w:after="0" w:line="136"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The condensed consolidated balance sheet at March 31, 2011 has been derived from the audited and adjusted consolidated financial statements at that date but does not include all of the information required by GAAP for complete financial statements.</w:t>
      </w:r>
    </w:p>
    <w:p>
      <w:pPr>
        <w:spacing w:after="0" w:line="122" w:lineRule="exact"/>
        <w:rPr>
          <w:sz w:val="20"/>
          <w:szCs w:val="20"/>
          <w:color w:val="auto"/>
        </w:rPr>
      </w:pPr>
    </w:p>
    <w:p>
      <w:pPr>
        <w:jc w:val="both"/>
        <w:ind w:right="280" w:firstLine="457"/>
        <w:spacing w:after="0" w:line="338" w:lineRule="auto"/>
        <w:rPr>
          <w:sz w:val="20"/>
          <w:szCs w:val="20"/>
          <w:color w:val="auto"/>
        </w:rPr>
      </w:pPr>
      <w:r>
        <w:rPr>
          <w:rFonts w:ascii="Arial" w:cs="Arial" w:eastAsia="Arial" w:hAnsi="Arial"/>
          <w:sz w:val="15"/>
          <w:szCs w:val="15"/>
          <w:color w:val="auto"/>
        </w:rPr>
        <w:t>The accompanying unaudited condensed consolidated financial statements should be read in conjunction with the audited consolidated financial statements and footnotes thereto included in the Company’s Annual Report on Form 10-K/A for the fiscal year ended March 31, 2011, which we filed with the SEC on June 14, 2012.</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85" w:lineRule="exact"/>
        <w:rPr>
          <w:sz w:val="20"/>
          <w:szCs w:val="20"/>
          <w:color w:val="auto"/>
        </w:rPr>
      </w:pPr>
    </w:p>
    <w:p>
      <w:pPr>
        <w:ind w:right="160" w:firstLine="457"/>
        <w:spacing w:after="0" w:line="302"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40" w:top="267" w:right="2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Cash and Cash Equivalents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considers all highly liquid, short-term investments with original maturities of three months or less to be cash equivalents.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85"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The amortized cost and fair value of marketable securities, with gross unrealized gains and losses, as of March 31, 2011 and December 31, 2011 were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vMerge w:val="restart"/>
          </w:tcPr>
          <w:p>
            <w:pPr>
              <w:jc w:val="right"/>
              <w:ind w:right="300"/>
              <w:spacing w:after="0"/>
              <w:rPr>
                <w:sz w:val="20"/>
                <w:szCs w:val="20"/>
                <w:color w:val="auto"/>
              </w:rPr>
            </w:pPr>
            <w:r>
              <w:rPr>
                <w:rFonts w:ascii="Arial" w:cs="Arial" w:eastAsia="Arial" w:hAnsi="Arial"/>
                <w:sz w:val="13"/>
                <w:szCs w:val="13"/>
                <w:b w:val="1"/>
                <w:bCs w:val="1"/>
                <w:color w:val="auto"/>
                <w:w w:val="88"/>
              </w:rPr>
              <w:t>Amortized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March 31, 2011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Cash and Cash</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Short-term</w:t>
            </w: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0"/>
              <w:spacing w:after="0" w:line="121"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Gains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86"/>
              </w:rPr>
              <w:t>Fair Value</w:t>
            </w:r>
          </w:p>
        </w:tc>
        <w:tc>
          <w:tcPr>
            <w:tcW w:w="180" w:type="dxa"/>
            <w:vAlign w:val="bottom"/>
          </w:tcPr>
          <w:p>
            <w:pPr>
              <w:spacing w:after="0"/>
              <w:rPr>
                <w:sz w:val="13"/>
                <w:szCs w:val="13"/>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b w:val="1"/>
                <w:bCs w:val="1"/>
                <w:color w:val="auto"/>
              </w:rPr>
              <w:t>Equivalents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w w:val="94"/>
              </w:rPr>
              <w:t>Investments</w:t>
            </w:r>
          </w:p>
        </w:tc>
        <w:tc>
          <w:tcPr>
            <w:tcW w:w="0" w:type="dxa"/>
            <w:vAlign w:val="bottom"/>
          </w:tcPr>
          <w:p>
            <w:pPr>
              <w:spacing w:after="0"/>
              <w:rPr>
                <w:sz w:val="1"/>
                <w:szCs w:val="1"/>
                <w:color w:val="auto"/>
              </w:rPr>
            </w:pPr>
          </w:p>
        </w:tc>
      </w:tr>
      <w:tr>
        <w:trPr>
          <w:trHeight w:val="197"/>
        </w:trPr>
        <w:tc>
          <w:tcPr>
            <w:tcW w:w="50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Money market funds</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w w:val="77"/>
              </w:rPr>
              <w:t>485</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center"/>
              <w:ind w:left="57"/>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20"/>
                <w:szCs w:val="20"/>
                <w:color w:val="auto"/>
              </w:rPr>
            </w:pPr>
            <w:r>
              <w:rPr>
                <w:rFonts w:ascii="Arial" w:cs="Arial" w:eastAsia="Arial" w:hAnsi="Arial"/>
                <w:sz w:val="17"/>
                <w:szCs w:val="17"/>
                <w:color w:val="auto"/>
              </w:rPr>
              <w:t>Bank certificate of deposit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1,011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1,011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ind w:lef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89"/>
              </w:rPr>
              <w:t>1,011</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1,496</w:t>
            </w: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1,496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w w:val="77"/>
              </w:rPr>
              <w:t>485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1,011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1"/>
              </w:rPr>
              <w:t>Amortized</w:t>
            </w:r>
          </w:p>
        </w:tc>
        <w:tc>
          <w:tcPr>
            <w:tcW w:w="1120" w:type="dxa"/>
            <w:vAlign w:val="bottom"/>
            <w:gridSpan w:val="5"/>
          </w:tcPr>
          <w:p>
            <w:pPr>
              <w:jc w:val="center"/>
              <w:ind w:left="23"/>
              <w:spacing w:after="0"/>
              <w:rPr>
                <w:sz w:val="20"/>
                <w:szCs w:val="20"/>
                <w:color w:val="auto"/>
              </w:rPr>
            </w:pPr>
            <w:r>
              <w:rPr>
                <w:rFonts w:ascii="Arial" w:cs="Arial" w:eastAsia="Arial" w:hAnsi="Arial"/>
                <w:sz w:val="13"/>
                <w:szCs w:val="13"/>
                <w:b w:val="1"/>
                <w:bCs w:val="1"/>
                <w:color w:val="auto"/>
                <w:w w:val="87"/>
              </w:rPr>
              <w:t>December 31, 2011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Cash and Cash</w:t>
            </w:r>
          </w:p>
        </w:tc>
        <w:tc>
          <w:tcPr>
            <w:tcW w:w="100" w:type="dxa"/>
            <w:vAlign w:val="bottom"/>
          </w:tcPr>
          <w:p>
            <w:pPr>
              <w:spacing w:after="0"/>
              <w:rPr>
                <w:sz w:val="24"/>
                <w:szCs w:val="24"/>
                <w:color w:val="auto"/>
              </w:rPr>
            </w:pPr>
          </w:p>
        </w:tc>
        <w:tc>
          <w:tcPr>
            <w:tcW w:w="84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93"/>
              </w:rPr>
              <w:t>Short-term</w:t>
            </w: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w w:val="88"/>
              </w:rPr>
              <w:t>Unrealized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Cost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Gains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0"/>
              </w:rPr>
              <w:t>Fair Value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Equivalents</w:t>
            </w:r>
          </w:p>
        </w:tc>
        <w:tc>
          <w:tcPr>
            <w:tcW w:w="100" w:type="dxa"/>
            <w:vAlign w:val="bottom"/>
          </w:tcPr>
          <w:p>
            <w:pPr>
              <w:spacing w:after="0"/>
              <w:rPr>
                <w:sz w:val="13"/>
                <w:szCs w:val="13"/>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6"/>
              </w:rPr>
              <w:t>Investments</w:t>
            </w:r>
          </w:p>
        </w:tc>
        <w:tc>
          <w:tcPr>
            <w:tcW w:w="0" w:type="dxa"/>
            <w:vAlign w:val="bottom"/>
          </w:tcPr>
          <w:p>
            <w:pPr>
              <w:spacing w:after="0"/>
              <w:rPr>
                <w:sz w:val="1"/>
                <w:szCs w:val="1"/>
                <w:color w:val="auto"/>
              </w:rPr>
            </w:pPr>
          </w:p>
        </w:tc>
      </w:tr>
      <w:tr>
        <w:trPr>
          <w:trHeight w:val="197"/>
        </w:trPr>
        <w:tc>
          <w:tcPr>
            <w:tcW w:w="50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Money market funds</w:t>
            </w:r>
          </w:p>
        </w:tc>
        <w:tc>
          <w:tcPr>
            <w:tcW w:w="180" w:type="dxa"/>
            <w:vAlign w:val="bottom"/>
            <w:tcBorders>
              <w:top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ind w:left="520"/>
              <w:spacing w:after="0"/>
              <w:rPr>
                <w:sz w:val="20"/>
                <w:szCs w:val="20"/>
                <w:color w:val="auto"/>
              </w:rPr>
            </w:pPr>
            <w:r>
              <w:rPr>
                <w:rFonts w:ascii="Arial" w:cs="Arial" w:eastAsia="Arial" w:hAnsi="Arial"/>
                <w:sz w:val="17"/>
                <w:szCs w:val="17"/>
                <w:color w:val="auto"/>
                <w:w w:val="77"/>
              </w:rPr>
              <w:t>485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ind w:left="57"/>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7"/>
                <w:szCs w:val="17"/>
                <w:color w:val="auto"/>
              </w:rPr>
              <w:t>Bank certificate of deposit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4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1,015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5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left="17"/>
              <w:spacing w:after="0"/>
              <w:rPr>
                <w:sz w:val="20"/>
                <w:szCs w:val="20"/>
                <w:color w:val="auto"/>
              </w:rPr>
            </w:pPr>
            <w:r>
              <w:rPr>
                <w:rFonts w:ascii="Arial" w:cs="Arial" w:eastAsia="Arial" w:hAnsi="Arial"/>
                <w:sz w:val="17"/>
                <w:szCs w:val="17"/>
                <w:color w:val="auto"/>
                <w:w w:val="89"/>
              </w:rPr>
              <w:t>1,015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1,500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1,015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2011 and December 31, 2011, the Company’s financial assets described in the table above were measured at cost (level 1 inputs).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certificate of deposit is pledged as security for an equipment lease.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85" w:lineRule="exact"/>
        <w:rPr>
          <w:sz w:val="20"/>
          <w:szCs w:val="20"/>
          <w:color w:val="auto"/>
        </w:rPr>
      </w:pPr>
    </w:p>
    <w:p>
      <w:pPr>
        <w:ind w:right="40" w:firstLine="457"/>
        <w:spacing w:after="0" w:line="275" w:lineRule="auto"/>
        <w:rPr>
          <w:sz w:val="20"/>
          <w:szCs w:val="20"/>
          <w:color w:val="auto"/>
        </w:rPr>
      </w:pPr>
      <w:r>
        <w:rPr>
          <w:rFonts w:ascii="Arial" w:cs="Arial" w:eastAsia="Arial" w:hAnsi="Arial"/>
          <w:sz w:val="16"/>
          <w:szCs w:val="16"/>
          <w:color w:val="auto"/>
        </w:rPr>
        <w:t>The Company’s financial instruments consist of cash, short-term investments, accounts receivable, accounts payable, accrued liabilities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1 — Valuations are based on unadjusted quoted prices in active markets for identical assets or liabilities.</w:t>
      </w:r>
    </w:p>
    <w:p>
      <w:pPr>
        <w:spacing w:after="0" w:line="162" w:lineRule="exact"/>
        <w:rPr>
          <w:sz w:val="20"/>
          <w:szCs w:val="20"/>
          <w:color w:val="auto"/>
        </w:rPr>
      </w:pPr>
    </w:p>
    <w:p>
      <w:pPr>
        <w:ind w:right="740" w:firstLine="457"/>
        <w:spacing w:after="0" w:line="270" w:lineRule="auto"/>
        <w:rPr>
          <w:sz w:val="20"/>
          <w:szCs w:val="20"/>
          <w:color w:val="auto"/>
        </w:rPr>
      </w:pPr>
      <w:r>
        <w:rPr>
          <w:rFonts w:ascii="Arial" w:cs="Arial" w:eastAsia="Arial" w:hAnsi="Arial"/>
          <w:sz w:val="17"/>
          <w:szCs w:val="17"/>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22" w:lineRule="exact"/>
        <w:rPr>
          <w:sz w:val="20"/>
          <w:szCs w:val="20"/>
          <w:color w:val="auto"/>
        </w:rPr>
      </w:pPr>
    </w:p>
    <w:p>
      <w:pPr>
        <w:ind w:right="960" w:firstLine="457"/>
        <w:spacing w:after="0" w:line="338" w:lineRule="auto"/>
        <w:rPr>
          <w:sz w:val="20"/>
          <w:szCs w:val="20"/>
          <w:color w:val="auto"/>
        </w:rPr>
      </w:pPr>
      <w:r>
        <w:rPr>
          <w:rFonts w:ascii="Arial" w:cs="Arial" w:eastAsia="Arial" w:hAnsi="Arial"/>
          <w:sz w:val="15"/>
          <w:szCs w:val="15"/>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85"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Financing Receivables</w:t>
      </w:r>
    </w:p>
    <w:p>
      <w:pPr>
        <w:spacing w:after="0" w:line="85" w:lineRule="exact"/>
        <w:rPr>
          <w:sz w:val="20"/>
          <w:szCs w:val="20"/>
          <w:color w:val="auto"/>
        </w:rPr>
      </w:pPr>
    </w:p>
    <w:p>
      <w:pPr>
        <w:ind w:right="20" w:firstLine="457"/>
        <w:spacing w:after="0" w:line="338" w:lineRule="auto"/>
        <w:rPr>
          <w:sz w:val="20"/>
          <w:szCs w:val="20"/>
          <w:color w:val="auto"/>
        </w:rPr>
      </w:pPr>
      <w:r>
        <w:rPr>
          <w:rFonts w:ascii="Arial" w:cs="Arial" w:eastAsia="Arial" w:hAnsi="Arial"/>
          <w:sz w:val="15"/>
          <w:szCs w:val="15"/>
          <w:color w:val="auto"/>
        </w:rPr>
        <w:t>The Company considers its lease balances included in consolidated current and long-term accounts receivable from its Orion Throughput Agreement, or OTA, sales-type leases to be financing receivables. Additional disclosures on the credit quality of the Company’s OTA receivables included in accounts receivable are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Aging Analysis as of December 31, 2011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1-90 days</w:t>
            </w:r>
          </w:p>
        </w:tc>
        <w:tc>
          <w:tcPr>
            <w:tcW w:w="66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Greater than 90</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Total sales-type</w:t>
            </w:r>
          </w:p>
        </w:tc>
      </w:tr>
      <w:tr>
        <w:trPr>
          <w:trHeight w:val="153"/>
        </w:trPr>
        <w:tc>
          <w:tcPr>
            <w:tcW w:w="4940" w:type="dxa"/>
            <w:vAlign w:val="bottom"/>
          </w:tcPr>
          <w:p>
            <w:pPr>
              <w:spacing w:after="0"/>
              <w:rPr>
                <w:sz w:val="13"/>
                <w:szCs w:val="13"/>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86"/>
              </w:rPr>
              <w:t>Not Past Due</w:t>
            </w:r>
          </w:p>
        </w:tc>
        <w:tc>
          <w:tcPr>
            <w:tcW w:w="3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past due</w:t>
            </w:r>
          </w:p>
        </w:tc>
        <w:tc>
          <w:tcPr>
            <w:tcW w:w="660" w:type="dxa"/>
            <w:vAlign w:val="bottom"/>
          </w:tcPr>
          <w:p>
            <w:pPr>
              <w:spacing w:after="0"/>
              <w:rPr>
                <w:sz w:val="13"/>
                <w:szCs w:val="13"/>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89"/>
              </w:rPr>
              <w:t>days past due</w:t>
            </w:r>
          </w:p>
        </w:tc>
        <w:tc>
          <w:tcPr>
            <w:tcW w:w="300" w:type="dxa"/>
            <w:vAlign w:val="bottom"/>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past due</w:t>
            </w:r>
          </w:p>
        </w:tc>
        <w:tc>
          <w:tcPr>
            <w:tcW w:w="18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leases</w:t>
            </w:r>
          </w:p>
        </w:tc>
      </w:tr>
      <w:tr>
        <w:trPr>
          <w:trHeight w:val="176"/>
        </w:trPr>
        <w:tc>
          <w:tcPr>
            <w:tcW w:w="49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Lease balances included in consolidated accounts receivable—</w:t>
            </w: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3"/>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current</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2,829</w:t>
            </w:r>
          </w:p>
        </w:tc>
        <w:tc>
          <w:tcPr>
            <w:tcW w:w="5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2,855</w:t>
            </w:r>
          </w:p>
        </w:tc>
      </w:tr>
      <w:tr>
        <w:trPr>
          <w:trHeight w:val="196"/>
        </w:trPr>
        <w:tc>
          <w:tcPr>
            <w:tcW w:w="4940" w:type="dxa"/>
            <w:vAlign w:val="bottom"/>
          </w:tcPr>
          <w:p>
            <w:pPr>
              <w:spacing w:after="0"/>
              <w:rPr>
                <w:sz w:val="20"/>
                <w:szCs w:val="20"/>
                <w:color w:val="auto"/>
              </w:rPr>
            </w:pPr>
            <w:r>
              <w:rPr>
                <w:rFonts w:ascii="Arial" w:cs="Arial" w:eastAsia="Arial" w:hAnsi="Arial"/>
                <w:sz w:val="17"/>
                <w:szCs w:val="17"/>
                <w:color w:val="auto"/>
              </w:rPr>
              <w:t>Lease balances included in consolidated accounts receivable—</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4940" w:type="dxa"/>
            <w:vAlign w:val="bottom"/>
          </w:tcPr>
          <w:p>
            <w:pPr>
              <w:ind w:left="200"/>
              <w:spacing w:after="0"/>
              <w:rPr>
                <w:sz w:val="20"/>
                <w:szCs w:val="20"/>
                <w:color w:val="auto"/>
              </w:rPr>
            </w:pPr>
            <w:r>
              <w:rPr>
                <w:rFonts w:ascii="Arial" w:cs="Arial" w:eastAsia="Arial" w:hAnsi="Arial"/>
                <w:sz w:val="17"/>
                <w:szCs w:val="17"/>
                <w:color w:val="auto"/>
              </w:rPr>
              <w:t>long-term</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6,001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6,001</w:t>
            </w:r>
          </w:p>
        </w:tc>
      </w:tr>
      <w:tr>
        <w:trPr>
          <w:trHeight w:val="26"/>
        </w:trPr>
        <w:tc>
          <w:tcPr>
            <w:tcW w:w="4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Total gross sales-type leases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8,830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8,856</w:t>
            </w:r>
          </w:p>
        </w:tc>
      </w:tr>
      <w:tr>
        <w:trPr>
          <w:trHeight w:val="204"/>
        </w:trPr>
        <w:tc>
          <w:tcPr>
            <w:tcW w:w="4940" w:type="dxa"/>
            <w:vAlign w:val="bottom"/>
          </w:tcPr>
          <w:p>
            <w:pPr>
              <w:spacing w:after="0"/>
              <w:rPr>
                <w:sz w:val="20"/>
                <w:szCs w:val="20"/>
                <w:color w:val="auto"/>
              </w:rPr>
            </w:pPr>
            <w:r>
              <w:rPr>
                <w:rFonts w:ascii="Arial" w:cs="Arial" w:eastAsia="Arial" w:hAnsi="Arial"/>
                <w:sz w:val="17"/>
                <w:szCs w:val="17"/>
                <w:color w:val="auto"/>
              </w:rPr>
              <w:t>Allowance</w:t>
            </w:r>
          </w:p>
        </w:tc>
        <w:tc>
          <w:tcPr>
            <w:tcW w:w="22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6"/>
        </w:trPr>
        <w:tc>
          <w:tcPr>
            <w:tcW w:w="4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Total net sales-type leases</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8,830</w:t>
            </w:r>
          </w:p>
        </w:tc>
        <w:tc>
          <w:tcPr>
            <w:tcW w:w="5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8,843</w:t>
            </w:r>
          </w:p>
        </w:tc>
      </w:tr>
      <w:tr>
        <w:trPr>
          <w:trHeight w:val="20"/>
        </w:trPr>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Allowance for Credit Losses</w:t>
      </w:r>
    </w:p>
    <w:p>
      <w:pPr>
        <w:spacing w:after="0" w:line="85"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no impairment of the receivables for the sales-type leases. The Company believes that there is no impairment of the receivables for the sales-type leases. The Company incurred $0 and $57,000 of provision write-offs or credit losses against its OTA sales-type lease receivable balances in fiscal 2011 and for the quarter ended December 31, 2011,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85"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2011 and December 31, 2011, the Company had inventory obsolescence reserves of $1.3 million and $1.3 million.</w:t>
      </w:r>
    </w:p>
    <w:p>
      <w:pPr>
        <w:spacing w:after="0" w:line="106"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Costs associated with the procurement and warehousing of inventories, such as inbound freight charges and purchasing and receiving costs, are also included in cost of product revenue.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Inventories were comprised of the following (in thousands):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4140" w:type="dxa"/>
            <w:vAlign w:val="bottom"/>
            <w:gridSpan w:val="2"/>
          </w:tcPr>
          <w:p>
            <w:pPr>
              <w:jc w:val="right"/>
              <w:spacing w:after="0"/>
              <w:rPr>
                <w:sz w:val="20"/>
                <w:szCs w:val="20"/>
                <w:color w:val="auto"/>
              </w:rPr>
            </w:pPr>
            <w:r>
              <w:rPr>
                <w:rFonts w:ascii="Arial" w:cs="Arial" w:eastAsia="Arial" w:hAnsi="Arial"/>
                <w:sz w:val="13"/>
                <w:szCs w:val="13"/>
                <w:b w:val="1"/>
                <w:bCs w:val="1"/>
                <w:color w:val="auto"/>
              </w:rPr>
              <w:t>March 31,</w:t>
            </w:r>
          </w:p>
        </w:tc>
        <w:tc>
          <w:tcPr>
            <w:tcW w:w="1360" w:type="dxa"/>
            <w:vAlign w:val="bottom"/>
            <w:gridSpan w:val="4"/>
          </w:tcPr>
          <w:p>
            <w:pPr>
              <w:ind w:left="5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3"/>
        </w:trPr>
        <w:tc>
          <w:tcPr>
            <w:tcW w:w="3180" w:type="dxa"/>
            <w:vAlign w:val="bottom"/>
          </w:tcPr>
          <w:p>
            <w:pPr>
              <w:spacing w:after="0"/>
              <w:rPr>
                <w:sz w:val="13"/>
                <w:szCs w:val="13"/>
                <w:color w:val="auto"/>
              </w:rPr>
            </w:pPr>
          </w:p>
        </w:tc>
        <w:tc>
          <w:tcPr>
            <w:tcW w:w="41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1"/>
              <w:spacing w:after="0"/>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1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Raw materials and components</w:t>
            </w:r>
          </w:p>
        </w:tc>
        <w:tc>
          <w:tcPr>
            <w:tcW w:w="3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1"/>
              </w:rPr>
              <w:t>$ 12,005</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20"/>
                <w:szCs w:val="20"/>
                <w:color w:val="auto"/>
              </w:rPr>
            </w:pPr>
            <w:r>
              <w:rPr>
                <w:rFonts w:ascii="Arial" w:cs="Arial" w:eastAsia="Arial" w:hAnsi="Arial"/>
                <w:sz w:val="17"/>
                <w:szCs w:val="17"/>
                <w:color w:val="auto"/>
              </w:rPr>
              <w:t>Work in process</w:t>
            </w:r>
          </w:p>
        </w:tc>
        <w:tc>
          <w:tcPr>
            <w:tcW w:w="4140" w:type="dxa"/>
            <w:vAlign w:val="bottom"/>
            <w:gridSpan w:val="2"/>
          </w:tcPr>
          <w:p>
            <w:pPr>
              <w:jc w:val="right"/>
              <w:spacing w:after="0"/>
              <w:rPr>
                <w:sz w:val="20"/>
                <w:szCs w:val="20"/>
                <w:color w:val="auto"/>
              </w:rPr>
            </w:pPr>
            <w:r>
              <w:rPr>
                <w:rFonts w:ascii="Arial" w:cs="Arial" w:eastAsia="Arial" w:hAnsi="Arial"/>
                <w:sz w:val="17"/>
                <w:szCs w:val="17"/>
                <w:color w:val="auto"/>
              </w:rPr>
              <w:t>459</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5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5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4140" w:type="dxa"/>
            <w:vAlign w:val="bottom"/>
            <w:gridSpan w:val="2"/>
          </w:tcPr>
          <w:p>
            <w:pPr>
              <w:jc w:val="right"/>
              <w:spacing w:after="0"/>
              <w:rPr>
                <w:sz w:val="20"/>
                <w:szCs w:val="20"/>
                <w:color w:val="auto"/>
              </w:rPr>
            </w:pPr>
            <w:r>
              <w:rPr>
                <w:rFonts w:ascii="Arial" w:cs="Arial" w:eastAsia="Arial" w:hAnsi="Arial"/>
                <w:sz w:val="17"/>
                <w:szCs w:val="17"/>
                <w:color w:val="auto"/>
              </w:rPr>
              <w:t>$ 15,877</w:t>
            </w:r>
          </w:p>
        </w:tc>
        <w:tc>
          <w:tcPr>
            <w:tcW w:w="72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580" w:type="dxa"/>
            <w:vAlign w:val="bottom"/>
            <w:vMerge w:val="restart"/>
          </w:tcPr>
          <w:p>
            <w:pPr>
              <w:jc w:val="right"/>
              <w:ind w:right="2305"/>
              <w:spacing w:after="0"/>
              <w:rPr>
                <w:sz w:val="20"/>
                <w:szCs w:val="20"/>
                <w:color w:val="auto"/>
              </w:rPr>
            </w:pPr>
            <w:r>
              <w:rPr>
                <w:rFonts w:ascii="Arial" w:cs="Arial" w:eastAsia="Arial" w:hAnsi="Arial"/>
                <w:sz w:val="17"/>
                <w:szCs w:val="17"/>
                <w:color w:val="auto"/>
              </w:rPr>
              <w:t>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1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Deferred Contract Costs</w:t>
      </w:r>
    </w:p>
    <w:p>
      <w:pPr>
        <w:spacing w:after="0" w:line="85"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Deferred costs amounted to $9.6 million and $2.7 million as of March 31, 2011 and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Prepaid Expenses and Other Current Assets</w:t>
      </w:r>
    </w:p>
    <w:p>
      <w:pPr>
        <w:spacing w:after="0" w:line="85"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Prepaid expenses and other current assets consist primarily of prepaid insurance premiums, prepaid license fees, purchase deposits, advance payments to contractors, prepaid taxes and miscellaneous receivables.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Property and equipment were comprised of the following (in thousands):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89"/>
              </w:rPr>
              <w:t>March 31,</w:t>
            </w:r>
          </w:p>
        </w:tc>
        <w:tc>
          <w:tcPr>
            <w:tcW w:w="1160" w:type="dxa"/>
            <w:vAlign w:val="bottom"/>
            <w:gridSpan w:val="4"/>
          </w:tcPr>
          <w:p>
            <w:pPr>
              <w:ind w:left="300"/>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3"/>
        </w:trPr>
        <w:tc>
          <w:tcPr>
            <w:tcW w:w="65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2011</w:t>
            </w:r>
          </w:p>
        </w:tc>
        <w:tc>
          <w:tcPr>
            <w:tcW w:w="3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Land and land improvements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spacing w:after="0"/>
              <w:rPr>
                <w:sz w:val="20"/>
                <w:szCs w:val="20"/>
                <w:color w:val="auto"/>
              </w:rPr>
            </w:pPr>
            <w:r>
              <w:rPr>
                <w:rFonts w:ascii="Arial" w:cs="Arial" w:eastAsia="Arial" w:hAnsi="Arial"/>
                <w:sz w:val="17"/>
                <w:szCs w:val="17"/>
                <w:color w:val="auto"/>
              </w:rPr>
              <w:t>Buildings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15,104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14,724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office equipment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Equipment leased to customers under Power Purchase Agreements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spacing w:after="0"/>
              <w:rPr>
                <w:sz w:val="20"/>
                <w:szCs w:val="20"/>
                <w:color w:val="auto"/>
              </w:rPr>
            </w:pPr>
            <w:r>
              <w:rPr>
                <w:rFonts w:ascii="Arial" w:cs="Arial" w:eastAsia="Arial" w:hAnsi="Arial"/>
                <w:sz w:val="17"/>
                <w:szCs w:val="17"/>
                <w:color w:val="auto"/>
              </w:rPr>
              <w:t>Plant equipment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8,067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2,272</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40,243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(10,226)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(12,952)</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color w:val="auto"/>
              </w:rPr>
              <w:t>Net property and equipment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30,017</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30,595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is provided over the estimated useful lives of the respective assets, using the straight-line method. Depreciable lives by asset category are as follows:</w:t>
      </w:r>
    </w:p>
    <w:p>
      <w:pPr>
        <w:spacing w:after="0" w:line="232" w:lineRule="exact"/>
        <w:rPr>
          <w:sz w:val="20"/>
          <w:szCs w:val="20"/>
          <w:color w:val="auto"/>
        </w:rPr>
      </w:pPr>
    </w:p>
    <w:tbl>
      <w:tblPr>
        <w:tblLayout w:type="fixed"/>
        <w:tblInd w:w="1840" w:type="dxa"/>
        <w:tblCellMar>
          <w:top w:w="0" w:type="dxa"/>
          <w:left w:w="0" w:type="dxa"/>
          <w:bottom w:w="0" w:type="dxa"/>
          <w:right w:w="0" w:type="dxa"/>
        </w:tblCellMar>
      </w:tblP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Land improvements</w:t>
            </w:r>
          </w:p>
        </w:tc>
        <w:tc>
          <w:tcPr>
            <w:tcW w:w="396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10 - 15 years</w:t>
            </w: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Buildings</w:t>
            </w:r>
          </w:p>
        </w:tc>
        <w:tc>
          <w:tcPr>
            <w:tcW w:w="3960" w:type="dxa"/>
            <w:vAlign w:val="bottom"/>
          </w:tcPr>
          <w:p>
            <w:pPr>
              <w:ind w:left="1140"/>
              <w:spacing w:after="0"/>
              <w:rPr>
                <w:sz w:val="20"/>
                <w:szCs w:val="20"/>
                <w:color w:val="auto"/>
              </w:rPr>
            </w:pPr>
            <w:r>
              <w:rPr>
                <w:rFonts w:ascii="Arial" w:cs="Arial" w:eastAsia="Arial" w:hAnsi="Arial"/>
                <w:sz w:val="17"/>
                <w:szCs w:val="17"/>
                <w:color w:val="auto"/>
              </w:rPr>
              <w:t>10 - 39 years</w:t>
            </w: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396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Shorter of asset life or life of lease</w:t>
            </w: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Furniture, fixtures and office equipment</w:t>
            </w:r>
          </w:p>
        </w:tc>
        <w:tc>
          <w:tcPr>
            <w:tcW w:w="3960" w:type="dxa"/>
            <w:vAlign w:val="bottom"/>
          </w:tcPr>
          <w:p>
            <w:pPr>
              <w:ind w:left="1140"/>
              <w:spacing w:after="0"/>
              <w:rPr>
                <w:sz w:val="20"/>
                <w:szCs w:val="20"/>
                <w:color w:val="auto"/>
              </w:rPr>
            </w:pPr>
            <w:r>
              <w:rPr>
                <w:rFonts w:ascii="Arial" w:cs="Arial" w:eastAsia="Arial" w:hAnsi="Arial"/>
                <w:sz w:val="17"/>
                <w:szCs w:val="17"/>
                <w:color w:val="auto"/>
              </w:rPr>
              <w:t>2 - 10 years</w:t>
            </w: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Plant equipment</w:t>
            </w:r>
          </w:p>
        </w:tc>
        <w:tc>
          <w:tcPr>
            <w:tcW w:w="396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3 - 10 years</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 and Licenses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Patents and licenses are amortized over their estimated useful life, ranging from 7 to 17 years, using the straight line method.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Receivables</w:t>
      </w:r>
    </w:p>
    <w:p>
      <w:pPr>
        <w:spacing w:after="0" w:line="85" w:lineRule="exact"/>
        <w:rPr>
          <w:sz w:val="20"/>
          <w:szCs w:val="20"/>
          <w:color w:val="auto"/>
        </w:rPr>
      </w:pPr>
    </w:p>
    <w:p>
      <w:pPr>
        <w:jc w:val="both"/>
        <w:ind w:right="120" w:firstLine="457"/>
        <w:spacing w:after="0" w:line="260" w:lineRule="auto"/>
        <w:rPr>
          <w:sz w:val="20"/>
          <w:szCs w:val="20"/>
          <w:color w:val="auto"/>
        </w:rPr>
      </w:pPr>
      <w:r>
        <w:rPr>
          <w:rFonts w:ascii="Arial" w:cs="Arial" w:eastAsia="Arial" w:hAnsi="Arial"/>
          <w:sz w:val="17"/>
          <w:szCs w:val="17"/>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 Long-term receivables from OTA contracts were $6.0 million as of December 31,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9" w:name="page10"/>
    <w:bookmarkEnd w:id="9"/>
    <w:p>
      <w:pPr>
        <w:ind w:right="60" w:firstLine="457"/>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December 31, 2011, the following amounts were due from the third party finance company in future periods (in thousands):</w:t>
      </w:r>
    </w:p>
    <w:p>
      <w:pPr>
        <w:spacing w:after="0" w:line="160" w:lineRule="exact"/>
        <w:rPr>
          <w:sz w:val="20"/>
          <w:szCs w:val="20"/>
          <w:color w:val="auto"/>
        </w:rPr>
      </w:pPr>
    </w:p>
    <w:tbl>
      <w:tblPr>
        <w:tblLayout w:type="fixed"/>
        <w:tblInd w:w="1840" w:type="dxa"/>
        <w:tblCellMar>
          <w:top w:w="0" w:type="dxa"/>
          <w:left w:w="0" w:type="dxa"/>
          <w:bottom w:w="0" w:type="dxa"/>
          <w:right w:w="0" w:type="dxa"/>
        </w:tblCellMar>
      </w:tblPr>
      <w:tr>
        <w:trPr>
          <w:trHeight w:val="204"/>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Fiscal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00" w:type="dxa"/>
            <w:vAlign w:val="bottom"/>
            <w:shd w:val="clear" w:color="auto" w:fill="CCEEFF"/>
          </w:tcPr>
          <w:p>
            <w:pPr>
              <w:spacing w:after="0"/>
              <w:rPr>
                <w:sz w:val="17"/>
                <w:szCs w:val="17"/>
                <w:color w:val="auto"/>
              </w:rPr>
            </w:pPr>
          </w:p>
        </w:tc>
      </w:tr>
      <w:tr>
        <w:trPr>
          <w:trHeight w:val="204"/>
        </w:trPr>
        <w:tc>
          <w:tcPr>
            <w:tcW w:w="7180" w:type="dxa"/>
            <w:vAlign w:val="bottom"/>
          </w:tcPr>
          <w:p>
            <w:pPr>
              <w:spacing w:after="0"/>
              <w:rPr>
                <w:sz w:val="20"/>
                <w:szCs w:val="20"/>
                <w:color w:val="auto"/>
              </w:rPr>
            </w:pPr>
            <w:r>
              <w:rPr>
                <w:rFonts w:ascii="Arial" w:cs="Arial" w:eastAsia="Arial" w:hAnsi="Arial"/>
                <w:sz w:val="17"/>
                <w:szCs w:val="17"/>
                <w:color w:val="auto"/>
              </w:rPr>
              <w:t>Fiscal 2014</w:t>
            </w: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1,015</w:t>
            </w:r>
          </w:p>
        </w:tc>
        <w:tc>
          <w:tcPr>
            <w:tcW w:w="100" w:type="dxa"/>
            <w:vAlign w:val="bottom"/>
          </w:tcPr>
          <w:p>
            <w:pPr>
              <w:spacing w:after="0"/>
              <w:rPr>
                <w:sz w:val="17"/>
                <w:szCs w:val="17"/>
                <w:color w:val="auto"/>
              </w:rPr>
            </w:pPr>
          </w:p>
        </w:tc>
      </w:tr>
      <w:tr>
        <w:trPr>
          <w:trHeight w:val="204"/>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Fiscal 2015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100" w:type="dxa"/>
            <w:vAlign w:val="bottom"/>
            <w:shd w:val="clear" w:color="auto" w:fill="CCEEFF"/>
          </w:tcPr>
          <w:p>
            <w:pPr>
              <w:spacing w:after="0"/>
              <w:rPr>
                <w:sz w:val="17"/>
                <w:szCs w:val="17"/>
                <w:color w:val="auto"/>
              </w:rPr>
            </w:pPr>
          </w:p>
        </w:tc>
      </w:tr>
      <w:tr>
        <w:trPr>
          <w:trHeight w:val="204"/>
        </w:trPr>
        <w:tc>
          <w:tcPr>
            <w:tcW w:w="7180" w:type="dxa"/>
            <w:vAlign w:val="bottom"/>
          </w:tcPr>
          <w:p>
            <w:pPr>
              <w:spacing w:after="0"/>
              <w:rPr>
                <w:sz w:val="20"/>
                <w:szCs w:val="20"/>
                <w:color w:val="auto"/>
              </w:rPr>
            </w:pPr>
            <w:r>
              <w:rPr>
                <w:rFonts w:ascii="Arial" w:cs="Arial" w:eastAsia="Arial" w:hAnsi="Arial"/>
                <w:sz w:val="17"/>
                <w:szCs w:val="17"/>
                <w:color w:val="auto"/>
              </w:rPr>
              <w:t>Fiscal 2016</w:t>
            </w: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7"/>
                <w:szCs w:val="17"/>
                <w:color w:val="auto"/>
              </w:rPr>
            </w:pPr>
          </w:p>
        </w:tc>
      </w:tr>
      <w:tr>
        <w:trPr>
          <w:trHeight w:val="204"/>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Fiscal 2017</w:t>
            </w: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7"/>
                <w:szCs w:val="17"/>
                <w:color w:val="auto"/>
              </w:rPr>
            </w:pPr>
          </w:p>
        </w:tc>
      </w:tr>
      <w:tr>
        <w:trPr>
          <w:trHeight w:val="209"/>
        </w:trPr>
        <w:tc>
          <w:tcPr>
            <w:tcW w:w="7180" w:type="dxa"/>
            <w:vAlign w:val="bottom"/>
          </w:tcPr>
          <w:p>
            <w:pPr>
              <w:spacing w:after="0"/>
              <w:rPr>
                <w:sz w:val="20"/>
                <w:szCs w:val="20"/>
                <w:color w:val="auto"/>
              </w:rPr>
            </w:pPr>
            <w:r>
              <w:rPr>
                <w:rFonts w:ascii="Arial" w:cs="Arial" w:eastAsia="Arial" w:hAnsi="Arial"/>
                <w:sz w:val="17"/>
                <w:szCs w:val="17"/>
                <w:color w:val="auto"/>
              </w:rPr>
              <w:t>Total gross long-term receivable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3,247</w:t>
            </w:r>
          </w:p>
        </w:tc>
        <w:tc>
          <w:tcPr>
            <w:tcW w:w="100" w:type="dxa"/>
            <w:vAlign w:val="bottom"/>
          </w:tcPr>
          <w:p>
            <w:pPr>
              <w:spacing w:after="0"/>
              <w:rPr>
                <w:sz w:val="18"/>
                <w:szCs w:val="18"/>
                <w:color w:val="auto"/>
              </w:rPr>
            </w:pPr>
          </w:p>
        </w:tc>
      </w:tr>
      <w:tr>
        <w:trPr>
          <w:trHeight w:val="205"/>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Less: amount representing interest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(583)</w:t>
            </w:r>
          </w:p>
        </w:tc>
      </w:tr>
      <w:tr>
        <w:trPr>
          <w:trHeight w:val="209"/>
        </w:trPr>
        <w:tc>
          <w:tcPr>
            <w:tcW w:w="7180" w:type="dxa"/>
            <w:vAlign w:val="bottom"/>
          </w:tcPr>
          <w:p>
            <w:pPr>
              <w:spacing w:after="0"/>
              <w:rPr>
                <w:sz w:val="20"/>
                <w:szCs w:val="20"/>
                <w:color w:val="auto"/>
              </w:rPr>
            </w:pPr>
            <w:r>
              <w:rPr>
                <w:rFonts w:ascii="Arial" w:cs="Arial" w:eastAsia="Arial" w:hAnsi="Arial"/>
                <w:sz w:val="17"/>
                <w:szCs w:val="17"/>
                <w:color w:val="auto"/>
              </w:rPr>
              <w:t>Net long-term receivable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2,664</w:t>
            </w:r>
          </w:p>
        </w:tc>
        <w:tc>
          <w:tcPr>
            <w:tcW w:w="10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Inventories</w:t>
      </w:r>
    </w:p>
    <w:p>
      <w:pPr>
        <w:spacing w:after="0" w:line="85" w:lineRule="exact"/>
        <w:rPr>
          <w:sz w:val="20"/>
          <w:szCs w:val="20"/>
          <w:color w:val="auto"/>
        </w:rPr>
      </w:pPr>
    </w:p>
    <w:p>
      <w:pPr>
        <w:ind w:right="320" w:firstLine="457"/>
        <w:spacing w:after="0" w:line="270" w:lineRule="auto"/>
        <w:rPr>
          <w:sz w:val="20"/>
          <w:szCs w:val="20"/>
          <w:color w:val="auto"/>
        </w:rPr>
      </w:pPr>
      <w:r>
        <w:rPr>
          <w:rFonts w:ascii="Arial" w:cs="Arial" w:eastAsia="Arial" w:hAnsi="Arial"/>
          <w:sz w:val="17"/>
          <w:szCs w:val="17"/>
          <w:color w:val="auto"/>
        </w:rPr>
        <w:t>The Company records long-term inventory for the non-current portion of its wireless controls inventory. All inventories are stated at the lower of cost or market value with cost determined using the first-in, first-out (FIFO) method.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Long-Term Assets</w:t>
      </w:r>
    </w:p>
    <w:p>
      <w:pPr>
        <w:spacing w:after="0" w:line="85"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Other long-term assets include long-term security deposits, prepaid licensing costs and deferred financing costs. Other long-term assets include $55,000 and $95,000 of deferred financing costs as of March 31, 2011 and December 31, 2011. Deferred financing costs related to debt issuances are amortized to interest expense over the life of the related debt issue (2 to 10 years).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85" w:lineRule="exact"/>
        <w:rPr>
          <w:sz w:val="20"/>
          <w:szCs w:val="20"/>
          <w:color w:val="auto"/>
        </w:rPr>
      </w:pPr>
    </w:p>
    <w:p>
      <w:pPr>
        <w:jc w:val="both"/>
        <w:ind w:right="60" w:firstLine="457"/>
        <w:spacing w:after="0" w:line="302" w:lineRule="auto"/>
        <w:rPr>
          <w:sz w:val="20"/>
          <w:szCs w:val="20"/>
          <w:color w:val="auto"/>
        </w:rPr>
      </w:pPr>
      <w:r>
        <w:rPr>
          <w:rFonts w:ascii="Arial" w:cs="Arial" w:eastAsia="Arial" w:hAnsi="Arial"/>
          <w:sz w:val="16"/>
          <w:szCs w:val="16"/>
          <w:color w:val="auto"/>
        </w:rPr>
        <w:t>Accrued expenses include warranty accruals, accrued wages and benefits, accrued vacation, sales tax payable and other various unpaid expenses. Accrued expenses include $0.5 million and $1.4 million of accrued subcontracted installation costs as of March 31, 2011 and December 31, 2011.</w:t>
      </w:r>
    </w:p>
    <w:p>
      <w:pPr>
        <w:spacing w:after="0" w:line="99" w:lineRule="exact"/>
        <w:rPr>
          <w:sz w:val="20"/>
          <w:szCs w:val="20"/>
          <w:color w:val="auto"/>
        </w:rPr>
      </w:pPr>
    </w:p>
    <w:p>
      <w:pPr>
        <w:ind w:firstLine="457"/>
        <w:spacing w:after="0" w:line="338" w:lineRule="auto"/>
        <w:rPr>
          <w:sz w:val="20"/>
          <w:szCs w:val="20"/>
          <w:color w:val="auto"/>
        </w:rPr>
      </w:pPr>
      <w:r>
        <w:rPr>
          <w:rFonts w:ascii="Arial" w:cs="Arial" w:eastAsia="Arial" w:hAnsi="Arial"/>
          <w:sz w:val="15"/>
          <w:szCs w:val="15"/>
          <w:color w:val="auto"/>
        </w:rPr>
        <w:t>The Company generally offers a limited warranty of one year on its own manufactured products in addition to those standard warranties offered by major original equipment component manufacturers. The manufacturers’ warranties cover lamps and ballasts, which are significant components in the Company’s manufactured products.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Changes in the Company’s warranty accrual were as follows (in thousands):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w w:val="96"/>
              </w:rPr>
              <w:t>Three Months 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w w:val="97"/>
              </w:rPr>
              <w:t>Nine Months Ended</w:t>
            </w:r>
          </w:p>
        </w:tc>
        <w:tc>
          <w:tcPr>
            <w:tcW w:w="0" w:type="dxa"/>
            <w:vAlign w:val="bottom"/>
          </w:tcPr>
          <w:p>
            <w:pPr>
              <w:spacing w:after="0"/>
              <w:rPr>
                <w:sz w:val="1"/>
                <w:szCs w:val="1"/>
                <w:color w:val="auto"/>
              </w:rPr>
            </w:pPr>
          </w:p>
        </w:tc>
      </w:tr>
      <w:tr>
        <w:trPr>
          <w:trHeight w:val="140"/>
        </w:trPr>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spacing w:after="0" w:line="141"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spacing w:after="0" w:line="141" w:lineRule="exact"/>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w w:val="89"/>
              </w:rPr>
              <w:t>2010</w:t>
            </w: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2"/>
              </w:rPr>
              <w:t>2011</w:t>
            </w:r>
          </w:p>
        </w:tc>
        <w:tc>
          <w:tcPr>
            <w:tcW w:w="3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w w:val="82"/>
              </w:rPr>
              <w:t>2010</w:t>
            </w: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8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tcPr>
          <w:p>
            <w:pPr>
              <w:spacing w:after="0"/>
              <w:rPr>
                <w:sz w:val="20"/>
                <w:szCs w:val="20"/>
                <w:color w:val="auto"/>
              </w:rPr>
            </w:pPr>
            <w:r>
              <w:rPr>
                <w:rFonts w:ascii="Arial" w:cs="Arial" w:eastAsia="Arial" w:hAnsi="Arial"/>
                <w:sz w:val="17"/>
                <w:szCs w:val="17"/>
                <w:color w:val="auto"/>
              </w:rPr>
              <w:t>Provision to product cost of revenue</w:t>
            </w: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30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95</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Charges</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7"/>
                <w:szCs w:val="17"/>
                <w:color w:val="auto"/>
              </w:rPr>
              <w:t>End of period</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61</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71</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61</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85" w:lineRule="exact"/>
        <w:rPr>
          <w:sz w:val="20"/>
          <w:szCs w:val="20"/>
          <w:color w:val="auto"/>
        </w:rPr>
      </w:pPr>
    </w:p>
    <w:p>
      <w:pPr>
        <w:jc w:val="both"/>
        <w:ind w:right="80" w:firstLine="457"/>
        <w:spacing w:after="0" w:line="260" w:lineRule="auto"/>
        <w:rPr>
          <w:sz w:val="20"/>
          <w:szCs w:val="20"/>
          <w:color w:val="auto"/>
        </w:rPr>
      </w:pPr>
      <w:r>
        <w:rPr>
          <w:rFonts w:ascii="Arial" w:cs="Arial" w:eastAsia="Arial" w:hAnsi="Arial"/>
          <w:sz w:val="17"/>
          <w:szCs w:val="17"/>
          <w:color w:val="auto"/>
        </w:rPr>
        <w:t>The Company offers a financing program, called an OTA, for a customer’s lease of the Company’s energy management systems. The OTA is structured as a sales-type capital lease and upon successful installation of the system and customer acknowledgement that the system is operating as specified, product revenue is recognized at the Company’s net investment in the lease, which typically is the net present value of the future cash flows.</w:t>
      </w:r>
    </w:p>
    <w:p>
      <w:pPr>
        <w:spacing w:after="0" w:line="13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Company offers a separate program, called a power purchase agreement, or PPA, for the Company’s renewable energy product offerings. A PPA is a supply side agreement for the generation of electricity and subsequent sale to the end user. Upon the customer’s acknowledgement that the system is operating as specified, product revenue is recognized on a monthly basis over the life of the PPA contract, typically in excess of 10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71" w:right="259" w:bottom="1440" w:gutter="0" w:footer="0" w:header="0"/>
        </w:sectPr>
      </w:pPr>
    </w:p>
    <w:bookmarkStart w:id="10" w:name="page11"/>
    <w:bookmarkEnd w:id="10"/>
    <w:p>
      <w:pPr>
        <w:ind w:firstLine="457"/>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For sales of solar photovoltaic systems, which are governed by customer contracts that require the Company to deliver functioning solar power systems and are generally completed within three to 15 months, the Company recognizes revenue from fixed price construction contracts using the percentage-of-completion method in accordance with ASC 605-35, Construction-Type and Production-Type Contracts.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 is recognized on the sales of our lighting and related energy efficiency systems and products when the following four criteria are met:</w:t>
      </w:r>
    </w:p>
    <w:p>
      <w:pPr>
        <w:spacing w:after="0" w:line="85" w:lineRule="exact"/>
        <w:rPr>
          <w:sz w:val="20"/>
          <w:szCs w:val="20"/>
          <w:color w:val="auto"/>
        </w:rPr>
      </w:pPr>
    </w:p>
    <w:p>
      <w:pPr>
        <w:ind w:left="660" w:hanging="211"/>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persuasive evidence of an arrangement exists;</w:t>
      </w:r>
    </w:p>
    <w:p>
      <w:pPr>
        <w:spacing w:after="0" w:line="85" w:lineRule="exact"/>
        <w:rPr>
          <w:rFonts w:ascii="Arial" w:cs="Arial" w:eastAsia="Arial" w:hAnsi="Arial"/>
          <w:sz w:val="17"/>
          <w:szCs w:val="17"/>
          <w:color w:val="auto"/>
        </w:rPr>
      </w:pPr>
    </w:p>
    <w:p>
      <w:pPr>
        <w:ind w:left="660" w:hanging="211"/>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delivery has occurred and title has passed to the customer;</w:t>
      </w:r>
    </w:p>
    <w:p>
      <w:pPr>
        <w:spacing w:after="0" w:line="85" w:lineRule="exact"/>
        <w:rPr>
          <w:rFonts w:ascii="Arial" w:cs="Arial" w:eastAsia="Arial" w:hAnsi="Arial"/>
          <w:sz w:val="17"/>
          <w:szCs w:val="17"/>
          <w:color w:val="auto"/>
        </w:rPr>
      </w:pPr>
    </w:p>
    <w:p>
      <w:pPr>
        <w:ind w:left="660" w:hanging="211"/>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sales price is fixed and determinable and no further obligation exists; and</w:t>
      </w:r>
    </w:p>
    <w:p>
      <w:pPr>
        <w:spacing w:after="0" w:line="85" w:lineRule="exact"/>
        <w:rPr>
          <w:rFonts w:ascii="Arial" w:cs="Arial" w:eastAsia="Arial" w:hAnsi="Arial"/>
          <w:sz w:val="17"/>
          <w:szCs w:val="17"/>
          <w:color w:val="auto"/>
        </w:rPr>
      </w:pPr>
    </w:p>
    <w:p>
      <w:pPr>
        <w:ind w:left="660" w:hanging="211"/>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collectability is reasonably assured</w:t>
      </w:r>
    </w:p>
    <w:p>
      <w:pPr>
        <w:spacing w:after="0" w:line="162" w:lineRule="exact"/>
        <w:rPr>
          <w:sz w:val="20"/>
          <w:szCs w:val="20"/>
          <w:color w:val="auto"/>
        </w:rPr>
      </w:pPr>
    </w:p>
    <w:p>
      <w:pPr>
        <w:ind w:right="440" w:firstLine="457"/>
        <w:spacing w:after="0" w:line="338" w:lineRule="auto"/>
        <w:rPr>
          <w:sz w:val="20"/>
          <w:szCs w:val="20"/>
          <w:color w:val="auto"/>
        </w:rPr>
      </w:pPr>
      <w:r>
        <w:rPr>
          <w:rFonts w:ascii="Arial" w:cs="Arial" w:eastAsia="Arial" w:hAnsi="Arial"/>
          <w:sz w:val="15"/>
          <w:szCs w:val="15"/>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76" w:lineRule="exact"/>
        <w:rPr>
          <w:sz w:val="20"/>
          <w:szCs w:val="20"/>
          <w:color w:val="auto"/>
        </w:rPr>
      </w:pPr>
    </w:p>
    <w:p>
      <w:pPr>
        <w:ind w:right="140" w:firstLine="457"/>
        <w:spacing w:after="0" w:line="275" w:lineRule="auto"/>
        <w:rPr>
          <w:sz w:val="20"/>
          <w:szCs w:val="20"/>
          <w:color w:val="auto"/>
        </w:rPr>
      </w:pPr>
      <w:r>
        <w:rPr>
          <w:rFonts w:ascii="Arial" w:cs="Arial" w:eastAsia="Arial" w:hAnsi="Arial"/>
          <w:sz w:val="16"/>
          <w:szCs w:val="16"/>
          <w:color w:val="auto"/>
        </w:rPr>
        <w:t>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VSOE, TPE and estimated selling price is provided below).</w:t>
      </w:r>
    </w:p>
    <w:p>
      <w:pPr>
        <w:spacing w:after="0" w:line="120"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31"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To determine the selling price in multiple-element arrangements, the Company established VSOE of the selling price for its HIF lighting and energy management system products using the price charged for a deliverable when sold separately. In addition, the Company records in service revenue the selling price for its installation and recycling services using management’s best estimate of selling price, as VSOE or TPE evidence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evidence does not exist. These services include comprehensive site assessment, site field verification, utility incentive and government subsidy management, engineering design, and project management. For these services and for installation and recycling services, management’s best estimate of selling price is determined by considering several external and internal factors including, but not limited to,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60"/>
          </w:cols>
          <w:pgMar w:left="240" w:top="271" w:right="299" w:bottom="1440" w:gutter="0" w:footer="0" w:header="0"/>
        </w:sectPr>
      </w:pPr>
    </w:p>
    <w:bookmarkStart w:id="11" w:name="page12"/>
    <w:bookmarkEnd w:id="11"/>
    <w:p>
      <w:pPr>
        <w:jc w:val="both"/>
        <w:ind w:right="240" w:firstLine="457"/>
        <w:spacing w:after="0" w:line="37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is executed.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85" w:lineRule="exact"/>
        <w:rPr>
          <w:sz w:val="20"/>
          <w:szCs w:val="20"/>
          <w:color w:val="auto"/>
        </w:rPr>
      </w:pPr>
    </w:p>
    <w:p>
      <w:pPr>
        <w:ind w:right="240" w:firstLine="457"/>
        <w:spacing w:after="0" w:line="257" w:lineRule="auto"/>
        <w:rPr>
          <w:sz w:val="20"/>
          <w:szCs w:val="20"/>
          <w:color w:val="auto"/>
        </w:rPr>
      </w:pPr>
      <w:r>
        <w:rPr>
          <w:rFonts w:ascii="Arial" w:cs="Arial" w:eastAsia="Arial" w:hAnsi="Arial"/>
          <w:sz w:val="17"/>
          <w:szCs w:val="17"/>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33"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36" w:lineRule="exact"/>
        <w:rPr>
          <w:sz w:val="20"/>
          <w:szCs w:val="20"/>
          <w:color w:val="auto"/>
        </w:rPr>
      </w:pPr>
    </w:p>
    <w:p>
      <w:pPr>
        <w:jc w:val="both"/>
        <w:ind w:firstLine="457"/>
        <w:spacing w:after="0" w:line="284" w:lineRule="auto"/>
        <w:rPr>
          <w:sz w:val="20"/>
          <w:szCs w:val="20"/>
          <w:color w:val="auto"/>
        </w:rPr>
      </w:pPr>
      <w:r>
        <w:rPr>
          <w:rFonts w:ascii="Arial" w:cs="Arial" w:eastAsia="Arial" w:hAnsi="Arial"/>
          <w:sz w:val="16"/>
          <w:szCs w:val="16"/>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nine months ended December 31, 2010 and 2011, realized tax benefits from the exercise of stock options were $0.2 million and $0.7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each option grant for the three and nine months ended December 31, 2010 and 2011 was determined using the assumptions in the following table:</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2360" w:type="dxa"/>
            <w:vAlign w:val="bottom"/>
            <w:gridSpan w:val="4"/>
          </w:tcPr>
          <w:p>
            <w:pPr>
              <w:ind w:left="60"/>
              <w:spacing w:after="0"/>
              <w:rPr>
                <w:sz w:val="20"/>
                <w:szCs w:val="20"/>
                <w:color w:val="auto"/>
              </w:rPr>
            </w:pPr>
            <w:r>
              <w:rPr>
                <w:rFonts w:ascii="Arial" w:cs="Arial" w:eastAsia="Arial" w:hAnsi="Arial"/>
                <w:sz w:val="13"/>
                <w:szCs w:val="13"/>
                <w:b w:val="1"/>
                <w:bCs w:val="1"/>
                <w:color w:val="auto"/>
              </w:rPr>
              <w:t>Three Months Ended December 31,</w:t>
            </w:r>
          </w:p>
        </w:tc>
        <w:tc>
          <w:tcPr>
            <w:tcW w:w="2180" w:type="dxa"/>
            <w:vAlign w:val="bottom"/>
            <w:gridSpan w:val="4"/>
          </w:tcPr>
          <w:p>
            <w:pPr>
              <w:ind w:left="120"/>
              <w:spacing w:after="0"/>
              <w:rPr>
                <w:sz w:val="20"/>
                <w:szCs w:val="20"/>
                <w:color w:val="auto"/>
              </w:rPr>
            </w:pPr>
            <w:r>
              <w:rPr>
                <w:rFonts w:ascii="Arial" w:cs="Arial" w:eastAsia="Arial" w:hAnsi="Arial"/>
                <w:sz w:val="13"/>
                <w:szCs w:val="13"/>
                <w:b w:val="1"/>
                <w:bCs w:val="1"/>
                <w:color w:val="auto"/>
                <w:w w:val="97"/>
              </w:rPr>
              <w:t>Nine Months Ended December 31,</w:t>
            </w:r>
          </w:p>
        </w:tc>
      </w:tr>
      <w:tr>
        <w:trPr>
          <w:trHeight w:val="153"/>
        </w:trPr>
        <w:tc>
          <w:tcPr>
            <w:tcW w:w="59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2010</w:t>
            </w:r>
          </w:p>
        </w:tc>
        <w:tc>
          <w:tcPr>
            <w:tcW w:w="3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2011</w:t>
            </w:r>
          </w:p>
        </w:tc>
        <w:tc>
          <w:tcPr>
            <w:tcW w:w="2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3"/>
                <w:szCs w:val="13"/>
                <w:b w:val="1"/>
                <w:bCs w:val="1"/>
                <w:color w:val="auto"/>
              </w:rPr>
              <w:t>2010</w:t>
            </w:r>
          </w:p>
        </w:tc>
        <w:tc>
          <w:tcPr>
            <w:tcW w:w="3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CCEEFF"/>
            </w:tcBorders>
          </w:tcPr>
          <w:p>
            <w:pPr>
              <w:spacing w:after="0"/>
              <w:rPr>
                <w:sz w:val="13"/>
                <w:szCs w:val="13"/>
                <w:color w:val="auto"/>
              </w:rPr>
            </w:pPr>
          </w:p>
        </w:tc>
      </w:tr>
      <w:tr>
        <w:trPr>
          <w:trHeight w:val="197"/>
        </w:trPr>
        <w:tc>
          <w:tcPr>
            <w:tcW w:w="59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Weighted average expected term</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years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years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years</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3.6 years</w:t>
            </w:r>
          </w:p>
        </w:tc>
        <w:tc>
          <w:tcPr>
            <w:tcW w:w="80" w:type="dxa"/>
            <w:vAlign w:val="bottom"/>
            <w:shd w:val="clear" w:color="auto" w:fill="CCEEFF"/>
          </w:tcPr>
          <w:p>
            <w:pPr>
              <w:spacing w:after="0"/>
              <w:rPr>
                <w:sz w:val="17"/>
                <w:szCs w:val="17"/>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1.47%</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1.14%</w:t>
            </w: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2.06%</w:t>
            </w:r>
          </w:p>
        </w:tc>
        <w:tc>
          <w:tcPr>
            <w:tcW w:w="660" w:type="dxa"/>
            <w:vAlign w:val="bottom"/>
          </w:tcPr>
          <w:p>
            <w:pPr>
              <w:jc w:val="right"/>
              <w:spacing w:after="0"/>
              <w:rPr>
                <w:sz w:val="20"/>
                <w:szCs w:val="20"/>
                <w:color w:val="auto"/>
              </w:rPr>
            </w:pPr>
            <w:r>
              <w:rPr>
                <w:rFonts w:ascii="Arial" w:cs="Arial" w:eastAsia="Arial" w:hAnsi="Arial"/>
                <w:sz w:val="17"/>
                <w:szCs w:val="17"/>
                <w:color w:val="auto"/>
              </w:rPr>
              <w:t>0.99%</w:t>
            </w:r>
          </w:p>
        </w:tc>
        <w:tc>
          <w:tcPr>
            <w:tcW w:w="80" w:type="dxa"/>
            <w:vAlign w:val="bottom"/>
          </w:tcPr>
          <w:p>
            <w:pPr>
              <w:spacing w:after="0"/>
              <w:rPr>
                <w:sz w:val="17"/>
                <w:szCs w:val="17"/>
                <w:color w:val="auto"/>
              </w:rPr>
            </w:pP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74.8%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70.0%</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3"/>
              </w:rPr>
              <w:t>60.0% - 74.8%</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80" w:type="dxa"/>
            <w:vAlign w:val="bottom"/>
            <w:shd w:val="clear" w:color="auto" w:fill="CCEEFF"/>
          </w:tcPr>
          <w:p>
            <w:pPr>
              <w:spacing w:after="0"/>
              <w:rPr>
                <w:sz w:val="17"/>
                <w:szCs w:val="17"/>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7"/>
                <w:szCs w:val="17"/>
                <w:color w:val="auto"/>
              </w:rPr>
              <w:t>Expected forfeiture rate</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10.0%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11.4%</w:t>
            </w: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10.0%</w:t>
            </w:r>
          </w:p>
        </w:tc>
        <w:tc>
          <w:tcPr>
            <w:tcW w:w="660" w:type="dxa"/>
            <w:vAlign w:val="bottom"/>
          </w:tcPr>
          <w:p>
            <w:pPr>
              <w:jc w:val="right"/>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18"/>
                <w:szCs w:val="18"/>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Common Share</w:t>
      </w:r>
    </w:p>
    <w:p>
      <w:pPr>
        <w:spacing w:after="0" w:line="85" w:lineRule="exact"/>
        <w:rPr>
          <w:sz w:val="20"/>
          <w:szCs w:val="20"/>
          <w:color w:val="auto"/>
        </w:rPr>
      </w:pPr>
    </w:p>
    <w:p>
      <w:pPr>
        <w:jc w:val="both"/>
        <w:ind w:right="440" w:firstLine="457"/>
        <w:spacing w:after="0" w:line="270" w:lineRule="auto"/>
        <w:rPr>
          <w:sz w:val="20"/>
          <w:szCs w:val="20"/>
          <w:color w:val="auto"/>
        </w:rPr>
      </w:pPr>
      <w:r>
        <w:rPr>
          <w:rFonts w:ascii="Arial" w:cs="Arial" w:eastAsia="Arial" w:hAnsi="Arial"/>
          <w:sz w:val="17"/>
          <w:szCs w:val="17"/>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22" w:lineRule="exact"/>
        <w:rPr>
          <w:sz w:val="20"/>
          <w:szCs w:val="20"/>
          <w:color w:val="auto"/>
        </w:rPr>
      </w:pPr>
    </w:p>
    <w:p>
      <w:pPr>
        <w:ind w:right="60" w:firstLine="457"/>
        <w:spacing w:after="0" w:line="302" w:lineRule="auto"/>
        <w:rPr>
          <w:sz w:val="20"/>
          <w:szCs w:val="20"/>
          <w:color w:val="auto"/>
        </w:rPr>
      </w:pPr>
      <w:r>
        <w:rPr>
          <w:rFonts w:ascii="Arial" w:cs="Arial" w:eastAsia="Arial" w:hAnsi="Arial"/>
          <w:sz w:val="15"/>
          <w:szCs w:val="15"/>
          <w:color w:val="auto"/>
        </w:rPr>
        <w:t>Diluted net income (loss) per common share reflects the dilution that would occur if warrants and employee stock options were exercised. In the computation of diluted net income per common share, the Company uses the “treasury stock” method for outstanding options and warrants. Diluted net income (loss) per common share is the same as basic net income (loss) per common share for the periods ended December 31, 2010, because the effects of potentially dilutive securities are anti-dilutive. The effect of net income (loss) per common share is calculated based upon the following shares (in thousands except share amounts):</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w w:val="95"/>
              </w:rPr>
              <w:t>Three Months Ended December 31,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ind w:left="160"/>
              <w:spacing w:after="0"/>
              <w:rPr>
                <w:sz w:val="20"/>
                <w:szCs w:val="20"/>
                <w:color w:val="auto"/>
              </w:rPr>
            </w:pPr>
            <w:r>
              <w:rPr>
                <w:rFonts w:ascii="Arial" w:cs="Arial" w:eastAsia="Arial" w:hAnsi="Arial"/>
                <w:sz w:val="13"/>
                <w:szCs w:val="13"/>
                <w:b w:val="1"/>
                <w:bCs w:val="1"/>
                <w:color w:val="auto"/>
              </w:rPr>
              <w:t>Nine Months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41"/>
              <w:spacing w:after="0" w:line="141" w:lineRule="exact"/>
              <w:rPr>
                <w:sz w:val="20"/>
                <w:szCs w:val="20"/>
                <w:color w:val="auto"/>
              </w:rPr>
            </w:pPr>
            <w:r>
              <w:rPr>
                <w:rFonts w:ascii="Arial" w:cs="Arial" w:eastAsia="Arial" w:hAnsi="Arial"/>
                <w:sz w:val="13"/>
                <w:szCs w:val="13"/>
                <w:b w:val="1"/>
                <w:bCs w:val="1"/>
                <w:color w:val="auto"/>
              </w:rPr>
              <w:t>2010</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262"/>
              <w:spacing w:after="0" w:line="141" w:lineRule="exact"/>
              <w:rPr>
                <w:sz w:val="20"/>
                <w:szCs w:val="20"/>
                <w:color w:val="auto"/>
              </w:rPr>
            </w:pPr>
            <w:r>
              <w:rPr>
                <w:rFonts w:ascii="Arial" w:cs="Arial" w:eastAsia="Arial" w:hAnsi="Arial"/>
                <w:sz w:val="13"/>
                <w:szCs w:val="13"/>
                <w:b w:val="1"/>
                <w:bCs w:val="1"/>
                <w:color w:val="auto"/>
              </w:rPr>
              <w:t>2011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22"/>
              <w:spacing w:after="0" w:line="141" w:lineRule="exact"/>
              <w:rPr>
                <w:sz w:val="20"/>
                <w:szCs w:val="20"/>
                <w:color w:val="auto"/>
              </w:rPr>
            </w:pPr>
            <w:r>
              <w:rPr>
                <w:rFonts w:ascii="Arial" w:cs="Arial" w:eastAsia="Arial" w:hAnsi="Arial"/>
                <w:sz w:val="13"/>
                <w:szCs w:val="13"/>
                <w:b w:val="1"/>
                <w:bCs w:val="1"/>
                <w:color w:val="auto"/>
              </w:rPr>
              <w:t>2010</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220"/>
              <w:spacing w:after="0" w:line="141" w:lineRule="exact"/>
              <w:rPr>
                <w:sz w:val="20"/>
                <w:szCs w:val="20"/>
                <w:color w:val="auto"/>
              </w:rPr>
            </w:pPr>
            <w:r>
              <w:rPr>
                <w:rFonts w:ascii="Arial" w:cs="Arial" w:eastAsia="Arial" w:hAnsi="Arial"/>
                <w:sz w:val="13"/>
                <w:szCs w:val="13"/>
                <w:b w:val="1"/>
                <w:bCs w:val="1"/>
                <w:color w:val="auto"/>
              </w:rPr>
              <w:t>2011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580" w:type="dxa"/>
            <w:vAlign w:val="bottom"/>
            <w:gridSpan w:val="3"/>
          </w:tcPr>
          <w:p>
            <w:pPr>
              <w:jc w:val="right"/>
              <w:ind w:right="760"/>
              <w:spacing w:after="0"/>
              <w:rPr>
                <w:sz w:val="20"/>
                <w:szCs w:val="20"/>
                <w:color w:val="auto"/>
              </w:rPr>
            </w:pPr>
            <w:r>
              <w:rPr>
                <w:rFonts w:ascii="Arial" w:cs="Arial" w:eastAsia="Arial" w:hAnsi="Arial"/>
                <w:sz w:val="13"/>
                <w:szCs w:val="13"/>
                <w:b w:val="1"/>
                <w:bCs w:val="1"/>
                <w:color w:val="auto"/>
                <w:w w:val="94"/>
              </w:rPr>
              <w:t>(As Adjusted)</w:t>
            </w:r>
          </w:p>
        </w:tc>
        <w:tc>
          <w:tcPr>
            <w:tcW w:w="8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7"/>
              </w:rPr>
              <w:t>(As Adjusted)</w:t>
            </w:r>
          </w:p>
        </w:tc>
        <w:tc>
          <w:tcPr>
            <w:tcW w:w="320" w:type="dxa"/>
            <w:vAlign w:val="bottom"/>
          </w:tcPr>
          <w:p>
            <w:pPr>
              <w:spacing w:after="0"/>
              <w:rPr>
                <w:sz w:val="13"/>
                <w:szCs w:val="13"/>
                <w:color w:val="auto"/>
              </w:rPr>
            </w:pPr>
          </w:p>
        </w:tc>
        <w:tc>
          <w:tcPr>
            <w:tcW w:w="1560" w:type="dxa"/>
            <w:vAlign w:val="bottom"/>
            <w:gridSpan w:val="3"/>
          </w:tcPr>
          <w:p>
            <w:pPr>
              <w:jc w:val="right"/>
              <w:ind w:right="760"/>
              <w:spacing w:after="0"/>
              <w:rPr>
                <w:sz w:val="20"/>
                <w:szCs w:val="20"/>
                <w:color w:val="auto"/>
              </w:rPr>
            </w:pPr>
            <w:r>
              <w:rPr>
                <w:rFonts w:ascii="Arial" w:cs="Arial" w:eastAsia="Arial" w:hAnsi="Arial"/>
                <w:sz w:val="13"/>
                <w:szCs w:val="13"/>
                <w:b w:val="1"/>
                <w:bCs w:val="1"/>
                <w:color w:val="auto"/>
                <w:w w:val="92"/>
              </w:rPr>
              <w:t>(As Adjusted)</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(As Adjusted)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8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Numerator:</w:t>
            </w: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Net income (loss) (in thousands)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20"/>
              <w:spacing w:after="0"/>
              <w:rPr>
                <w:sz w:val="20"/>
                <w:szCs w:val="20"/>
                <w:color w:val="auto"/>
              </w:rPr>
            </w:pPr>
            <w:r>
              <w:rPr>
                <w:rFonts w:ascii="Arial" w:cs="Arial" w:eastAsia="Arial" w:hAnsi="Arial"/>
                <w:sz w:val="17"/>
                <w:szCs w:val="17"/>
                <w:color w:val="auto"/>
              </w:rPr>
              <w:t>(182)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74</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auto"/>
              </w:rPr>
              <w:t>(179)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Weighted-average common shares outstanding</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22,726,426</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w w:val="96"/>
              </w:rPr>
              <w:t>22,996,050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22,629,776</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86"/>
              </w:rPr>
              <w:t>22,969,169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w w:val="99"/>
              </w:rPr>
              <w:t>Weighted-average effect of assumed conversion of stock options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and warrants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258,780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419,482</w:t>
            </w:r>
          </w:p>
        </w:tc>
        <w:tc>
          <w:tcPr>
            <w:tcW w:w="0" w:type="dxa"/>
            <w:vAlign w:val="bottom"/>
          </w:tcPr>
          <w:p>
            <w:pPr>
              <w:spacing w:after="0"/>
              <w:rPr>
                <w:sz w:val="1"/>
                <w:szCs w:val="1"/>
                <w:color w:val="auto"/>
              </w:rPr>
            </w:pPr>
          </w:p>
        </w:tc>
      </w:tr>
      <w:tr>
        <w:trPr>
          <w:trHeight w:val="201"/>
        </w:trPr>
        <w:tc>
          <w:tcPr>
            <w:tcW w:w="4900" w:type="dxa"/>
            <w:vAlign w:val="bottom"/>
            <w:gridSpan w:val="2"/>
          </w:tcPr>
          <w:p>
            <w:pPr>
              <w:spacing w:after="0"/>
              <w:rPr>
                <w:sz w:val="20"/>
                <w:szCs w:val="20"/>
                <w:color w:val="auto"/>
              </w:rPr>
            </w:pPr>
            <w:r>
              <w:rPr>
                <w:rFonts w:ascii="Arial" w:cs="Arial" w:eastAsia="Arial" w:hAnsi="Arial"/>
                <w:sz w:val="17"/>
                <w:szCs w:val="17"/>
                <w:color w:val="auto"/>
              </w:rPr>
              <w:t>Weighted-average common shares and common share</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7"/>
                <w:szCs w:val="17"/>
                <w:color w:val="auto"/>
              </w:rPr>
              <w:t>equivalents outstanding</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22,726,426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w w:val="96"/>
              </w:rPr>
              <w:t>23,254,830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22,629,776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86"/>
              </w:rPr>
              <w:t>23,388,651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common share: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20"/>
              <w:spacing w:after="0"/>
              <w:rPr>
                <w:sz w:val="20"/>
                <w:szCs w:val="20"/>
                <w:color w:val="auto"/>
              </w:rPr>
            </w:pPr>
            <w:r>
              <w:rPr>
                <w:rFonts w:ascii="Arial" w:cs="Arial" w:eastAsia="Arial" w:hAnsi="Arial"/>
                <w:sz w:val="17"/>
                <w:szCs w:val="17"/>
                <w:color w:val="auto"/>
              </w:rPr>
              <w:t>(0.01)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0.00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auto"/>
              </w:rPr>
              <w:t>(0.01)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81"/>
              <w:spacing w:after="0"/>
              <w:rPr>
                <w:sz w:val="20"/>
                <w:szCs w:val="20"/>
                <w:color w:val="auto"/>
              </w:rPr>
            </w:pPr>
            <w:r>
              <w:rPr>
                <w:rFonts w:ascii="Arial" w:cs="Arial" w:eastAsia="Arial" w:hAnsi="Arial"/>
                <w:sz w:val="17"/>
                <w:szCs w:val="17"/>
                <w:color w:val="auto"/>
              </w:rPr>
              <w:t>12</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The following table indicates the number of potentially dilutive securities as of the end of each period:</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28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1280" w:type="dxa"/>
            <w:vAlign w:val="bottom"/>
            <w:gridSpan w:val="3"/>
          </w:tcPr>
          <w:p>
            <w:pPr>
              <w:ind w:left="480"/>
              <w:spacing w:after="0"/>
              <w:rPr>
                <w:sz w:val="20"/>
                <w:szCs w:val="20"/>
                <w:color w:val="auto"/>
              </w:rPr>
            </w:pPr>
            <w:r>
              <w:rPr>
                <w:rFonts w:ascii="Arial" w:cs="Arial" w:eastAsia="Arial" w:hAnsi="Arial"/>
                <w:sz w:val="13"/>
                <w:szCs w:val="13"/>
                <w:b w:val="1"/>
                <w:bCs w:val="1"/>
                <w:color w:val="auto"/>
                <w:w w:val="92"/>
              </w:rPr>
              <w:t>December 31,</w:t>
            </w:r>
          </w:p>
        </w:tc>
      </w:tr>
      <w:tr>
        <w:trPr>
          <w:trHeight w:val="153"/>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28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2010</w:t>
            </w:r>
          </w:p>
        </w:tc>
        <w:tc>
          <w:tcPr>
            <w:tcW w:w="122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Common stock options</w:t>
            </w:r>
          </w:p>
        </w:tc>
        <w:tc>
          <w:tcPr>
            <w:tcW w:w="2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3,651,648</w:t>
            </w: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4,083,078</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Common stock warrants</w:t>
            </w:r>
          </w:p>
        </w:tc>
        <w:tc>
          <w:tcPr>
            <w:tcW w:w="25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45,040</w:t>
            </w:r>
          </w:p>
        </w:tc>
        <w:tc>
          <w:tcPr>
            <w:tcW w:w="4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38,980</w:t>
            </w:r>
          </w:p>
        </w:tc>
        <w:tc>
          <w:tcPr>
            <w:tcW w:w="6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3,696,688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4,122,058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85"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21% and 22% of total cost of revenue for the three months ended December 31, 2010 and 2011, respectively, and 29% and 15% of total cost of revenue for the nine months ended December 31, 2010 and 2011, respectively.</w:t>
      </w:r>
    </w:p>
    <w:p>
      <w:pPr>
        <w:spacing w:after="0" w:line="102" w:lineRule="exact"/>
        <w:rPr>
          <w:sz w:val="20"/>
          <w:szCs w:val="20"/>
          <w:color w:val="auto"/>
        </w:rPr>
      </w:pPr>
    </w:p>
    <w:p>
      <w:pPr>
        <w:ind w:right="240" w:firstLine="457"/>
        <w:spacing w:after="0" w:line="260" w:lineRule="auto"/>
        <w:rPr>
          <w:sz w:val="20"/>
          <w:szCs w:val="20"/>
          <w:color w:val="auto"/>
        </w:rPr>
      </w:pPr>
      <w:r>
        <w:rPr>
          <w:rFonts w:ascii="Arial" w:cs="Arial" w:eastAsia="Arial" w:hAnsi="Arial"/>
          <w:sz w:val="17"/>
          <w:szCs w:val="17"/>
          <w:color w:val="auto"/>
        </w:rPr>
        <w:t>For the three months ended December 31, 2010 and December 31, 2011, no customer accounted for more than 10% of revenue. For the nine months ended December 31, 2010, no customer accounted for more than 10% of revenue. For the nine months ended December, 31 2011, one customer accounted for 11% of revenue and one customer accounted for 11% of revenue.</w:t>
      </w:r>
    </w:p>
    <w:p>
      <w:pPr>
        <w:spacing w:after="0" w:line="131" w:lineRule="exact"/>
        <w:rPr>
          <w:sz w:val="20"/>
          <w:szCs w:val="20"/>
          <w:color w:val="auto"/>
        </w:rPr>
      </w:pPr>
    </w:p>
    <w:p>
      <w:pPr>
        <w:ind w:right="400" w:firstLine="457"/>
        <w:spacing w:after="0" w:line="270" w:lineRule="auto"/>
        <w:rPr>
          <w:sz w:val="20"/>
          <w:szCs w:val="20"/>
          <w:color w:val="auto"/>
        </w:rPr>
      </w:pPr>
      <w:r>
        <w:rPr>
          <w:rFonts w:ascii="Arial" w:cs="Arial" w:eastAsia="Arial" w:hAnsi="Arial"/>
          <w:sz w:val="17"/>
          <w:szCs w:val="17"/>
          <w:color w:val="auto"/>
        </w:rPr>
        <w:t>As of March 31, 2011, one customer accounted for 17% of the accounts receivable balance. As of December 31, 2011, one customer accounted for 15% of the accounts receivable balance and one customer accounted for 11% of the accounts receivable balance.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85" w:lineRule="exact"/>
        <w:rPr>
          <w:sz w:val="20"/>
          <w:szCs w:val="20"/>
          <w:color w:val="auto"/>
        </w:rPr>
      </w:pPr>
    </w:p>
    <w:p>
      <w:pPr>
        <w:jc w:val="both"/>
        <w:ind w:firstLine="457"/>
        <w:spacing w:after="0" w:line="297" w:lineRule="auto"/>
        <w:rPr>
          <w:sz w:val="20"/>
          <w:szCs w:val="20"/>
          <w:color w:val="auto"/>
        </w:rPr>
      </w:pPr>
      <w:r>
        <w:rPr>
          <w:rFonts w:ascii="Arial" w:cs="Arial" w:eastAsia="Arial" w:hAnsi="Arial"/>
          <w:sz w:val="15"/>
          <w:szCs w:val="15"/>
          <w:color w:val="auto"/>
        </w:rPr>
        <w:t xml:space="preserve">In July 2010, the FASB issued Accounting Standards Update 2010-20, </w:t>
      </w:r>
      <w:r>
        <w:rPr>
          <w:rFonts w:ascii="Arial" w:cs="Arial" w:eastAsia="Arial" w:hAnsi="Arial"/>
          <w:sz w:val="15"/>
          <w:szCs w:val="15"/>
          <w:i w:val="1"/>
          <w:iCs w:val="1"/>
          <w:color w:val="auto"/>
        </w:rPr>
        <w:t>Disclosures about the Credit Quality of Financing Receivables and the Allowance for Credit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Losses </w:t>
      </w:r>
      <w:r>
        <w:rPr>
          <w:rFonts w:ascii="Arial" w:cs="Arial" w:eastAsia="Arial" w:hAnsi="Arial"/>
          <w:sz w:val="15"/>
          <w:szCs w:val="15"/>
          <w:color w:val="auto"/>
        </w:rPr>
        <w:t>(ASU 2010-20). ASU 2010-20 requires further disaggregated disclosures that improve financial statement users’ understanding of (1) the nature of an entity’s credit</w:t>
      </w:r>
      <w:r>
        <w:rPr>
          <w:rFonts w:ascii="Arial" w:cs="Arial" w:eastAsia="Arial" w:hAnsi="Arial"/>
          <w:sz w:val="15"/>
          <w:szCs w:val="15"/>
          <w:i w:val="1"/>
          <w:iCs w:val="1"/>
          <w:color w:val="auto"/>
        </w:rPr>
        <w:t xml:space="preserve"> </w:t>
      </w:r>
      <w:r>
        <w:rPr>
          <w:rFonts w:ascii="Arial" w:cs="Arial" w:eastAsia="Arial" w:hAnsi="Arial"/>
          <w:sz w:val="15"/>
          <w:szCs w:val="15"/>
          <w:color w:val="auto"/>
        </w:rPr>
        <w:t>risk associated with its financing receivables and (2) the entity’s assessment of that risk in estimating its allowance for credit losses as well as changes in the allowance and the reasons for those changes. The new and amended disclosures as of the end of a reporting period are effective for interim and annual reporting periods ending on or after December 15, 2010. The adoption of ASU 2010-20 did not have a significant impact on the Company’s consolidated financial statements.</w:t>
      </w:r>
    </w:p>
    <w:p>
      <w:pPr>
        <w:spacing w:after="0" w:line="107"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color w:val="auto"/>
        </w:rPr>
        <w:t xml:space="preserve">In April, 2011, the FASB issued ASU No. 2011-03 </w:t>
      </w:r>
      <w:r>
        <w:rPr>
          <w:rFonts w:ascii="Arial" w:cs="Arial" w:eastAsia="Arial" w:hAnsi="Arial"/>
          <w:sz w:val="16"/>
          <w:szCs w:val="16"/>
          <w:i w:val="1"/>
          <w:iCs w:val="1"/>
          <w:color w:val="auto"/>
        </w:rPr>
        <w:t>Transfers and Servicing (Topic 860): Reconsideration of Effective Control for Repurchase Agreements</w:t>
      </w:r>
      <w:r>
        <w:rPr>
          <w:rFonts w:ascii="Arial" w:cs="Arial" w:eastAsia="Arial" w:hAnsi="Arial"/>
          <w:sz w:val="16"/>
          <w:szCs w:val="16"/>
          <w:color w:val="auto"/>
        </w:rPr>
        <w:t xml:space="preserve"> (“ASU 2011-03”). ASU No. 2011-03 affects all entities that enter into agreements to transfer financial assets that both entitle and obligate the transferor to repurchase or redeem the financial assets before their maturity. The amendments in ASU 2011-03 remove from the assessment of effective control the criterion relating to the transferor’s ability to repurchase or redeem financial assets on substantially all of the agreed terms, even in the event of default by the transferee. ASU 2011-03 also eliminates the requirement to demonstrate that the transferor possesses adequate collateral to fund substantially all the cost of purchasing replacement financial assets. The guidance is effective for the Company’s reporting period ended March 31, 2012. ASU 2011-03 is required to be applied prospectively to transactions or modifications of existing transaction that occur on or after January 1, 2012. The Company does not expect that the adoption of ASU 2011-03 will have a significant impact on the Company’s consolidated financial statements.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271" w:right="279" w:bottom="1440" w:gutter="0" w:footer="0" w:header="0"/>
        </w:sectPr>
      </w:pPr>
    </w:p>
    <w:bookmarkStart w:id="13" w:name="page14"/>
    <w:bookmarkEnd w:id="13"/>
    <w:p>
      <w:pPr>
        <w:ind w:right="80" w:firstLine="457"/>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In May 2011, the FASB issued ASU No. 2011-04 </w:t>
      </w:r>
      <w:r>
        <w:rPr>
          <w:rFonts w:ascii="Arial" w:cs="Arial" w:eastAsia="Arial" w:hAnsi="Arial"/>
          <w:sz w:val="15"/>
          <w:szCs w:val="15"/>
          <w:i w:val="1"/>
          <w:iCs w:val="1"/>
          <w:color w:val="auto"/>
        </w:rPr>
        <w:t>Fair Value Measurements (Topic 820): Amendments to Achieve Common Fair Value Measurement and Disclosure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Requirements in US GAAP and International Financial Reporting Standards (“IFRS”) </w:t>
      </w:r>
      <w:r>
        <w:rPr>
          <w:rFonts w:ascii="Arial" w:cs="Arial" w:eastAsia="Arial" w:hAnsi="Arial"/>
          <w:sz w:val="15"/>
          <w:szCs w:val="15"/>
          <w:color w:val="auto"/>
        </w:rPr>
        <w:t>(“ASU 2011-04”). ASU 2011-04 represents the converged guidance of the FASB</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IASB (the “Boards”) on fair value measurements. The collective efforts of the Boards and their staffs, reflected in ASU 2011-04, have resulted in common requirements for measuring fair value and for disclosing information about fair value measurements, including a consistent meaning of the term “fair value.” The Boards have concluded the common requirements will result in greater comparability of fair value measurements presented and disclosed in financial statements prepared in accordance with GAAP and IFRSs. The amendments in this ASU are required to be applied prospectively, and are effective for interim and annual periods beginning after December 15, 2011. The Company does not expect that the adoption of ASU 2011-04 will have a significant impact on the Company’s consolidated financial statements.</w:t>
      </w:r>
    </w:p>
    <w:p>
      <w:pPr>
        <w:spacing w:after="0" w:line="109" w:lineRule="exact"/>
        <w:rPr>
          <w:sz w:val="20"/>
          <w:szCs w:val="20"/>
          <w:color w:val="auto"/>
        </w:rPr>
      </w:pPr>
    </w:p>
    <w:p>
      <w:pPr>
        <w:ind w:right="60" w:firstLine="457"/>
        <w:spacing w:after="0" w:line="289" w:lineRule="auto"/>
        <w:rPr>
          <w:sz w:val="20"/>
          <w:szCs w:val="20"/>
          <w:color w:val="auto"/>
        </w:rPr>
      </w:pPr>
      <w:r>
        <w:rPr>
          <w:rFonts w:ascii="Arial" w:cs="Arial" w:eastAsia="Arial" w:hAnsi="Arial"/>
          <w:sz w:val="15"/>
          <w:szCs w:val="15"/>
          <w:color w:val="auto"/>
        </w:rPr>
        <w:t>In June 2011, the FASB issued ASU No. 2011-05, “</w:t>
      </w:r>
      <w:r>
        <w:rPr>
          <w:rFonts w:ascii="Arial" w:cs="Arial" w:eastAsia="Arial" w:hAnsi="Arial"/>
          <w:sz w:val="15"/>
          <w:szCs w:val="15"/>
          <w:i w:val="1"/>
          <w:iCs w:val="1"/>
          <w:color w:val="auto"/>
        </w:rPr>
        <w:t>Comprehensive Income (ASC Topic 220): Presentation of Comprehensive Income,</w:t>
      </w:r>
      <w:r>
        <w:rPr>
          <w:rFonts w:ascii="Arial" w:cs="Arial" w:eastAsia="Arial" w:hAnsi="Arial"/>
          <w:sz w:val="15"/>
          <w:szCs w:val="15"/>
          <w:color w:val="auto"/>
        </w:rPr>
        <w:t xml:space="preserve">” (“ASU 2011-05”)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ASU 2011-05 will be effective for public companies during the interim and annual periods beginning after December 15, 2011 with early adoption permitted. However, in December 2011, the FASB issued ASU No. 2011-12, </w:t>
      </w:r>
      <w:r>
        <w:rPr>
          <w:rFonts w:ascii="Arial" w:cs="Arial" w:eastAsia="Arial" w:hAnsi="Arial"/>
          <w:sz w:val="15"/>
          <w:szCs w:val="15"/>
          <w:i w:val="1"/>
          <w:iCs w:val="1"/>
          <w:color w:val="auto"/>
        </w:rPr>
        <w:t xml:space="preserve">“Deferral of the Effective Date for Amendments to the Presentation of Items Out of Accumulated Other Comprehensive Income in Accounting Standards Update No. 2011-05” </w:t>
      </w:r>
      <w:r>
        <w:rPr>
          <w:rFonts w:ascii="Arial" w:cs="Arial" w:eastAsia="Arial" w:hAnsi="Arial"/>
          <w:sz w:val="15"/>
          <w:szCs w:val="15"/>
          <w:color w:val="auto"/>
        </w:rPr>
        <w:t>(“ASU 2011-12”), which deferred the guidance on whether to require entities to present reclassification adjustments out of accumulated other comprehensive income</w:t>
      </w:r>
      <w:r>
        <w:rPr>
          <w:rFonts w:ascii="Arial" w:cs="Arial" w:eastAsia="Arial" w:hAnsi="Arial"/>
          <w:sz w:val="15"/>
          <w:szCs w:val="15"/>
          <w:i w:val="1"/>
          <w:iCs w:val="1"/>
          <w:color w:val="auto"/>
        </w:rPr>
        <w:t xml:space="preserve"> </w:t>
      </w:r>
      <w:r>
        <w:rPr>
          <w:rFonts w:ascii="Arial" w:cs="Arial" w:eastAsia="Arial" w:hAnsi="Arial"/>
          <w:sz w:val="15"/>
          <w:szCs w:val="15"/>
          <w:color w:val="auto"/>
        </w:rPr>
        <w:t>by component in both the statement where net income is presented and the statement where other comprehensive income is presented for both interim and annual financial statements. ASU 2011-12 reinstated the requirements for the presentation of reclassifications that were in place prior to the issuance of ASU 2011-05 and did not change the effective date for ASU 2011-05. For public entities, the amendments in ASU 2011-05 and ASU2011-12 are effective for fiscal years, and interim periods within those years, beginning after December 15, 2011, and should be applied retrospectively. The adoption of ASU 2011-05 and ASU 2011-12 did not have a significant impact on the Company’s consolidated statements as it only requires a change in the format of the current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RELATED PARTY TRANSACTIONS</w:t>
      </w:r>
    </w:p>
    <w:p>
      <w:pPr>
        <w:spacing w:after="0" w:line="89" w:lineRule="exact"/>
        <w:rPr>
          <w:sz w:val="20"/>
          <w:szCs w:val="20"/>
          <w:color w:val="auto"/>
        </w:rPr>
      </w:pPr>
    </w:p>
    <w:p>
      <w:pPr>
        <w:ind w:right="320" w:firstLine="457"/>
        <w:spacing w:after="0" w:line="284" w:lineRule="auto"/>
        <w:rPr>
          <w:sz w:val="20"/>
          <w:szCs w:val="20"/>
          <w:color w:val="auto"/>
        </w:rPr>
      </w:pPr>
      <w:r>
        <w:rPr>
          <w:rFonts w:ascii="Arial" w:cs="Arial" w:eastAsia="Arial" w:hAnsi="Arial"/>
          <w:sz w:val="16"/>
          <w:szCs w:val="16"/>
          <w:color w:val="auto"/>
        </w:rPr>
        <w:t>During the nine months ended December 31, 2010 and 2011, the Company purchased goods and services from an entity in the amounts of $34,000 and $35,000, respectively, for which a director of the Company serves as a member of the board of directors. The terms and conditions of such relationship are believed to be not materially more favorable to the Company or the entity than could be obtained from an independent third party.</w:t>
      </w:r>
    </w:p>
    <w:p>
      <w:pPr>
        <w:spacing w:after="0" w:line="113"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During the nine months ended December 31, 2010, the Company recorded revenue of $18,000 for products and services sold to an entity for which a former director of the Company was formerly the executive chairman. The Company also entered into an OTA finance contract with such entity in September 2010 with future expected gross contracted revenue to the Company of $2.9 million. The terms and conditions of such relationship are believed to be not materially more favorable to the Company or the entity than could be obtained from an independent third party. As of December 31, 2011, the related party relationship no longer exists.</w:t>
      </w:r>
    </w:p>
    <w:p>
      <w:pPr>
        <w:spacing w:after="0" w:line="102" w:lineRule="exact"/>
        <w:rPr>
          <w:sz w:val="20"/>
          <w:szCs w:val="20"/>
          <w:color w:val="auto"/>
        </w:rPr>
      </w:pPr>
    </w:p>
    <w:p>
      <w:pPr>
        <w:ind w:right="40" w:firstLine="457"/>
        <w:spacing w:after="0" w:line="254" w:lineRule="auto"/>
        <w:rPr>
          <w:sz w:val="20"/>
          <w:szCs w:val="20"/>
          <w:color w:val="auto"/>
        </w:rPr>
      </w:pPr>
      <w:r>
        <w:rPr>
          <w:rFonts w:ascii="Arial" w:cs="Arial" w:eastAsia="Arial" w:hAnsi="Arial"/>
          <w:sz w:val="17"/>
          <w:szCs w:val="17"/>
          <w:color w:val="auto"/>
        </w:rPr>
        <w:t>During the nine months ended December 31, 2010, the Company recorded revenue of $183,000 for products and services sold to various entities affiliated or associated with an entity for which a director of the Company previously served as a member of the board of directors. The Company is not able to identify the respective amount of revenues attributable to specifically identifiable entities within such group of affiliated or associated entities or the extent to which any such individual entities are related to the entity on whose board of directors the Company’s executive officer serves. The terms and conditions of such relationship are believed to be not materially more favorable to the Company or the entity than could be obtained from an independent third party. As of December 31, 2011, the related party relationship no longer exists.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DEBT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Long-term debt as of March 31, 2011 and December 31, 2011 consisted of the following (in thousands):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520" w:type="dxa"/>
            <w:vAlign w:val="bottom"/>
          </w:tcPr>
          <w:p>
            <w:pPr>
              <w:spacing w:after="0"/>
              <w:rPr>
                <w:sz w:val="12"/>
                <w:szCs w:val="12"/>
                <w:color w:val="auto"/>
              </w:rPr>
            </w:pPr>
          </w:p>
        </w:tc>
        <w:tc>
          <w:tcPr>
            <w:tcW w:w="96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w w:val="89"/>
              </w:rPr>
              <w:t>March 31,</w:t>
            </w:r>
          </w:p>
        </w:tc>
        <w:tc>
          <w:tcPr>
            <w:tcW w:w="1200" w:type="dxa"/>
            <w:vAlign w:val="bottom"/>
            <w:gridSpan w:val="4"/>
          </w:tcPr>
          <w:p>
            <w:pPr>
              <w:ind w:left="340"/>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3"/>
        </w:trPr>
        <w:tc>
          <w:tcPr>
            <w:tcW w:w="65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2011</w:t>
            </w: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52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Term note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20" w:type="dxa"/>
            <w:vAlign w:val="bottom"/>
          </w:tcPr>
          <w:p>
            <w:pPr>
              <w:spacing w:after="0"/>
              <w:rPr>
                <w:sz w:val="20"/>
                <w:szCs w:val="20"/>
                <w:color w:val="auto"/>
              </w:rPr>
            </w:pPr>
            <w:r>
              <w:rPr>
                <w:rFonts w:ascii="Arial" w:cs="Arial" w:eastAsia="Arial" w:hAnsi="Arial"/>
                <w:sz w:val="17"/>
                <w:szCs w:val="17"/>
                <w:color w:val="auto"/>
              </w:rPr>
              <w:t>Customer equipment finance notes payable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1,793</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First mortgage note payable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20" w:type="dxa"/>
            <w:vAlign w:val="bottom"/>
          </w:tcPr>
          <w:p>
            <w:pPr>
              <w:spacing w:after="0"/>
              <w:rPr>
                <w:sz w:val="20"/>
                <w:szCs w:val="20"/>
                <w:color w:val="auto"/>
              </w:rPr>
            </w:pPr>
            <w:r>
              <w:rPr>
                <w:rFonts w:ascii="Arial" w:cs="Arial" w:eastAsia="Arial" w:hAnsi="Arial"/>
                <w:sz w:val="17"/>
                <w:szCs w:val="17"/>
                <w:color w:val="auto"/>
              </w:rPr>
              <w:t>Debenture payable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807</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debt</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20"/>
                <w:szCs w:val="20"/>
                <w:color w:val="auto"/>
              </w:rPr>
            </w:pPr>
            <w:r>
              <w:rPr>
                <w:rFonts w:ascii="Arial" w:cs="Arial" w:eastAsia="Arial" w:hAnsi="Arial"/>
                <w:sz w:val="17"/>
                <w:szCs w:val="17"/>
                <w:color w:val="auto"/>
              </w:rPr>
              <w:t>Total 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5,362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Less current maturities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(1,137)</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(2,344)</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7"/>
                <w:szCs w:val="17"/>
                <w:color w:val="auto"/>
              </w:rPr>
              <w:t>Long-term debt, less current maturities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4,225</w:t>
            </w:r>
          </w:p>
        </w:tc>
        <w:tc>
          <w:tcPr>
            <w:tcW w:w="38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Debt Arrangements</w:t>
      </w:r>
    </w:p>
    <w:p>
      <w:pPr>
        <w:spacing w:after="0" w:line="85" w:lineRule="exact"/>
        <w:rPr>
          <w:sz w:val="20"/>
          <w:szCs w:val="20"/>
          <w:color w:val="auto"/>
        </w:rPr>
      </w:pPr>
    </w:p>
    <w:p>
      <w:pPr>
        <w:ind w:right="60" w:firstLine="457"/>
        <w:spacing w:after="0" w:line="273" w:lineRule="auto"/>
        <w:rPr>
          <w:sz w:val="20"/>
          <w:szCs w:val="20"/>
          <w:color w:val="auto"/>
        </w:rPr>
      </w:pPr>
      <w:r>
        <w:rPr>
          <w:rFonts w:ascii="Arial" w:cs="Arial" w:eastAsia="Arial" w:hAnsi="Arial"/>
          <w:sz w:val="16"/>
          <w:szCs w:val="16"/>
          <w:color w:val="auto"/>
        </w:rPr>
        <w:t>In September 2011, the Company entered into a credit agreement with JP Morgan Chase Bank, N.A. (JP Morgan) that provided the Company with $5.0 million immediately available to fund completed customer contracts under the Company’s OTA finance program and an additional $5.0 million upon the Company’s achievement of meeting a trailing 12-month earnings before interest, taxes, depreciation and amortization (EBITDA) target of $8.0 million. The Company has one year from the date of the commitment to borrow under the credit agreement. In September 2011, the Company borrowed $1.8 million. The borrowing is collateralized by the OTA-related equipment and the expected future monthly payments under the supporting 27 individual OTA customer contracts. The current borrowing under the credit agreement bears interest at LIBOR plus 4% and matures in September 2016.</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Revolving Credit Agreement</w:t>
      </w:r>
    </w:p>
    <w:p>
      <w:pPr>
        <w:spacing w:after="0" w:line="85" w:lineRule="exact"/>
        <w:rPr>
          <w:sz w:val="20"/>
          <w:szCs w:val="20"/>
          <w:color w:val="auto"/>
        </w:rPr>
      </w:pPr>
    </w:p>
    <w:p>
      <w:pPr>
        <w:ind w:right="620" w:firstLine="457"/>
        <w:spacing w:after="0" w:line="270" w:lineRule="auto"/>
        <w:rPr>
          <w:sz w:val="20"/>
          <w:szCs w:val="20"/>
          <w:color w:val="auto"/>
        </w:rPr>
      </w:pPr>
      <w:r>
        <w:rPr>
          <w:rFonts w:ascii="Arial" w:cs="Arial" w:eastAsia="Arial" w:hAnsi="Arial"/>
          <w:sz w:val="17"/>
          <w:szCs w:val="17"/>
          <w:color w:val="auto"/>
        </w:rPr>
        <w:t>On June 30, 2010, the Company entered into a new credit agreement (Credit Agreement) with JP Morgan. The Credit Agreement replaced the former credit agreement with a different bank.</w:t>
      </w:r>
    </w:p>
    <w:p>
      <w:pPr>
        <w:spacing w:after="0" w:line="122"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The Credit Agreement provides for a revolving credit facility (Credit Facility) that matures on June 30, 2012. The Company is currently working on an amendment to the Credit Facility to extend the maturity date to June 30, 2013.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of the Company and 45% of certain inventory of the Company. The Credit Agreement contains certain financial covenants, including minimum unencumbered liquidity requirements and requirements that the Company maintain a total liabilities to tangible net worth ratio not to exceed 0.50 to 1.00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also may cause JP Morgan to issue letters of credit for the Company’s account in the aggregate principal amount of up to $2.0 million, with the dollar amount of each issued letter of credit counting against the overall limit on borrowings under the Credit Facility. As of December 31, 2011, the Company had outstanding letters of credit totaling $1.7 million, primarily for securing collateral requirements under equipment operating leases. In fiscal 2011, the Company incurred $57,000 of total deferred financing costs related to the Credit Agreement which is being amortized over the two-year term of the Credit Agreement. There were no borrowings by the Company under the Credit Agreement as of March 31, 2011 or December 31, 2011.</w:t>
      </w:r>
    </w:p>
    <w:p>
      <w:pPr>
        <w:spacing w:after="0" w:line="127" w:lineRule="exact"/>
        <w:rPr>
          <w:sz w:val="20"/>
          <w:szCs w:val="20"/>
          <w:color w:val="auto"/>
        </w:rPr>
      </w:pPr>
    </w:p>
    <w:p>
      <w:pPr>
        <w:jc w:val="both"/>
        <w:ind w:right="40" w:firstLine="457"/>
        <w:spacing w:after="0" w:line="284" w:lineRule="auto"/>
        <w:rPr>
          <w:sz w:val="20"/>
          <w:szCs w:val="20"/>
          <w:color w:val="auto"/>
        </w:rPr>
      </w:pPr>
      <w:r>
        <w:rPr>
          <w:rFonts w:ascii="Arial" w:cs="Arial" w:eastAsia="Arial" w:hAnsi="Arial"/>
          <w:sz w:val="16"/>
          <w:szCs w:val="16"/>
          <w:color w:val="auto"/>
        </w:rPr>
        <w:t>The Credit Agreement is secured by a first lien security interest in the Company’s accounts receivable, inventory and general intangibles, and a second lien priority in the Company’s equipment and fixtures. All OTAs, PPAs, leases, supply agreements and/or similar agreements relating to solar PV and wind turbine systems or facilities, as well as all accounts receivable and assets of the Company related to the foregoing, are excluded from these liens.</w:t>
      </w:r>
    </w:p>
    <w:p>
      <w:pPr>
        <w:spacing w:after="0" w:line="113"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The Credit Agreement provides that the Company has the option to select whether borrowings under the Credit Facility will bear interest at either (i) a daily borrowing LIBOR rate tied to a one-month maturity or (ii) a LIBOR rate tied to a maturity corresponding to an interest period selected by the Company plus, in the case of either (i) or (ii), a per annum rate spread of 2.00%, 2.50% or 3.00%, depending on the ratio of (A) earnings before interest, taxes, depreciation and amortization less income taxes pain in cash less 50% of depreciation expense to (B) the sum of interest expense paid in cash in respect of indebtedness for borrowed money plus scheduled principal payments made with respect to indebtedness for borrowed money, all as determined for the 12-month period ending as of the end of the applicable fiscal quarter.</w:t>
      </w:r>
    </w:p>
    <w:p>
      <w:pPr>
        <w:spacing w:after="0" w:line="107" w:lineRule="exact"/>
        <w:rPr>
          <w:sz w:val="20"/>
          <w:szCs w:val="20"/>
          <w:color w:val="auto"/>
        </w:rPr>
      </w:pPr>
    </w:p>
    <w:p>
      <w:pPr>
        <w:ind w:right="160" w:firstLine="457"/>
        <w:spacing w:after="0" w:line="260" w:lineRule="auto"/>
        <w:rPr>
          <w:sz w:val="20"/>
          <w:szCs w:val="20"/>
          <w:color w:val="auto"/>
        </w:rPr>
      </w:pPr>
      <w:r>
        <w:rPr>
          <w:rFonts w:ascii="Arial" w:cs="Arial" w:eastAsia="Arial" w:hAnsi="Arial"/>
          <w:sz w:val="17"/>
          <w:szCs w:val="17"/>
          <w:color w:val="auto"/>
        </w:rPr>
        <w:t>The Company must pay a fee of 0.25% on the average daily unused amount of the Credit Facility and a fee of 2.00% on the daily average face amount of undrawn issued letters of credit. The fee on unused amounts is waived if the Company or its affiliates maintain funds on deposit with JP Morgan or its affiliates above a specified amount. The deposit threshold requirement was met as of December 31, 2011.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 INCOME TAXES</w:t>
      </w:r>
    </w:p>
    <w:p>
      <w:pPr>
        <w:spacing w:after="0" w:line="89" w:lineRule="exact"/>
        <w:rPr>
          <w:sz w:val="20"/>
          <w:szCs w:val="20"/>
          <w:color w:val="auto"/>
        </w:rPr>
      </w:pPr>
    </w:p>
    <w:p>
      <w:pPr>
        <w:ind w:right="360" w:firstLine="457"/>
        <w:spacing w:after="0" w:line="260" w:lineRule="auto"/>
        <w:rPr>
          <w:sz w:val="20"/>
          <w:szCs w:val="20"/>
          <w:color w:val="auto"/>
        </w:rPr>
      </w:pPr>
      <w:r>
        <w:rPr>
          <w:rFonts w:ascii="Arial" w:cs="Arial" w:eastAsia="Arial" w:hAnsi="Arial"/>
          <w:sz w:val="17"/>
          <w:szCs w:val="17"/>
          <w:color w:val="auto"/>
        </w:rPr>
        <w:t>The income tax provision for the nine months ended December 31, 2011 was determined by applying an estimated annual effective tax rate of 43.4% to income before taxes. The estimated effective income tax rate was determined by applying statutory tax rates to pretax income adjusted for certain permanent book to tax differences and tax credits.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1"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Below is a reconciliation of the statutory federal income tax rate and the effective income tax rate:</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2800" w:type="dxa"/>
            <w:vAlign w:val="bottom"/>
            <w:gridSpan w:val="4"/>
          </w:tcPr>
          <w:p>
            <w:pPr>
              <w:jc w:val="right"/>
              <w:ind w:right="527"/>
              <w:spacing w:after="0"/>
              <w:rPr>
                <w:sz w:val="20"/>
                <w:szCs w:val="20"/>
                <w:color w:val="auto"/>
              </w:rPr>
            </w:pPr>
            <w:r>
              <w:rPr>
                <w:rFonts w:ascii="Arial" w:cs="Arial" w:eastAsia="Arial" w:hAnsi="Arial"/>
                <w:sz w:val="13"/>
                <w:szCs w:val="13"/>
                <w:b w:val="1"/>
                <w:bCs w:val="1"/>
                <w:color w:val="auto"/>
              </w:rPr>
              <w:t>Nine Months Ended December 31,</w:t>
            </w:r>
          </w:p>
        </w:tc>
        <w:tc>
          <w:tcPr>
            <w:tcW w:w="0" w:type="dxa"/>
            <w:vAlign w:val="bottom"/>
          </w:tcPr>
          <w:p>
            <w:pPr>
              <w:spacing w:after="0"/>
              <w:rPr>
                <w:sz w:val="1"/>
                <w:szCs w:val="1"/>
                <w:color w:val="auto"/>
              </w:rPr>
            </w:pPr>
          </w:p>
        </w:tc>
      </w:tr>
      <w:tr>
        <w:trPr>
          <w:trHeight w:val="153"/>
        </w:trPr>
        <w:tc>
          <w:tcPr>
            <w:tcW w:w="58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2010</w:t>
            </w:r>
          </w:p>
        </w:tc>
        <w:tc>
          <w:tcPr>
            <w:tcW w:w="11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2011</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8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Statutory federal tax rate</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120" w:type="dxa"/>
            <w:vAlign w:val="bottom"/>
            <w:shd w:val="clear" w:color="auto" w:fill="CCEEFF"/>
          </w:tcPr>
          <w:p>
            <w:pPr>
              <w:jc w:val="right"/>
              <w:ind w:right="927"/>
              <w:spacing w:after="0"/>
              <w:rPr>
                <w:sz w:val="20"/>
                <w:szCs w:val="20"/>
                <w:color w:val="auto"/>
              </w:rPr>
            </w:pPr>
            <w:r>
              <w:rPr>
                <w:rFonts w:ascii="Arial" w:cs="Arial" w:eastAsia="Arial" w:hAnsi="Arial"/>
                <w:sz w:val="15"/>
                <w:szCs w:val="15"/>
                <w:color w:val="auto"/>
                <w:w w:val="7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2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4"/>
        </w:trPr>
        <w:tc>
          <w:tcPr>
            <w:tcW w:w="5880" w:type="dxa"/>
            <w:vAlign w:val="bottom"/>
          </w:tcPr>
          <w:p>
            <w:pPr>
              <w:spacing w:after="0"/>
              <w:rPr>
                <w:sz w:val="20"/>
                <w:szCs w:val="20"/>
                <w:color w:val="auto"/>
              </w:rPr>
            </w:pPr>
            <w:r>
              <w:rPr>
                <w:rFonts w:ascii="Arial" w:cs="Arial" w:eastAsia="Arial" w:hAnsi="Arial"/>
                <w:sz w:val="17"/>
                <w:szCs w:val="17"/>
                <w:color w:val="auto"/>
              </w:rPr>
              <w:t>State taxes, net</w:t>
            </w:r>
          </w:p>
        </w:tc>
        <w:tc>
          <w:tcPr>
            <w:tcW w:w="1900" w:type="dxa"/>
            <w:vAlign w:val="bottom"/>
            <w:gridSpan w:val="2"/>
          </w:tcPr>
          <w:p>
            <w:pPr>
              <w:jc w:val="right"/>
              <w:ind w:right="927"/>
              <w:spacing w:after="0"/>
              <w:rPr>
                <w:sz w:val="20"/>
                <w:szCs w:val="20"/>
                <w:color w:val="auto"/>
              </w:rPr>
            </w:pPr>
            <w:r>
              <w:rPr>
                <w:rFonts w:ascii="Arial" w:cs="Arial" w:eastAsia="Arial" w:hAnsi="Arial"/>
                <w:sz w:val="17"/>
                <w:szCs w:val="17"/>
                <w:color w:val="auto"/>
              </w:rPr>
              <w:t>2.0 %</w:t>
            </w:r>
          </w:p>
        </w:tc>
        <w:tc>
          <w:tcPr>
            <w:tcW w:w="900" w:type="dxa"/>
            <w:vAlign w:val="bottom"/>
            <w:gridSpan w:val="2"/>
          </w:tcPr>
          <w:p>
            <w:pPr>
              <w:jc w:val="right"/>
              <w:ind w:right="47"/>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1900" w:type="dxa"/>
            <w:vAlign w:val="bottom"/>
            <w:gridSpan w:val="2"/>
            <w:shd w:val="clear" w:color="auto" w:fill="CCEEFF"/>
          </w:tcPr>
          <w:p>
            <w:pPr>
              <w:jc w:val="right"/>
              <w:ind w:right="867"/>
              <w:spacing w:after="0"/>
              <w:rPr>
                <w:sz w:val="20"/>
                <w:szCs w:val="20"/>
                <w:color w:val="auto"/>
              </w:rPr>
            </w:pPr>
            <w:r>
              <w:rPr>
                <w:rFonts w:ascii="Arial" w:cs="Arial" w:eastAsia="Arial" w:hAnsi="Arial"/>
                <w:sz w:val="17"/>
                <w:szCs w:val="17"/>
                <w:color w:val="auto"/>
              </w:rPr>
              <w:t>(113.3)%</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04"/>
        </w:trPr>
        <w:tc>
          <w:tcPr>
            <w:tcW w:w="5880" w:type="dxa"/>
            <w:vAlign w:val="bottom"/>
          </w:tcPr>
          <w:p>
            <w:pPr>
              <w:spacing w:after="0"/>
              <w:rPr>
                <w:sz w:val="20"/>
                <w:szCs w:val="20"/>
                <w:color w:val="auto"/>
              </w:rPr>
            </w:pPr>
            <w:r>
              <w:rPr>
                <w:rFonts w:ascii="Arial" w:cs="Arial" w:eastAsia="Arial" w:hAnsi="Arial"/>
                <w:sz w:val="17"/>
                <w:szCs w:val="17"/>
                <w:color w:val="auto"/>
              </w:rPr>
              <w:t>Federal tax credit</w:t>
            </w:r>
          </w:p>
        </w:tc>
        <w:tc>
          <w:tcPr>
            <w:tcW w:w="1900" w:type="dxa"/>
            <w:vAlign w:val="bottom"/>
            <w:gridSpan w:val="2"/>
          </w:tcPr>
          <w:p>
            <w:pPr>
              <w:jc w:val="right"/>
              <w:ind w:right="867"/>
              <w:spacing w:after="0"/>
              <w:rPr>
                <w:sz w:val="20"/>
                <w:szCs w:val="20"/>
                <w:color w:val="auto"/>
              </w:rPr>
            </w:pPr>
            <w:r>
              <w:rPr>
                <w:rFonts w:ascii="Arial" w:cs="Arial" w:eastAsia="Arial" w:hAnsi="Arial"/>
                <w:sz w:val="17"/>
                <w:szCs w:val="17"/>
                <w:color w:val="auto"/>
              </w:rPr>
              <w:t>(14.7)%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State tax credit</w:t>
            </w:r>
          </w:p>
        </w:tc>
        <w:tc>
          <w:tcPr>
            <w:tcW w:w="1900" w:type="dxa"/>
            <w:vAlign w:val="bottom"/>
            <w:gridSpan w:val="2"/>
            <w:shd w:val="clear" w:color="auto" w:fill="CCEEFF"/>
          </w:tcPr>
          <w:p>
            <w:pPr>
              <w:jc w:val="right"/>
              <w:ind w:right="867"/>
              <w:spacing w:after="0"/>
              <w:rPr>
                <w:sz w:val="20"/>
                <w:szCs w:val="20"/>
                <w:color w:val="auto"/>
              </w:rPr>
            </w:pPr>
            <w:r>
              <w:rPr>
                <w:rFonts w:ascii="Arial" w:cs="Arial" w:eastAsia="Arial" w:hAnsi="Arial"/>
                <w:sz w:val="17"/>
                <w:szCs w:val="17"/>
                <w:color w:val="auto"/>
              </w:rPr>
              <w:t>(2.2)%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4"/>
        </w:trPr>
        <w:tc>
          <w:tcPr>
            <w:tcW w:w="5880" w:type="dxa"/>
            <w:vAlign w:val="bottom"/>
          </w:tcPr>
          <w:p>
            <w:pPr>
              <w:spacing w:after="0"/>
              <w:rPr>
                <w:sz w:val="20"/>
                <w:szCs w:val="20"/>
                <w:color w:val="auto"/>
              </w:rPr>
            </w:pPr>
            <w:r>
              <w:rPr>
                <w:rFonts w:ascii="Arial" w:cs="Arial" w:eastAsia="Arial" w:hAnsi="Arial"/>
                <w:sz w:val="17"/>
                <w:szCs w:val="17"/>
                <w:color w:val="auto"/>
              </w:rPr>
              <w:t>Change in valuation reserve</w:t>
            </w:r>
          </w:p>
        </w:tc>
        <w:tc>
          <w:tcPr>
            <w:tcW w:w="1900" w:type="dxa"/>
            <w:vAlign w:val="bottom"/>
            <w:gridSpan w:val="2"/>
          </w:tcPr>
          <w:p>
            <w:pPr>
              <w:jc w:val="right"/>
              <w:ind w:right="927"/>
              <w:spacing w:after="0"/>
              <w:rPr>
                <w:sz w:val="20"/>
                <w:szCs w:val="20"/>
                <w:color w:val="auto"/>
              </w:rPr>
            </w:pPr>
            <w:r>
              <w:rPr>
                <w:rFonts w:ascii="Arial" w:cs="Arial" w:eastAsia="Arial" w:hAnsi="Arial"/>
                <w:sz w:val="17"/>
                <w:szCs w:val="17"/>
                <w:color w:val="auto"/>
              </w:rPr>
              <w:t>8.0 %</w:t>
            </w:r>
          </w:p>
        </w:tc>
        <w:tc>
          <w:tcPr>
            <w:tcW w:w="900" w:type="dxa"/>
            <w:vAlign w:val="bottom"/>
            <w:gridSpan w:val="2"/>
          </w:tcPr>
          <w:p>
            <w:pPr>
              <w:jc w:val="right"/>
              <w:ind w:right="47"/>
              <w:spacing w:after="0"/>
              <w:rPr>
                <w:sz w:val="20"/>
                <w:szCs w:val="20"/>
                <w:color w:val="auto"/>
              </w:rPr>
            </w:pPr>
            <w:r>
              <w:rPr>
                <w:rFonts w:ascii="Arial" w:cs="Arial" w:eastAsia="Arial" w:hAnsi="Arial"/>
                <w:sz w:val="17"/>
                <w:szCs w:val="17"/>
                <w:color w:val="auto"/>
              </w:rPr>
              <w:t>5.9 %</w:t>
            </w: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Permanent items</w:t>
            </w:r>
          </w:p>
        </w:tc>
        <w:tc>
          <w:tcPr>
            <w:tcW w:w="1900" w:type="dxa"/>
            <w:vAlign w:val="bottom"/>
            <w:gridSpan w:val="2"/>
            <w:shd w:val="clear" w:color="auto" w:fill="CCEEFF"/>
          </w:tcPr>
          <w:p>
            <w:pPr>
              <w:jc w:val="right"/>
              <w:ind w:right="927"/>
              <w:spacing w:after="0"/>
              <w:rPr>
                <w:sz w:val="20"/>
                <w:szCs w:val="20"/>
                <w:color w:val="auto"/>
              </w:rPr>
            </w:pPr>
            <w:r>
              <w:rPr>
                <w:rFonts w:ascii="Arial" w:cs="Arial" w:eastAsia="Arial" w:hAnsi="Arial"/>
                <w:sz w:val="17"/>
                <w:szCs w:val="17"/>
                <w:color w:val="auto"/>
              </w:rPr>
              <w:t>7.0 %</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6.6 %</w:t>
            </w:r>
          </w:p>
        </w:tc>
        <w:tc>
          <w:tcPr>
            <w:tcW w:w="0" w:type="dxa"/>
            <w:vAlign w:val="bottom"/>
          </w:tcPr>
          <w:p>
            <w:pPr>
              <w:spacing w:after="0"/>
              <w:rPr>
                <w:sz w:val="1"/>
                <w:szCs w:val="1"/>
                <w:color w:val="auto"/>
              </w:rPr>
            </w:pPr>
          </w:p>
        </w:tc>
      </w:tr>
      <w:tr>
        <w:trPr>
          <w:trHeight w:val="204"/>
        </w:trPr>
        <w:tc>
          <w:tcPr>
            <w:tcW w:w="5880" w:type="dxa"/>
            <w:vAlign w:val="bottom"/>
          </w:tcPr>
          <w:p>
            <w:pPr>
              <w:spacing w:after="0"/>
              <w:rPr>
                <w:sz w:val="20"/>
                <w:szCs w:val="20"/>
                <w:color w:val="auto"/>
              </w:rPr>
            </w:pPr>
            <w:r>
              <w:rPr>
                <w:rFonts w:ascii="Arial" w:cs="Arial" w:eastAsia="Arial" w:hAnsi="Arial"/>
                <w:sz w:val="17"/>
                <w:szCs w:val="17"/>
                <w:color w:val="auto"/>
              </w:rPr>
              <w:t>Prior Year Permanent Differences</w:t>
            </w:r>
          </w:p>
        </w:tc>
        <w:tc>
          <w:tcPr>
            <w:tcW w:w="1900" w:type="dxa"/>
            <w:vAlign w:val="bottom"/>
            <w:gridSpan w:val="2"/>
          </w:tcPr>
          <w:p>
            <w:pPr>
              <w:jc w:val="right"/>
              <w:ind w:right="867"/>
              <w:spacing w:after="0"/>
              <w:rPr>
                <w:sz w:val="20"/>
                <w:szCs w:val="20"/>
                <w:color w:val="auto"/>
              </w:rPr>
            </w:pPr>
            <w:r>
              <w:rPr>
                <w:rFonts w:ascii="Arial" w:cs="Arial" w:eastAsia="Arial" w:hAnsi="Arial"/>
                <w:sz w:val="17"/>
                <w:szCs w:val="17"/>
                <w:color w:val="auto"/>
              </w:rPr>
              <w:t>(5.5)%</w:t>
            </w:r>
          </w:p>
        </w:tc>
        <w:tc>
          <w:tcPr>
            <w:tcW w:w="900" w:type="dxa"/>
            <w:vAlign w:val="bottom"/>
            <w:gridSpan w:val="2"/>
          </w:tcPr>
          <w:p>
            <w:pPr>
              <w:jc w:val="right"/>
              <w:ind w:right="47"/>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Other, net</w:t>
            </w:r>
          </w:p>
        </w:tc>
        <w:tc>
          <w:tcPr>
            <w:tcW w:w="1900" w:type="dxa"/>
            <w:vAlign w:val="bottom"/>
            <w:gridSpan w:val="2"/>
            <w:shd w:val="clear" w:color="auto" w:fill="CCEEFF"/>
          </w:tcPr>
          <w:p>
            <w:pPr>
              <w:jc w:val="right"/>
              <w:ind w:right="927"/>
              <w:spacing w:after="0"/>
              <w:rPr>
                <w:sz w:val="20"/>
                <w:szCs w:val="20"/>
                <w:color w:val="auto"/>
              </w:rPr>
            </w:pPr>
            <w:r>
              <w:rPr>
                <w:rFonts w:ascii="Arial" w:cs="Arial" w:eastAsia="Arial" w:hAnsi="Arial"/>
                <w:sz w:val="17"/>
                <w:szCs w:val="17"/>
                <w:color w:val="auto"/>
              </w:rPr>
              <w:t>0.2 %</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Effective income tax rate</w:t>
            </w:r>
          </w:p>
        </w:tc>
        <w:tc>
          <w:tcPr>
            <w:tcW w:w="7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1900" w:type="dxa"/>
            <w:vAlign w:val="bottom"/>
            <w:gridSpan w:val="2"/>
          </w:tcPr>
          <w:p>
            <w:pPr>
              <w:jc w:val="right"/>
              <w:ind w:right="867"/>
              <w:spacing w:after="0"/>
              <w:rPr>
                <w:sz w:val="20"/>
                <w:szCs w:val="20"/>
                <w:color w:val="auto"/>
              </w:rPr>
            </w:pPr>
            <w:r>
              <w:rPr>
                <w:rFonts w:ascii="Arial" w:cs="Arial" w:eastAsia="Arial" w:hAnsi="Arial"/>
                <w:sz w:val="17"/>
                <w:szCs w:val="17"/>
                <w:color w:val="auto"/>
              </w:rPr>
              <w:t>(84.5)%</w:t>
            </w:r>
          </w:p>
        </w:tc>
        <w:tc>
          <w:tcPr>
            <w:tcW w:w="900" w:type="dxa"/>
            <w:vAlign w:val="bottom"/>
            <w:gridSpan w:val="2"/>
          </w:tcPr>
          <w:p>
            <w:pPr>
              <w:jc w:val="right"/>
              <w:ind w:right="47"/>
              <w:spacing w:after="0"/>
              <w:rPr>
                <w:sz w:val="20"/>
                <w:szCs w:val="20"/>
                <w:color w:val="auto"/>
              </w:rPr>
            </w:pPr>
            <w:r>
              <w:rPr>
                <w:rFonts w:ascii="Arial" w:cs="Arial" w:eastAsia="Arial" w:hAnsi="Arial"/>
                <w:sz w:val="17"/>
                <w:szCs w:val="17"/>
                <w:color w:val="auto"/>
              </w:rPr>
              <w:t>43.4 %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Benefits of $0.1 million were recorded in fiscal 2011 as a reduction in taxes payable and a credit to additional paid in capital based on the amount that was utilized during the year. Benefits of $0.7 million were recorded for the nine months ended December 31, 2011.</w:t>
      </w:r>
    </w:p>
    <w:p>
      <w:pPr>
        <w:spacing w:after="0" w:line="133" w:lineRule="exact"/>
        <w:rPr>
          <w:sz w:val="20"/>
          <w:szCs w:val="20"/>
          <w:color w:val="auto"/>
        </w:rPr>
      </w:pPr>
    </w:p>
    <w:p>
      <w:pPr>
        <w:ind w:right="220" w:firstLine="457"/>
        <w:spacing w:after="0" w:line="257" w:lineRule="auto"/>
        <w:rPr>
          <w:sz w:val="20"/>
          <w:szCs w:val="20"/>
          <w:color w:val="auto"/>
        </w:rPr>
      </w:pPr>
      <w:r>
        <w:rPr>
          <w:rFonts w:ascii="Arial" w:cs="Arial" w:eastAsia="Arial" w:hAnsi="Arial"/>
          <w:sz w:val="17"/>
          <w:szCs w:val="17"/>
          <w:color w:val="auto"/>
        </w:rPr>
        <w:t>During fiscal 2011, the Company converted almost all of its existing incentive stock options, or ISOs, to NQSOs. This conversion was applied retrospectively, allowing the Company to benefit by reducing $0.6 million of income tax expense during fiscal 2011 related to non-deductible ISO stock compensation expense that was previously deferred for income tax purposes. The conversion will greatly reduce the impact of stock-based compensation expense on the effective tax rate in the table above. Since July 30, 2008, all stock option grants have been issued as NQSOs.</w:t>
      </w:r>
    </w:p>
    <w:p>
      <w:pPr>
        <w:spacing w:after="0" w:line="133" w:lineRule="exact"/>
        <w:rPr>
          <w:sz w:val="20"/>
          <w:szCs w:val="20"/>
          <w:color w:val="auto"/>
        </w:rPr>
      </w:pPr>
    </w:p>
    <w:p>
      <w:pPr>
        <w:ind w:right="200" w:firstLine="457"/>
        <w:spacing w:after="0" w:line="295" w:lineRule="auto"/>
        <w:rPr>
          <w:sz w:val="20"/>
          <w:szCs w:val="20"/>
          <w:color w:val="auto"/>
        </w:rPr>
      </w:pPr>
      <w:r>
        <w:rPr>
          <w:rFonts w:ascii="Arial" w:cs="Arial" w:eastAsia="Arial" w:hAnsi="Arial"/>
          <w:sz w:val="15"/>
          <w:szCs w:val="15"/>
          <w:color w:val="auto"/>
        </w:rPr>
        <w:t>As of December 31, 2011, the Company had federal net operating loss carryforwards of approximately $5.9 million, of which $2.2 million are associated with the exercise of NQSOs that have not yet been recognized by the Company in its financial statements. The Company also has state net operating loss carryforwards of approximately $4.4 million, of which $1.9 million are associated with the exercise of NQSOs. The Company also has federal tax credit carryforwards of approximately $1.0 million and state tax credits of $0.6 million. A full valuation allowance has been set up for the state tax credits due to the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2014 – 2030.</w:t>
      </w:r>
    </w:p>
    <w:p>
      <w:pPr>
        <w:spacing w:after="0" w:line="106"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33" w:lineRule="exact"/>
        <w:rPr>
          <w:sz w:val="20"/>
          <w:szCs w:val="20"/>
          <w:color w:val="auto"/>
        </w:rPr>
      </w:pPr>
    </w:p>
    <w:p>
      <w:pPr>
        <w:ind w:right="560" w:firstLine="457"/>
        <w:spacing w:after="0" w:line="270" w:lineRule="auto"/>
        <w:rPr>
          <w:sz w:val="20"/>
          <w:szCs w:val="20"/>
          <w:color w:val="auto"/>
        </w:rPr>
      </w:pPr>
      <w:r>
        <w:rPr>
          <w:rFonts w:ascii="Arial" w:cs="Arial" w:eastAsia="Arial" w:hAnsi="Arial"/>
          <w:sz w:val="17"/>
          <w:szCs w:val="17"/>
          <w:color w:val="auto"/>
        </w:rPr>
        <w:t>As of December 31, 2011, an examination of the Company’s U.S. federal income tax returns for tax years 2009 to 2011 was complete. The resolution of this examination did not have a material effect on its business, financial condition, results of operations or liquidity.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 tax positions</w:t>
      </w:r>
    </w:p>
    <w:p>
      <w:pPr>
        <w:spacing w:after="0" w:line="85" w:lineRule="exact"/>
        <w:rPr>
          <w:sz w:val="20"/>
          <w:szCs w:val="20"/>
          <w:color w:val="auto"/>
        </w:rPr>
      </w:pPr>
    </w:p>
    <w:p>
      <w:pPr>
        <w:ind w:right="80" w:firstLine="457"/>
        <w:spacing w:after="0" w:line="257" w:lineRule="auto"/>
        <w:rPr>
          <w:sz w:val="20"/>
          <w:szCs w:val="20"/>
          <w:color w:val="auto"/>
        </w:rPr>
      </w:pPr>
      <w:r>
        <w:rPr>
          <w:rFonts w:ascii="Arial" w:cs="Arial" w:eastAsia="Arial" w:hAnsi="Arial"/>
          <w:sz w:val="17"/>
          <w:szCs w:val="17"/>
          <w:color w:val="auto"/>
        </w:rPr>
        <w:t>As of December 31, 2011, the balance of gross unrecognized tax benefits was approximately $0.4 million, all of which would reduce the Company’s effective tax rate if recognized. The Company does not expect this amount to change in the next 12 months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33" w:lineRule="exact"/>
        <w:rPr>
          <w:sz w:val="20"/>
          <w:szCs w:val="20"/>
          <w:color w:val="auto"/>
        </w:rPr>
      </w:pPr>
    </w:p>
    <w:p>
      <w:pPr>
        <w:ind w:right="140" w:firstLine="457"/>
        <w:spacing w:after="0" w:line="257" w:lineRule="auto"/>
        <w:rPr>
          <w:sz w:val="20"/>
          <w:szCs w:val="20"/>
          <w:color w:val="auto"/>
        </w:rPr>
      </w:pPr>
      <w:r>
        <w:rPr>
          <w:rFonts w:ascii="Arial" w:cs="Arial" w:eastAsia="Arial" w:hAnsi="Arial"/>
          <w:sz w:val="17"/>
          <w:szCs w:val="17"/>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nine months ended December 31, 2010 and 2011, the Company had the following unrecognized tax benefit activity (in thousands):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271" w:right="259" w:bottom="1440" w:gutter="0" w:footer="0" w:header="0"/>
        </w:sectPr>
      </w:pPr>
    </w:p>
    <w:bookmarkStart w:id="16" w:name="page17"/>
    <w:bookmarkEnd w:id="16"/>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2240" w:type="dxa"/>
            <w:vAlign w:val="bottom"/>
            <w:gridSpan w:val="4"/>
          </w:tcPr>
          <w:p>
            <w:pPr>
              <w:jc w:val="center"/>
              <w:ind w:left="947"/>
              <w:spacing w:after="0"/>
              <w:rPr>
                <w:sz w:val="20"/>
                <w:szCs w:val="20"/>
                <w:color w:val="auto"/>
              </w:rPr>
            </w:pPr>
            <w:r>
              <w:rPr>
                <w:rFonts w:ascii="Arial" w:cs="Arial" w:eastAsia="Arial" w:hAnsi="Arial"/>
                <w:sz w:val="13"/>
                <w:szCs w:val="13"/>
                <w:b w:val="1"/>
                <w:bCs w:val="1"/>
                <w:color w:val="auto"/>
                <w:w w:val="90"/>
              </w:rPr>
              <w:t>Nine Months Ended</w:t>
            </w:r>
          </w:p>
        </w:tc>
      </w:tr>
      <w:tr>
        <w:trPr>
          <w:trHeight w:val="153"/>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December 31, 2010</w:t>
            </w:r>
          </w:p>
        </w:tc>
        <w:tc>
          <w:tcPr>
            <w:tcW w:w="1100" w:type="dxa"/>
            <w:vAlign w:val="bottom"/>
          </w:tcPr>
          <w:p>
            <w:pPr>
              <w:spacing w:after="0"/>
              <w:rPr>
                <w:sz w:val="13"/>
                <w:szCs w:val="13"/>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December 31, 2011</w:t>
            </w:r>
          </w:p>
        </w:tc>
      </w:tr>
      <w:tr>
        <w:trPr>
          <w:trHeight w:val="197"/>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Unrecognized tax benefits as of beginning of period</w:t>
            </w:r>
          </w:p>
        </w:tc>
        <w:tc>
          <w:tcPr>
            <w:tcW w:w="6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60" w:type="dxa"/>
            <w:vAlign w:val="bottom"/>
            <w:tcBorders>
              <w:top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Additions based on tax positions related to the current period</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660" w:type="dxa"/>
            <w:vAlign w:val="bottom"/>
          </w:tcPr>
          <w:p>
            <w:pPr>
              <w:ind w:left="180"/>
              <w:spacing w:after="0"/>
              <w:rPr>
                <w:sz w:val="20"/>
                <w:szCs w:val="20"/>
                <w:color w:val="auto"/>
              </w:rPr>
            </w:pPr>
            <w:r>
              <w:rPr>
                <w:rFonts w:ascii="Arial" w:cs="Arial" w:eastAsia="Arial" w:hAnsi="Arial"/>
                <w:sz w:val="17"/>
                <w:szCs w:val="17"/>
                <w:color w:val="auto"/>
              </w:rPr>
              <w:t>positions</w:t>
            </w:r>
          </w:p>
        </w:tc>
        <w:tc>
          <w:tcPr>
            <w:tcW w:w="6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as of end of period</w:t>
            </w:r>
          </w:p>
        </w:tc>
        <w:tc>
          <w:tcPr>
            <w:tcW w:w="1120" w:type="dxa"/>
            <w:vAlign w:val="bottom"/>
            <w:gridSpan w:val="2"/>
            <w:shd w:val="clear" w:color="auto" w:fill="CCEEFF"/>
          </w:tcPr>
          <w:p>
            <w:pPr>
              <w:jc w:val="right"/>
              <w:ind w:right="312"/>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560" w:type="dxa"/>
            <w:vAlign w:val="bottom"/>
            <w:gridSpan w:val="2"/>
            <w:shd w:val="clear" w:color="auto" w:fill="CCEEFF"/>
          </w:tcPr>
          <w:p>
            <w:pPr>
              <w:jc w:val="right"/>
              <w:ind w:right="342"/>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NOTE F — COMMITMENTS AND CONTINGENCIES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 and Purchase Commitments</w:t>
      </w:r>
    </w:p>
    <w:p>
      <w:pPr>
        <w:spacing w:after="0" w:line="85" w:lineRule="exact"/>
        <w:rPr>
          <w:sz w:val="20"/>
          <w:szCs w:val="20"/>
          <w:color w:val="auto"/>
        </w:rPr>
      </w:pPr>
    </w:p>
    <w:p>
      <w:pPr>
        <w:ind w:right="40" w:firstLine="457"/>
        <w:spacing w:after="0" w:line="297" w:lineRule="auto"/>
        <w:rPr>
          <w:sz w:val="20"/>
          <w:szCs w:val="20"/>
          <w:color w:val="auto"/>
        </w:rPr>
      </w:pPr>
      <w:r>
        <w:rPr>
          <w:rFonts w:ascii="Arial" w:cs="Arial" w:eastAsia="Arial" w:hAnsi="Arial"/>
          <w:sz w:val="15"/>
          <w:szCs w:val="15"/>
          <w:color w:val="auto"/>
        </w:rPr>
        <w:t>The Company leases vehicles and equipment under operating leases. Rent expense under operating leases was $0.5 million and $0.5 million for the three months ended December 31, 2010 and 2011; and $1.3 million and $1.6 million for the nine months ended December 31, 2010 and 2011. The Company enters into non-cancellable purchase commitments for certain inventory items in order to secure better pricing and ensure materials are on hand to meet anticipated order volume and customer expectations, as well as for capital expenditures. As of December 31, 2011, the Company had entered into $12.1 million of purchase commitments related to the next 12 months, including $1.7 million for operating lease commitments and $10.4 million for inventory purchase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 SHAREHOLDERS’ EQUITY</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Rights Plan</w:t>
      </w:r>
    </w:p>
    <w:p>
      <w:pPr>
        <w:spacing w:after="0" w:line="85"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33" w:lineRule="exact"/>
        <w:rPr>
          <w:sz w:val="20"/>
          <w:szCs w:val="20"/>
          <w:color w:val="auto"/>
        </w:rPr>
      </w:pPr>
    </w:p>
    <w:p>
      <w:pPr>
        <w:ind w:right="200" w:firstLine="457"/>
        <w:spacing w:after="0" w:line="255" w:lineRule="auto"/>
        <w:rPr>
          <w:sz w:val="20"/>
          <w:szCs w:val="20"/>
          <w:color w:val="auto"/>
        </w:rPr>
      </w:pPr>
      <w:r>
        <w:rPr>
          <w:rFonts w:ascii="Arial" w:cs="Arial" w:eastAsia="Arial" w:hAnsi="Arial"/>
          <w:sz w:val="17"/>
          <w:szCs w:val="17"/>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6"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23" w:lineRule="exact"/>
        <w:rPr>
          <w:sz w:val="20"/>
          <w:szCs w:val="20"/>
          <w:color w:val="auto"/>
        </w:rPr>
      </w:pPr>
    </w:p>
    <w:p>
      <w:pPr>
        <w:ind w:right="260" w:firstLine="457"/>
        <w:spacing w:after="0" w:line="260" w:lineRule="auto"/>
        <w:rPr>
          <w:sz w:val="20"/>
          <w:szCs w:val="20"/>
          <w:color w:val="auto"/>
        </w:rPr>
      </w:pPr>
      <w:r>
        <w:rPr>
          <w:rFonts w:ascii="Arial" w:cs="Arial" w:eastAsia="Arial" w:hAnsi="Arial"/>
          <w:sz w:val="17"/>
          <w:szCs w:val="17"/>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85"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In August 2010, the Company’s Board of Directors approved a non-compensatory employee stock purchase plan, or ESPP. The ESPP authorizes 2,500,000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Amex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The Company had the following shares issued from treasury during fiscal 2011 and for the nine months ended December 31, 2011:</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258"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6"/>
              </w:rPr>
              <w:t>Under ESPP</w:t>
            </w:r>
          </w:p>
        </w:tc>
        <w:tc>
          <w:tcPr>
            <w:tcW w:w="138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w w:val="90"/>
              </w:rPr>
              <w:t>Closing Market</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8"/>
              </w:rPr>
              <w:t>Under Loan</w:t>
            </w:r>
          </w:p>
        </w:tc>
        <w:tc>
          <w:tcPr>
            <w:tcW w:w="26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Arial" w:cs="Arial" w:eastAsia="Arial" w:hAnsi="Arial"/>
                <w:sz w:val="13"/>
                <w:szCs w:val="13"/>
                <w:b w:val="1"/>
                <w:bCs w:val="1"/>
                <w:color w:val="auto"/>
              </w:rPr>
              <w:t>Dollar Value of</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Repayment of</w:t>
            </w:r>
          </w:p>
        </w:tc>
      </w:tr>
      <w:tr>
        <w:trPr>
          <w:trHeight w:val="153"/>
        </w:trPr>
        <w:tc>
          <w:tcPr>
            <w:tcW w:w="5460" w:type="dxa"/>
            <w:vAlign w:val="bottom"/>
          </w:tcPr>
          <w:p>
            <w:pPr>
              <w:spacing w:after="0"/>
              <w:rPr>
                <w:sz w:val="13"/>
                <w:szCs w:val="13"/>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Plan</w:t>
            </w:r>
          </w:p>
        </w:tc>
        <w:tc>
          <w:tcPr>
            <w:tcW w:w="180" w:type="dxa"/>
            <w:vAlign w:val="bottom"/>
          </w:tcPr>
          <w:p>
            <w:pPr>
              <w:spacing w:after="0"/>
              <w:rPr>
                <w:sz w:val="13"/>
                <w:szCs w:val="13"/>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Price</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Program</w:t>
            </w:r>
          </w:p>
        </w:tc>
        <w:tc>
          <w:tcPr>
            <w:tcW w:w="26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 Issued</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Loans</w:t>
            </w:r>
          </w:p>
        </w:tc>
      </w:tr>
      <w:tr>
        <w:trPr>
          <w:trHeight w:val="197"/>
        </w:trPr>
        <w:tc>
          <w:tcPr>
            <w:tcW w:w="54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Fiscal Year Ended March 31, 2011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65,776</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58,655</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196,100</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2,685</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5460" w:type="dxa"/>
            <w:vAlign w:val="bottom"/>
          </w:tcPr>
          <w:p>
            <w:pPr>
              <w:spacing w:after="0"/>
              <w:rPr>
                <w:sz w:val="20"/>
                <w:szCs w:val="20"/>
                <w:color w:val="auto"/>
              </w:rPr>
            </w:pPr>
            <w:r>
              <w:rPr>
                <w:rFonts w:ascii="Arial" w:cs="Arial" w:eastAsia="Arial" w:hAnsi="Arial"/>
                <w:sz w:val="17"/>
                <w:szCs w:val="17"/>
                <w:color w:val="auto"/>
              </w:rPr>
              <w:t>Quarter Ended June 30, 2011</w:t>
            </w: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9,788</w:t>
            </w:r>
          </w:p>
        </w:tc>
        <w:tc>
          <w:tcPr>
            <w:tcW w:w="1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3.93</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8,601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33,800</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1,649</w:t>
            </w:r>
          </w:p>
        </w:tc>
        <w:tc>
          <w:tcPr>
            <w:tcW w:w="40" w:type="dxa"/>
            <w:vAlign w:val="bottom"/>
          </w:tcPr>
          <w:p>
            <w:pPr>
              <w:spacing w:after="0"/>
              <w:rPr>
                <w:sz w:val="17"/>
                <w:szCs w:val="17"/>
                <w:color w:val="auto"/>
              </w:rPr>
            </w:pPr>
          </w:p>
        </w:tc>
      </w:tr>
      <w:tr>
        <w:trPr>
          <w:trHeight w:val="204"/>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Quarter Ended September 30, 2011</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16,753</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2.65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11,264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29,850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11,102</w:t>
            </w:r>
          </w:p>
        </w:tc>
        <w:tc>
          <w:tcPr>
            <w:tcW w:w="40" w:type="dxa"/>
            <w:vAlign w:val="bottom"/>
            <w:shd w:val="clear" w:color="auto" w:fill="CCEEFF"/>
          </w:tcPr>
          <w:p>
            <w:pPr>
              <w:spacing w:after="0"/>
              <w:rPr>
                <w:sz w:val="17"/>
                <w:szCs w:val="17"/>
                <w:color w:val="auto"/>
              </w:rPr>
            </w:pPr>
          </w:p>
        </w:tc>
      </w:tr>
      <w:tr>
        <w:trPr>
          <w:trHeight w:val="204"/>
        </w:trPr>
        <w:tc>
          <w:tcPr>
            <w:tcW w:w="5460" w:type="dxa"/>
            <w:vAlign w:val="bottom"/>
          </w:tcPr>
          <w:p>
            <w:pPr>
              <w:spacing w:after="0"/>
              <w:rPr>
                <w:sz w:val="20"/>
                <w:szCs w:val="20"/>
                <w:color w:val="auto"/>
              </w:rPr>
            </w:pPr>
            <w:r>
              <w:rPr>
                <w:rFonts w:ascii="Arial" w:cs="Arial" w:eastAsia="Arial" w:hAnsi="Arial"/>
                <w:sz w:val="17"/>
                <w:szCs w:val="17"/>
                <w:color w:val="auto"/>
              </w:rPr>
              <w:t>Quarter Ended December 31, 2011</w:t>
            </w: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3,756</w:t>
            </w:r>
          </w:p>
        </w:tc>
        <w:tc>
          <w:tcPr>
            <w:tcW w:w="1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2.95</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2,542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7,500</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34,650</w:t>
            </w:r>
          </w:p>
        </w:tc>
        <w:tc>
          <w:tcPr>
            <w:tcW w:w="40" w:type="dxa"/>
            <w:vAlign w:val="bottom"/>
          </w:tcPr>
          <w:p>
            <w:pPr>
              <w:spacing w:after="0"/>
              <w:rPr>
                <w:sz w:val="17"/>
                <w:szCs w:val="17"/>
                <w:color w:val="auto"/>
              </w:rPr>
            </w:pPr>
          </w:p>
        </w:tc>
      </w:tr>
      <w:tr>
        <w:trPr>
          <w:trHeight w:val="26"/>
        </w:trPr>
        <w:tc>
          <w:tcPr>
            <w:tcW w:w="5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96,073</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3.29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81,062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267,250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50,086</w:t>
            </w:r>
          </w:p>
        </w:tc>
        <w:tc>
          <w:tcPr>
            <w:tcW w:w="40" w:type="dxa"/>
            <w:vAlign w:val="bottom"/>
            <w:shd w:val="clear" w:color="auto" w:fill="CCEEFF"/>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Loans issued to employees are reflected on the Company’s balance sheet as a contra-equity account.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85"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As of December 31, 2011, the Company had repurchased 98,300 shares of common stock at a cost of $279,000 under the program.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 STOCK OPTIONS AND WARRANTS</w:t>
      </w:r>
    </w:p>
    <w:p>
      <w:pPr>
        <w:spacing w:after="0" w:line="89"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The Company grants stock options under its 2003 Stock Option and 2004 Stock and Incentive Awards Plans (the Plans). Under the terms of the Plans, the Company has reserved 13,500,000 shares for issuance to key employees, consultants and directors. The Company’s Board of Directors approved an increase to the number of shares available under the Plan by 1,000,000 shares contingent upon the Company’s achievement of at least 100% of each of the targeted financial metrics under its bonus program for fiscal 2012. The contingent share increase was approved by the Company’s shareholders at the 2011 annual shareholders meeting, but such shares are not included in the total above.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Restricted stock awards have no vesting period and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11"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In fiscal 2011, the Company converted all of its existing ISO awards to NQSO awards. No consideration was given to the employees for their voluntary conversion of ISO awards.</w:t>
      </w:r>
    </w:p>
    <w:p>
      <w:pPr>
        <w:spacing w:after="0" w:line="122"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The Company granted accelerated vesting stock options in May 2011 under its 2004 Stock and Incentive Awards Plan to provide an opportunity for its employees to earn long-term equity incentive awards based on the Company’s financial performance for fiscal 2012. An aggregate of 459,041 stock options were granted on the third business day following the Company’s public release of its fiscal 2011 results at an exercise price per share of $4.19, which was the closing sale price of the Company’s Common Stock on that date. The stock options will only vest, however, if the optionee remains employed and the Company is successful in achieving at least 100% of the target levels for each of the Company’s three financial metric targets for fiscal 2012, and if the Company’s stock price equals or exceeds $5.00 per share for at least 20 trading days during any 90-day period during the options’ ten-year term.</w:t>
      </w:r>
    </w:p>
    <w:p>
      <w:pPr>
        <w:spacing w:after="0" w:line="123" w:lineRule="exact"/>
        <w:rPr>
          <w:sz w:val="20"/>
          <w:szCs w:val="20"/>
          <w:color w:val="auto"/>
        </w:rPr>
      </w:pPr>
    </w:p>
    <w:p>
      <w:pPr>
        <w:ind w:right="160" w:firstLine="457"/>
        <w:spacing w:after="0" w:line="260" w:lineRule="auto"/>
        <w:rPr>
          <w:sz w:val="20"/>
          <w:szCs w:val="20"/>
          <w:color w:val="auto"/>
        </w:rPr>
      </w:pPr>
      <w:r>
        <w:rPr>
          <w:rFonts w:ascii="Arial" w:cs="Arial" w:eastAsia="Arial" w:hAnsi="Arial"/>
          <w:sz w:val="17"/>
          <w:szCs w:val="17"/>
          <w:color w:val="auto"/>
        </w:rPr>
        <w:t>For the three and nine months ended December 31, 2011, the Company granted 8,637 and 19,533 shares from the 2004 Stock and Incentive Awards Plan to certain non-employee directors who elected to receive stock awards in lieu of cash compensation. The shares were valued ranging from $2.75 per share to $4.19 per share, the closing market prices as of the grant dates.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58"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The following amounts of stock-based compensation were recorded (in thousands):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240" w:type="dxa"/>
            <w:vAlign w:val="bottom"/>
            <w:gridSpan w:val="4"/>
          </w:tcPr>
          <w:p>
            <w:pPr>
              <w:ind w:left="300"/>
              <w:spacing w:after="0"/>
              <w:rPr>
                <w:sz w:val="20"/>
                <w:szCs w:val="20"/>
                <w:color w:val="auto"/>
              </w:rPr>
            </w:pPr>
            <w:r>
              <w:rPr>
                <w:rFonts w:ascii="Arial" w:cs="Arial" w:eastAsia="Arial" w:hAnsi="Arial"/>
                <w:sz w:val="13"/>
                <w:szCs w:val="13"/>
                <w:b w:val="1"/>
                <w:bCs w:val="1"/>
                <w:color w:val="auto"/>
                <w:w w:val="88"/>
              </w:rPr>
              <w:t>Three Months Ended December 31,</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Nine Months Ended December 31,</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560" w:type="dxa"/>
            <w:vAlign w:val="bottom"/>
          </w:tcPr>
          <w:p>
            <w:pPr>
              <w:ind w:left="280"/>
              <w:spacing w:after="0"/>
              <w:rPr>
                <w:sz w:val="20"/>
                <w:szCs w:val="20"/>
                <w:color w:val="auto"/>
              </w:rPr>
            </w:pPr>
            <w:r>
              <w:rPr>
                <w:rFonts w:ascii="Arial" w:cs="Arial" w:eastAsia="Arial" w:hAnsi="Arial"/>
                <w:sz w:val="13"/>
                <w:szCs w:val="13"/>
                <w:b w:val="1"/>
                <w:bCs w:val="1"/>
                <w:color w:val="auto"/>
                <w:w w:val="89"/>
              </w:rPr>
              <w:t>2010</w:t>
            </w:r>
          </w:p>
        </w:tc>
        <w:tc>
          <w:tcPr>
            <w:tcW w:w="26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83"/>
              <w:spacing w:after="0"/>
              <w:rPr>
                <w:sz w:val="20"/>
                <w:szCs w:val="20"/>
                <w:color w:val="auto"/>
              </w:rPr>
            </w:pPr>
            <w:r>
              <w:rPr>
                <w:rFonts w:ascii="Arial" w:cs="Arial" w:eastAsia="Arial" w:hAnsi="Arial"/>
                <w:sz w:val="13"/>
                <w:szCs w:val="13"/>
                <w:b w:val="1"/>
                <w:bCs w:val="1"/>
                <w:color w:val="auto"/>
              </w:rPr>
              <w:t>2010</w:t>
            </w: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Cost of product revenue</w:t>
            </w:r>
          </w:p>
        </w:tc>
        <w:tc>
          <w:tcPr>
            <w:tcW w:w="56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9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114</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5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147</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144</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417</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440</w:t>
            </w:r>
          </w:p>
        </w:tc>
      </w:tr>
      <w:tr>
        <w:trPr>
          <w:trHeight w:val="204"/>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w:t>
            </w: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119</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391</w:t>
            </w: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8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9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60" w:type="dxa"/>
            <w:vAlign w:val="bottom"/>
            <w:shd w:val="clear" w:color="auto" w:fill="CCEEFF"/>
          </w:tcPr>
          <w:p>
            <w:pPr>
              <w:jc w:val="right"/>
              <w:ind w:right="387"/>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321</w:t>
            </w:r>
          </w:p>
        </w:tc>
        <w:tc>
          <w:tcPr>
            <w:tcW w:w="1420" w:type="dxa"/>
            <w:vAlign w:val="bottom"/>
            <w:gridSpan w:val="2"/>
            <w:shd w:val="clear" w:color="auto" w:fill="CCEEFF"/>
          </w:tcPr>
          <w:p>
            <w:pPr>
              <w:jc w:val="right"/>
              <w:ind w:right="427"/>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309</w:t>
            </w:r>
          </w:p>
        </w:tc>
        <w:tc>
          <w:tcPr>
            <w:tcW w:w="92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w:t>
            </w:r>
          </w:p>
        </w:tc>
        <w:tc>
          <w:tcPr>
            <w:tcW w:w="1420" w:type="dxa"/>
            <w:vAlign w:val="bottom"/>
            <w:gridSpan w:val="2"/>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966</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0" w:firstLine="457"/>
        <w:spacing w:after="0" w:line="270" w:lineRule="auto"/>
        <w:rPr>
          <w:sz w:val="20"/>
          <w:szCs w:val="20"/>
          <w:color w:val="auto"/>
        </w:rPr>
      </w:pPr>
      <w:r>
        <w:rPr>
          <w:rFonts w:ascii="Arial" w:cs="Arial" w:eastAsia="Arial" w:hAnsi="Arial"/>
          <w:sz w:val="17"/>
          <w:szCs w:val="17"/>
          <w:color w:val="auto"/>
        </w:rPr>
        <w:t>As of December 31, 2011, compensation cost related to non-vested common stock-based compensation, excluding performance stock option awards, amounted to $3.4 million over a remaining weighted average expected term of 6.7 years.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information with respect to the Plans: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7"/>
              </w:rPr>
              <w:t>Options Outstanding</w:t>
            </w: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8"/>
              </w:rPr>
              <w:t>Weighted</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Weighted</w:t>
            </w:r>
          </w:p>
        </w:tc>
        <w:tc>
          <w:tcPr>
            <w:tcW w:w="8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5"/>
              </w:rPr>
              <w:t>Average</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300" w:type="dxa"/>
            <w:vAlign w:val="bottom"/>
          </w:tcPr>
          <w:p>
            <w:pPr>
              <w:spacing w:after="0"/>
              <w:rPr>
                <w:sz w:val="12"/>
                <w:szCs w:val="12"/>
                <w:color w:val="auto"/>
              </w:rPr>
            </w:pPr>
          </w:p>
        </w:tc>
        <w:tc>
          <w:tcPr>
            <w:tcW w:w="120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82"/>
              </w:rPr>
              <w:t>Shares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jc w:val="center"/>
              <w:ind w:right="400"/>
              <w:spacing w:after="0" w:line="141" w:lineRule="exact"/>
              <w:rPr>
                <w:sz w:val="20"/>
                <w:szCs w:val="20"/>
                <w:color w:val="auto"/>
              </w:rPr>
            </w:pPr>
            <w:r>
              <w:rPr>
                <w:rFonts w:ascii="Arial" w:cs="Arial" w:eastAsia="Arial" w:hAnsi="Arial"/>
                <w:sz w:val="13"/>
                <w:szCs w:val="13"/>
                <w:b w:val="1"/>
                <w:bCs w:val="1"/>
                <w:color w:val="auto"/>
                <w:w w:val="85"/>
              </w:rPr>
              <w:t>Average</w:t>
            </w:r>
          </w:p>
        </w:tc>
        <w:tc>
          <w:tcPr>
            <w:tcW w:w="8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Remaining</w:t>
            </w:r>
          </w:p>
        </w:tc>
        <w:tc>
          <w:tcPr>
            <w:tcW w:w="360" w:type="dxa"/>
            <w:vAlign w:val="bottom"/>
          </w:tcPr>
          <w:p>
            <w:pPr>
              <w:spacing w:after="0"/>
              <w:rPr>
                <w:sz w:val="12"/>
                <w:szCs w:val="12"/>
                <w:color w:val="auto"/>
              </w:rPr>
            </w:pPr>
          </w:p>
        </w:tc>
        <w:tc>
          <w:tcPr>
            <w:tcW w:w="68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40"/>
        </w:trPr>
        <w:tc>
          <w:tcPr>
            <w:tcW w:w="6300" w:type="dxa"/>
            <w:vAlign w:val="bottom"/>
          </w:tcPr>
          <w:p>
            <w:pPr>
              <w:spacing w:after="0"/>
              <w:rPr>
                <w:sz w:val="12"/>
                <w:szCs w:val="12"/>
                <w:color w:val="auto"/>
              </w:rPr>
            </w:pPr>
          </w:p>
        </w:tc>
        <w:tc>
          <w:tcPr>
            <w:tcW w:w="1200" w:type="dxa"/>
            <w:vAlign w:val="bottom"/>
            <w:gridSpan w:val="2"/>
          </w:tcPr>
          <w:p>
            <w:pPr>
              <w:jc w:val="center"/>
              <w:ind w:right="420"/>
              <w:spacing w:after="0" w:line="141" w:lineRule="exact"/>
              <w:rPr>
                <w:sz w:val="20"/>
                <w:szCs w:val="20"/>
                <w:color w:val="auto"/>
              </w:rPr>
            </w:pPr>
            <w:r>
              <w:rPr>
                <w:rFonts w:ascii="Arial" w:cs="Arial" w:eastAsia="Arial" w:hAnsi="Arial"/>
                <w:sz w:val="13"/>
                <w:szCs w:val="13"/>
                <w:b w:val="1"/>
                <w:bCs w:val="1"/>
                <w:color w:val="auto"/>
                <w:w w:val="89"/>
              </w:rPr>
              <w:t>Available for</w:t>
            </w:r>
          </w:p>
        </w:tc>
        <w:tc>
          <w:tcPr>
            <w:tcW w:w="760" w:type="dxa"/>
            <w:vAlign w:val="bottom"/>
            <w:gridSpan w:val="2"/>
          </w:tcPr>
          <w:p>
            <w:pPr>
              <w:jc w:val="right"/>
              <w:ind w:right="180"/>
              <w:spacing w:after="0" w:line="141" w:lineRule="exact"/>
              <w:rPr>
                <w:sz w:val="20"/>
                <w:szCs w:val="20"/>
                <w:color w:val="auto"/>
              </w:rPr>
            </w:pPr>
            <w:r>
              <w:rPr>
                <w:rFonts w:ascii="Arial" w:cs="Arial" w:eastAsia="Arial" w:hAnsi="Arial"/>
                <w:sz w:val="13"/>
                <w:szCs w:val="13"/>
                <w:b w:val="1"/>
                <w:bCs w:val="1"/>
                <w:color w:val="auto"/>
              </w:rPr>
              <w:t>Number</w:t>
            </w:r>
          </w:p>
        </w:tc>
        <w:tc>
          <w:tcPr>
            <w:tcW w:w="360" w:type="dxa"/>
            <w:vAlign w:val="bottom"/>
          </w:tcPr>
          <w:p>
            <w:pPr>
              <w:spacing w:after="0"/>
              <w:rPr>
                <w:sz w:val="12"/>
                <w:szCs w:val="12"/>
                <w:color w:val="auto"/>
              </w:rPr>
            </w:pPr>
          </w:p>
        </w:tc>
        <w:tc>
          <w:tcPr>
            <w:tcW w:w="920" w:type="dxa"/>
            <w:vAlign w:val="bottom"/>
            <w:gridSpan w:val="3"/>
          </w:tcPr>
          <w:p>
            <w:pPr>
              <w:jc w:val="center"/>
              <w:ind w:right="400"/>
              <w:spacing w:after="0" w:line="141" w:lineRule="exact"/>
              <w:rPr>
                <w:sz w:val="20"/>
                <w:szCs w:val="20"/>
                <w:color w:val="auto"/>
              </w:rPr>
            </w:pPr>
            <w:r>
              <w:rPr>
                <w:rFonts w:ascii="Arial" w:cs="Arial" w:eastAsia="Arial" w:hAnsi="Arial"/>
                <w:sz w:val="13"/>
                <w:szCs w:val="13"/>
                <w:b w:val="1"/>
                <w:bCs w:val="1"/>
                <w:color w:val="auto"/>
                <w:w w:val="82"/>
              </w:rPr>
              <w:t>Exercise</w:t>
            </w:r>
          </w:p>
        </w:tc>
        <w:tc>
          <w:tcPr>
            <w:tcW w:w="8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1"/>
              </w:rPr>
              <w:t>Contractual</w:t>
            </w:r>
          </w:p>
        </w:tc>
        <w:tc>
          <w:tcPr>
            <w:tcW w:w="360" w:type="dxa"/>
            <w:vAlign w:val="bottom"/>
          </w:tcPr>
          <w:p>
            <w:pPr>
              <w:spacing w:after="0"/>
              <w:rPr>
                <w:sz w:val="12"/>
                <w:szCs w:val="12"/>
                <w:color w:val="auto"/>
              </w:rPr>
            </w:pP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3"/>
        </w:trPr>
        <w:tc>
          <w:tcPr>
            <w:tcW w:w="6300" w:type="dxa"/>
            <w:vAlign w:val="bottom"/>
          </w:tcPr>
          <w:p>
            <w:pPr>
              <w:spacing w:after="0"/>
              <w:rPr>
                <w:sz w:val="13"/>
                <w:szCs w:val="13"/>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Grant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7"/>
              </w:rPr>
              <w:t>of Shares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7"/>
              </w:rPr>
              <w:t>Price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Term (in years)</w:t>
            </w:r>
          </w:p>
        </w:tc>
        <w:tc>
          <w:tcPr>
            <w:tcW w:w="36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97"/>
        </w:trPr>
        <w:tc>
          <w:tcPr>
            <w:tcW w:w="63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Balance at March 31, 2011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1,577,676</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3,658,768</w:t>
            </w: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center"/>
              <w:ind w:left="59"/>
              <w:spacing w:after="0"/>
              <w:rPr>
                <w:sz w:val="20"/>
                <w:szCs w:val="20"/>
                <w:color w:val="auto"/>
              </w:rPr>
            </w:pPr>
            <w:r>
              <w:rPr>
                <w:rFonts w:ascii="Arial" w:cs="Arial" w:eastAsia="Arial" w:hAnsi="Arial"/>
                <w:sz w:val="17"/>
                <w:szCs w:val="17"/>
                <w:color w:val="auto"/>
                <w:w w:val="84"/>
              </w:rPr>
              <w:t>3.83</w:t>
            </w: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spacing w:after="0"/>
              <w:rPr>
                <w:sz w:val="20"/>
                <w:szCs w:val="20"/>
                <w:color w:val="auto"/>
              </w:rPr>
            </w:pPr>
            <w:r>
              <w:rPr>
                <w:rFonts w:ascii="Arial" w:cs="Arial" w:eastAsia="Arial" w:hAnsi="Arial"/>
                <w:sz w:val="17"/>
                <w:szCs w:val="17"/>
                <w:color w:val="auto"/>
              </w:rPr>
              <w:t>Granted stock options</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w w:val="94"/>
              </w:rPr>
              <w:t>(1,251,356)</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1,251,356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7"/>
                <w:szCs w:val="17"/>
                <w:color w:val="auto"/>
                <w:w w:val="84"/>
              </w:rPr>
              <w:t>3.79</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Granted shares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(19,533)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tcPr>
          <w:p>
            <w:pPr>
              <w:spacing w:after="0"/>
              <w:rPr>
                <w:sz w:val="20"/>
                <w:szCs w:val="20"/>
                <w:color w:val="auto"/>
              </w:rPr>
            </w:pPr>
            <w:r>
              <w:rPr>
                <w:rFonts w:ascii="Arial" w:cs="Arial" w:eastAsia="Arial" w:hAnsi="Arial"/>
                <w:sz w:val="17"/>
                <w:szCs w:val="17"/>
                <w:color w:val="auto"/>
              </w:rPr>
              <w:t>Forfeited</w:t>
            </w: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747,633</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(747,633)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7"/>
                <w:szCs w:val="17"/>
                <w:color w:val="auto"/>
                <w:w w:val="84"/>
              </w:rPr>
              <w:t>4.25</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(79,413)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4"/>
              </w:rPr>
              <w:t>1.25</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7"/>
                <w:szCs w:val="17"/>
                <w:color w:val="auto"/>
              </w:rPr>
              <w:t>Balance at December 31, 2011</w:t>
            </w: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vMerge w:val="restart"/>
          </w:tcPr>
          <w:p>
            <w:pPr>
              <w:ind w:left="360"/>
              <w:spacing w:after="0"/>
              <w:rPr>
                <w:sz w:val="20"/>
                <w:szCs w:val="20"/>
                <w:color w:val="auto"/>
              </w:rPr>
            </w:pPr>
            <w:r>
              <w:rPr>
                <w:rFonts w:ascii="Arial" w:cs="Arial" w:eastAsia="Arial" w:hAnsi="Arial"/>
                <w:sz w:val="17"/>
                <w:szCs w:val="17"/>
                <w:color w:val="auto"/>
                <w:w w:val="84"/>
              </w:rPr>
              <w:t>$</w:t>
            </w: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84"/>
              </w:rPr>
              <w:t>3.89</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6.95</w:t>
            </w:r>
          </w:p>
        </w:tc>
        <w:tc>
          <w:tcPr>
            <w:tcW w:w="1000" w:type="dxa"/>
            <w:vAlign w:val="bottom"/>
            <w:gridSpan w:val="2"/>
            <w:vMerge w:val="restart"/>
          </w:tcPr>
          <w:p>
            <w:pPr>
              <w:jc w:val="center"/>
              <w:ind w:left="277"/>
              <w:spacing w:after="0"/>
              <w:rPr>
                <w:sz w:val="20"/>
                <w:szCs w:val="20"/>
                <w:color w:val="auto"/>
              </w:rPr>
            </w:pPr>
            <w:r>
              <w:rPr>
                <w:rFonts w:ascii="Arial" w:cs="Arial" w:eastAsia="Arial" w:hAnsi="Arial"/>
                <w:sz w:val="17"/>
                <w:szCs w:val="17"/>
                <w:color w:val="auto"/>
                <w:w w:val="90"/>
              </w:rPr>
              <w:t>$810,806</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1,054,420</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4,083,078</w:t>
            </w:r>
          </w:p>
        </w:tc>
        <w:tc>
          <w:tcPr>
            <w:tcW w:w="46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December 31, 2011</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1,846,129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4"/>
              </w:rPr>
              <w:t>3.86</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000" w:type="dxa"/>
            <w:vAlign w:val="bottom"/>
            <w:gridSpan w:val="2"/>
            <w:shd w:val="clear" w:color="auto" w:fill="CCEEFF"/>
          </w:tcPr>
          <w:p>
            <w:pPr>
              <w:jc w:val="center"/>
              <w:ind w:left="277"/>
              <w:spacing w:after="0"/>
              <w:rPr>
                <w:sz w:val="20"/>
                <w:szCs w:val="20"/>
                <w:color w:val="auto"/>
              </w:rPr>
            </w:pPr>
            <w:r>
              <w:rPr>
                <w:rFonts w:ascii="Arial" w:cs="Arial" w:eastAsia="Arial" w:hAnsi="Arial"/>
                <w:sz w:val="17"/>
                <w:szCs w:val="17"/>
                <w:color w:val="auto"/>
                <w:w w:val="90"/>
              </w:rPr>
              <w:t>$610,279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80" w:firstLine="457"/>
        <w:spacing w:after="0" w:line="270" w:lineRule="auto"/>
        <w:rPr>
          <w:sz w:val="20"/>
          <w:szCs w:val="20"/>
          <w:color w:val="auto"/>
        </w:rPr>
      </w:pPr>
      <w:r>
        <w:rPr>
          <w:rFonts w:ascii="Arial" w:cs="Arial" w:eastAsia="Arial" w:hAnsi="Arial"/>
          <w:sz w:val="17"/>
          <w:szCs w:val="17"/>
          <w:color w:val="auto"/>
        </w:rPr>
        <w:t>The aggregate intrinsic value represents the total pre-tax intrinsic value, which is calculated as the difference between the exercise price of the underlying stock options and the fair value of the Company’s closing common stock price of $2.95 as of December 31, 2011.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600" w:type="dxa"/>
            <w:vAlign w:val="bottom"/>
          </w:tcPr>
          <w:p>
            <w:pPr>
              <w:ind w:left="460"/>
              <w:spacing w:after="0"/>
              <w:rPr>
                <w:sz w:val="20"/>
                <w:szCs w:val="20"/>
                <w:color w:val="auto"/>
              </w:rPr>
            </w:pPr>
            <w:r>
              <w:rPr>
                <w:rFonts w:ascii="Arial" w:cs="Arial" w:eastAsia="Arial" w:hAnsi="Arial"/>
                <w:sz w:val="17"/>
                <w:szCs w:val="17"/>
                <w:color w:val="auto"/>
              </w:rPr>
              <w:t>A summary of the status of the Company’s outstanding non-vested stock options as of December 31, 2011 was as follows: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10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0600" w:type="dxa"/>
            <w:vAlign w:val="bottom"/>
            <w:shd w:val="clear" w:color="auto" w:fill="CCEEFF"/>
          </w:tcPr>
          <w:p>
            <w:pPr>
              <w:spacing w:after="0"/>
              <w:rPr>
                <w:sz w:val="20"/>
                <w:szCs w:val="20"/>
                <w:color w:val="auto"/>
              </w:rPr>
            </w:pPr>
            <w:r>
              <w:rPr>
                <w:rFonts w:ascii="Arial" w:cs="Arial" w:eastAsia="Arial" w:hAnsi="Arial"/>
                <w:sz w:val="17"/>
                <w:szCs w:val="17"/>
                <w:color w:val="auto"/>
              </w:rPr>
              <w:t>Non-vested at March 31, 2011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1,832,167</w:t>
            </w:r>
          </w:p>
        </w:tc>
      </w:tr>
      <w:tr>
        <w:trPr>
          <w:trHeight w:val="204"/>
        </w:trPr>
        <w:tc>
          <w:tcPr>
            <w:tcW w:w="10600" w:type="dxa"/>
            <w:vAlign w:val="bottom"/>
          </w:tcPr>
          <w:p>
            <w:pPr>
              <w:ind w:left="420"/>
              <w:spacing w:after="0"/>
              <w:rPr>
                <w:sz w:val="20"/>
                <w:szCs w:val="20"/>
                <w:color w:val="auto"/>
              </w:rPr>
            </w:pPr>
            <w:r>
              <w:rPr>
                <w:rFonts w:ascii="Arial" w:cs="Arial" w:eastAsia="Arial" w:hAnsi="Arial"/>
                <w:sz w:val="17"/>
                <w:szCs w:val="17"/>
                <w:color w:val="auto"/>
              </w:rPr>
              <w:t>Granted</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1,251,356</w:t>
            </w:r>
          </w:p>
        </w:tc>
      </w:tr>
      <w:tr>
        <w:trPr>
          <w:trHeight w:val="204"/>
        </w:trPr>
        <w:tc>
          <w:tcPr>
            <w:tcW w:w="106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Vested</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(341,845)</w:t>
            </w:r>
          </w:p>
        </w:tc>
      </w:tr>
      <w:tr>
        <w:trPr>
          <w:trHeight w:val="204"/>
        </w:trPr>
        <w:tc>
          <w:tcPr>
            <w:tcW w:w="10600" w:type="dxa"/>
            <w:vAlign w:val="bottom"/>
          </w:tcPr>
          <w:p>
            <w:pPr>
              <w:ind w:left="420"/>
              <w:spacing w:after="0"/>
              <w:rPr>
                <w:sz w:val="20"/>
                <w:szCs w:val="20"/>
                <w:color w:val="auto"/>
              </w:rPr>
            </w:pPr>
            <w:r>
              <w:rPr>
                <w:rFonts w:ascii="Arial" w:cs="Arial" w:eastAsia="Arial" w:hAnsi="Arial"/>
                <w:sz w:val="17"/>
                <w:szCs w:val="17"/>
                <w:color w:val="auto"/>
              </w:rPr>
              <w:t>Forfeited</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(504,729)</w:t>
            </w:r>
          </w:p>
        </w:tc>
      </w:tr>
      <w:tr>
        <w:trPr>
          <w:trHeight w:val="26"/>
        </w:trPr>
        <w:tc>
          <w:tcPr>
            <w:tcW w:w="10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10600" w:type="dxa"/>
            <w:vAlign w:val="bottom"/>
            <w:shd w:val="clear" w:color="auto" w:fill="CCEEFF"/>
          </w:tcPr>
          <w:p>
            <w:pPr>
              <w:spacing w:after="0"/>
              <w:rPr>
                <w:sz w:val="20"/>
                <w:szCs w:val="20"/>
                <w:color w:val="auto"/>
              </w:rPr>
            </w:pPr>
            <w:r>
              <w:rPr>
                <w:rFonts w:ascii="Arial" w:cs="Arial" w:eastAsia="Arial" w:hAnsi="Arial"/>
                <w:sz w:val="17"/>
                <w:szCs w:val="17"/>
                <w:color w:val="auto"/>
              </w:rPr>
              <w:t>Non-vested at December 31, 2011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2,236,949</w:t>
            </w:r>
          </w:p>
        </w:tc>
      </w:tr>
      <w:tr>
        <w:trPr>
          <w:trHeight w:val="20"/>
        </w:trPr>
        <w:tc>
          <w:tcPr>
            <w:tcW w:w="10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0" w:firstLine="457"/>
        <w:spacing w:after="0" w:line="260" w:lineRule="auto"/>
        <w:rPr>
          <w:sz w:val="20"/>
          <w:szCs w:val="20"/>
          <w:color w:val="auto"/>
        </w:rPr>
      </w:pPr>
      <w:r>
        <w:rPr>
          <w:rFonts w:ascii="Arial" w:cs="Arial" w:eastAsia="Arial" w:hAnsi="Arial"/>
          <w:sz w:val="17"/>
          <w:szCs w:val="17"/>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2011 or during the nine months ended December 31, 2011.</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Outstanding warrants are comprised of the following:</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40"/>
        </w:trPr>
        <w:tc>
          <w:tcPr>
            <w:tcW w:w="3140" w:type="dxa"/>
            <w:vAlign w:val="bottom"/>
          </w:tcPr>
          <w:p>
            <w:pPr>
              <w:spacing w:after="0"/>
              <w:rPr>
                <w:sz w:val="12"/>
                <w:szCs w:val="12"/>
                <w:color w:val="auto"/>
              </w:rPr>
            </w:pPr>
          </w:p>
        </w:tc>
        <w:tc>
          <w:tcPr>
            <w:tcW w:w="402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rPr>
              <w:t>Number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20"/>
              <w:spacing w:after="0" w:line="141" w:lineRule="exact"/>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600" w:type="dxa"/>
            <w:vAlign w:val="bottom"/>
          </w:tcPr>
          <w:p>
            <w:pPr>
              <w:jc w:val="right"/>
              <w:ind w:right="47"/>
              <w:spacing w:after="0"/>
              <w:rPr>
                <w:sz w:val="20"/>
                <w:szCs w:val="20"/>
                <w:color w:val="auto"/>
              </w:rPr>
            </w:pPr>
            <w:r>
              <w:rPr>
                <w:rFonts w:ascii="Arial" w:cs="Arial" w:eastAsia="Arial" w:hAnsi="Arial"/>
                <w:sz w:val="13"/>
                <w:szCs w:val="13"/>
                <w:b w:val="1"/>
                <w:bCs w:val="1"/>
                <w:color w:val="auto"/>
              </w:rPr>
              <w:t>Shares</w:t>
            </w:r>
          </w:p>
        </w:tc>
        <w:tc>
          <w:tcPr>
            <w:tcW w:w="152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Exercise Price</w:t>
            </w:r>
          </w:p>
        </w:tc>
        <w:tc>
          <w:tcPr>
            <w:tcW w:w="0" w:type="dxa"/>
            <w:vAlign w:val="bottom"/>
          </w:tcPr>
          <w:p>
            <w:pPr>
              <w:spacing w:after="0"/>
              <w:rPr>
                <w:sz w:val="1"/>
                <w:szCs w:val="1"/>
                <w:color w:val="auto"/>
              </w:rPr>
            </w:pPr>
          </w:p>
        </w:tc>
      </w:tr>
      <w:tr>
        <w:trPr>
          <w:trHeight w:val="197"/>
        </w:trPr>
        <w:tc>
          <w:tcPr>
            <w:tcW w:w="31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Balance at March 31, 2011</w:t>
            </w:r>
          </w:p>
        </w:tc>
        <w:tc>
          <w:tcPr>
            <w:tcW w:w="3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38,980</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7"/>
                <w:szCs w:val="17"/>
                <w:color w:val="auto"/>
              </w:rPr>
              <w:t>Balance at December 31, 2011</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38,980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420" w:type="dxa"/>
            <w:vAlign w:val="bottom"/>
            <w:vMerge w:val="restart"/>
          </w:tcPr>
          <w:p>
            <w:pPr>
              <w:jc w:val="right"/>
              <w:ind w:right="2063"/>
              <w:spacing w:after="0"/>
              <w:rPr>
                <w:sz w:val="20"/>
                <w:szCs w:val="20"/>
                <w:color w:val="auto"/>
              </w:rPr>
            </w:pPr>
            <w:r>
              <w:rPr>
                <w:rFonts w:ascii="Arial" w:cs="Arial" w:eastAsia="Arial" w:hAnsi="Arial"/>
                <w:sz w:val="17"/>
                <w:szCs w:val="17"/>
                <w:color w:val="auto"/>
              </w:rPr>
              <w:t>19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1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A summary of outstanding warrants at December 31, 2011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940" w:type="dxa"/>
            <w:vAlign w:val="bottom"/>
            <w:gridSpan w:val="3"/>
            <w:vMerge w:val="restart"/>
          </w:tcPr>
          <w:p>
            <w:pPr>
              <w:ind w:left="1380"/>
              <w:spacing w:after="0"/>
              <w:rPr>
                <w:sz w:val="20"/>
                <w:szCs w:val="20"/>
                <w:color w:val="auto"/>
              </w:rPr>
            </w:pPr>
            <w:r>
              <w:rPr>
                <w:rFonts w:ascii="Arial" w:cs="Arial" w:eastAsia="Arial" w:hAnsi="Arial"/>
                <w:sz w:val="13"/>
                <w:szCs w:val="13"/>
                <w:b w:val="1"/>
                <w:bCs w:val="1"/>
                <w:color w:val="auto"/>
              </w:rPr>
              <w:t>Exercise Price</w:t>
            </w:r>
          </w:p>
        </w:tc>
        <w:tc>
          <w:tcPr>
            <w:tcW w:w="12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Number of</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9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Warrants</w:t>
            </w:r>
          </w:p>
        </w:tc>
        <w:tc>
          <w:tcPr>
            <w:tcW w:w="920" w:type="dxa"/>
            <w:vAlign w:val="bottom"/>
            <w:gridSpan w:val="2"/>
          </w:tcPr>
          <w:p>
            <w:pPr>
              <w:ind w:left="120"/>
              <w:spacing w:after="0" w:line="141"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820" w:type="dxa"/>
            <w:vAlign w:val="bottom"/>
            <w:tcBorders>
              <w:top w:val="single" w:sz="8" w:color="auto"/>
            </w:tcBorders>
            <w:shd w:val="clear" w:color="auto" w:fill="CCEEFF"/>
          </w:tcPr>
          <w:p>
            <w:pPr>
              <w:jc w:val="right"/>
              <w:ind w:right="377"/>
              <w:spacing w:after="0" w:line="189" w:lineRule="exact"/>
              <w:rPr>
                <w:sz w:val="20"/>
                <w:szCs w:val="20"/>
                <w:color w:val="auto"/>
              </w:rPr>
            </w:pPr>
            <w:r>
              <w:rPr>
                <w:rFonts w:ascii="Arial" w:cs="Arial" w:eastAsia="Arial" w:hAnsi="Arial"/>
                <w:sz w:val="17"/>
                <w:szCs w:val="17"/>
                <w:color w:val="auto"/>
                <w:w w:val="79"/>
              </w:rPr>
              <w:t>$2.25</w:t>
            </w:r>
          </w:p>
        </w:tc>
        <w:tc>
          <w:tcPr>
            <w:tcW w:w="57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38,980</w:t>
            </w:r>
          </w:p>
        </w:tc>
        <w:tc>
          <w:tcPr>
            <w:tcW w:w="4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7"/>
                <w:szCs w:val="17"/>
                <w:color w:val="auto"/>
                <w:w w:val="87"/>
              </w:rPr>
              <w:t>Fiscal 2015</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7940" w:type="dxa"/>
            <w:vAlign w:val="bottom"/>
            <w:gridSpan w:val="3"/>
          </w:tcPr>
          <w:p>
            <w:pPr>
              <w:jc w:val="right"/>
              <w:ind w:right="6200"/>
              <w:spacing w:after="0"/>
              <w:rPr>
                <w:sz w:val="20"/>
                <w:szCs w:val="20"/>
                <w:color w:val="auto"/>
              </w:rPr>
            </w:pPr>
            <w:r>
              <w:rPr>
                <w:rFonts w:ascii="Arial" w:cs="Arial" w:eastAsia="Arial" w:hAnsi="Arial"/>
                <w:sz w:val="17"/>
                <w:szCs w:val="17"/>
                <w:b w:val="1"/>
                <w:bCs w:val="1"/>
                <w:color w:val="auto"/>
                <w:w w:val="96"/>
              </w:rPr>
              <w:t>NOTE I — SEGMENTS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940" w:type="dxa"/>
            <w:vAlign w:val="bottom"/>
            <w:gridSpan w:val="3"/>
          </w:tcPr>
          <w:p>
            <w:pPr>
              <w:ind w:left="460"/>
              <w:spacing w:after="0"/>
              <w:rPr>
                <w:sz w:val="20"/>
                <w:szCs w:val="20"/>
                <w:color w:val="auto"/>
              </w:rPr>
            </w:pPr>
            <w:r>
              <w:rPr>
                <w:rFonts w:ascii="Arial" w:cs="Arial" w:eastAsia="Arial" w:hAnsi="Arial"/>
                <w:sz w:val="17"/>
                <w:szCs w:val="17"/>
                <w:color w:val="auto"/>
                <w:w w:val="90"/>
              </w:rPr>
              <w:t>The descriptions of the Company’s segments and their summary financial information are summarized below.</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Energy Management</w:t>
      </w:r>
    </w:p>
    <w:p>
      <w:pPr>
        <w:spacing w:after="0" w:line="85" w:lineRule="exact"/>
        <w:rPr>
          <w:sz w:val="20"/>
          <w:szCs w:val="20"/>
          <w:color w:val="auto"/>
        </w:rPr>
      </w:pPr>
    </w:p>
    <w:p>
      <w:pPr>
        <w:ind w:right="560" w:firstLine="457"/>
        <w:spacing w:after="0" w:line="270" w:lineRule="auto"/>
        <w:rPr>
          <w:sz w:val="20"/>
          <w:szCs w:val="20"/>
          <w:color w:val="auto"/>
        </w:rPr>
      </w:pPr>
      <w:r>
        <w:rPr>
          <w:rFonts w:ascii="Arial" w:cs="Arial" w:eastAsia="Arial" w:hAnsi="Arial"/>
          <w:sz w:val="17"/>
          <w:szCs w:val="17"/>
          <w:color w:val="auto"/>
        </w:rPr>
        <w:t>The Energy Management Division develops, manufactures, integrates and sells commercial high intensity fluorescent, or HIF, lighting systems and energy management systems.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Engineered Systems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Engineered Systems Division sells and integrates alternative renewable energy systems, such as solar and wind.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and Other</w:t>
      </w:r>
    </w:p>
    <w:p>
      <w:pPr>
        <w:spacing w:after="0" w:line="85"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Corporate and Other is comprised of selling, general and administrative expenses not directly allocated to the Company’s segments and adjustments to reconcile to consolidated results, which primarily include intercompany eliminations.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center"/>
              <w:ind w:left="523"/>
              <w:spacing w:after="0"/>
              <w:rPr>
                <w:sz w:val="20"/>
                <w:szCs w:val="20"/>
                <w:color w:val="auto"/>
              </w:rPr>
            </w:pPr>
            <w:r>
              <w:rPr>
                <w:rFonts w:ascii="Arial" w:cs="Arial" w:eastAsia="Arial" w:hAnsi="Arial"/>
                <w:sz w:val="13"/>
                <w:szCs w:val="13"/>
                <w:b w:val="1"/>
                <w:bCs w:val="1"/>
                <w:color w:val="auto"/>
                <w:w w:val="88"/>
              </w:rPr>
              <w:t>Operating Income (Loss)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gridSpan w:val="5"/>
          </w:tcPr>
          <w:p>
            <w:pPr>
              <w:jc w:val="center"/>
              <w:ind w:right="21"/>
              <w:spacing w:after="0" w:line="144" w:lineRule="exact"/>
              <w:rPr>
                <w:sz w:val="20"/>
                <w:szCs w:val="20"/>
                <w:color w:val="auto"/>
              </w:rPr>
            </w:pPr>
            <w:r>
              <w:rPr>
                <w:rFonts w:ascii="Arial" w:cs="Arial" w:eastAsia="Arial" w:hAnsi="Arial"/>
                <w:sz w:val="13"/>
                <w:szCs w:val="13"/>
                <w:b w:val="1"/>
                <w:bCs w:val="1"/>
                <w:color w:val="auto"/>
                <w:w w:val="89"/>
              </w:rPr>
              <w:t>For the Three Months Ended December 31,</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gridSpan w:val="6"/>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For the Three Months Ended December 31,</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3"/>
                <w:szCs w:val="13"/>
                <w:color w:val="auto"/>
              </w:rPr>
              <w:t>(dollars in thousands)</w:t>
            </w: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color w:val="auto"/>
              </w:rPr>
              <w:t>2011</w:t>
            </w:r>
          </w:p>
        </w:tc>
        <w:tc>
          <w:tcPr>
            <w:tcW w:w="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color w:val="auto"/>
              </w:rPr>
              <w:t>2010</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Segments: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Energy Management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22,042</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20,544</w:t>
            </w:r>
          </w:p>
        </w:tc>
        <w:tc>
          <w:tcPr>
            <w:tcW w:w="1060" w:type="dxa"/>
            <w:vAlign w:val="bottom"/>
            <w:gridSpan w:val="2"/>
          </w:tcPr>
          <w:p>
            <w:pPr>
              <w:jc w:val="right"/>
              <w:ind w:right="7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3,499</w:t>
            </w:r>
          </w:p>
        </w:tc>
        <w:tc>
          <w:tcPr>
            <w:tcW w:w="60" w:type="dxa"/>
            <w:vAlign w:val="bottom"/>
          </w:tcPr>
          <w:p>
            <w:pPr>
              <w:spacing w:after="0"/>
              <w:rPr>
                <w:sz w:val="17"/>
                <w:szCs w:val="17"/>
                <w:color w:val="auto"/>
              </w:rPr>
            </w:pPr>
          </w:p>
        </w:tc>
        <w:tc>
          <w:tcPr>
            <w:tcW w:w="1240" w:type="dxa"/>
            <w:vAlign w:val="bottom"/>
            <w:gridSpan w:val="2"/>
          </w:tcPr>
          <w:p>
            <w:pPr>
              <w:jc w:val="right"/>
              <w:ind w:right="29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Engineered Systems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1,602</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6,862</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(640 )</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Corporate and Other</w:t>
            </w:r>
          </w:p>
        </w:tc>
        <w:tc>
          <w:tcPr>
            <w:tcW w:w="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(1,583)</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(1,263)</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23,644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27,406</w:t>
            </w:r>
          </w:p>
        </w:tc>
        <w:tc>
          <w:tcPr>
            <w:tcW w:w="10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jc w:val="center"/>
              <w:ind w:left="523"/>
              <w:spacing w:after="0"/>
              <w:rPr>
                <w:sz w:val="20"/>
                <w:szCs w:val="20"/>
                <w:color w:val="auto"/>
              </w:rPr>
            </w:pPr>
            <w:r>
              <w:rPr>
                <w:rFonts w:ascii="Arial" w:cs="Arial" w:eastAsia="Arial" w:hAnsi="Arial"/>
                <w:sz w:val="13"/>
                <w:szCs w:val="13"/>
                <w:b w:val="1"/>
                <w:bCs w:val="1"/>
                <w:color w:val="auto"/>
                <w:w w:val="88"/>
              </w:rPr>
              <w:t>Operating Income (Loss)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gridSpan w:val="5"/>
          </w:tcPr>
          <w:p>
            <w:pPr>
              <w:jc w:val="center"/>
              <w:ind w:right="1"/>
              <w:spacing w:after="0" w:line="144" w:lineRule="exact"/>
              <w:rPr>
                <w:sz w:val="20"/>
                <w:szCs w:val="20"/>
                <w:color w:val="auto"/>
              </w:rPr>
            </w:pPr>
            <w:r>
              <w:rPr>
                <w:rFonts w:ascii="Arial" w:cs="Arial" w:eastAsia="Arial" w:hAnsi="Arial"/>
                <w:sz w:val="13"/>
                <w:szCs w:val="13"/>
                <w:b w:val="1"/>
                <w:bCs w:val="1"/>
                <w:color w:val="auto"/>
                <w:w w:val="89"/>
              </w:rPr>
              <w:t>For the Nine Months Ended December 31,</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gridSpan w:val="6"/>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For the Nine Months Ended December 31,</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3"/>
                <w:szCs w:val="13"/>
                <w:color w:val="auto"/>
              </w:rPr>
              <w:t>(dollars in thousands)</w:t>
            </w: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color w:val="auto"/>
              </w:rPr>
              <w:t>2011</w:t>
            </w:r>
          </w:p>
        </w:tc>
        <w:tc>
          <w:tcPr>
            <w:tcW w:w="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color w:val="auto"/>
              </w:rPr>
              <w:t>2010</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Segments: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Energy Management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54,121</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55,061</w:t>
            </w:r>
          </w:p>
        </w:tc>
        <w:tc>
          <w:tcPr>
            <w:tcW w:w="1060" w:type="dxa"/>
            <w:vAlign w:val="bottom"/>
            <w:gridSpan w:val="2"/>
          </w:tcPr>
          <w:p>
            <w:pPr>
              <w:jc w:val="right"/>
              <w:ind w:right="7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5,268</w:t>
            </w:r>
          </w:p>
        </w:tc>
        <w:tc>
          <w:tcPr>
            <w:tcW w:w="60" w:type="dxa"/>
            <w:vAlign w:val="bottom"/>
          </w:tcPr>
          <w:p>
            <w:pPr>
              <w:spacing w:after="0"/>
              <w:rPr>
                <w:sz w:val="17"/>
                <w:szCs w:val="17"/>
                <w:color w:val="auto"/>
              </w:rPr>
            </w:pPr>
          </w:p>
        </w:tc>
        <w:tc>
          <w:tcPr>
            <w:tcW w:w="1240" w:type="dxa"/>
            <w:vAlign w:val="bottom"/>
            <w:gridSpan w:val="2"/>
          </w:tcPr>
          <w:p>
            <w:pPr>
              <w:jc w:val="right"/>
              <w:ind w:right="29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Engineered Systems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2,352</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24,041</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(1,658 )</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Corporate and Other</w:t>
            </w:r>
          </w:p>
        </w:tc>
        <w:tc>
          <w:tcPr>
            <w:tcW w:w="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(4,977)</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(3,790)</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56,473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79,102</w:t>
            </w:r>
          </w:p>
        </w:tc>
        <w:tc>
          <w:tcPr>
            <w:tcW w:w="10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240" w:type="dxa"/>
            <w:vAlign w:val="bottom"/>
            <w:gridSpan w:val="2"/>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Total Assets</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jc w:val="center"/>
              <w:ind w:right="156"/>
              <w:spacing w:after="0"/>
              <w:rPr>
                <w:sz w:val="20"/>
                <w:szCs w:val="20"/>
                <w:color w:val="auto"/>
              </w:rPr>
            </w:pPr>
            <w:r>
              <w:rPr>
                <w:rFonts w:ascii="Arial" w:cs="Arial" w:eastAsia="Arial" w:hAnsi="Arial"/>
                <w:sz w:val="13"/>
                <w:szCs w:val="13"/>
                <w:b w:val="1"/>
                <w:bCs w:val="1"/>
                <w:color w:val="auto"/>
                <w:w w:val="88"/>
              </w:rPr>
              <w:t>Deferred Revenue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3"/>
                <w:szCs w:val="13"/>
                <w:color w:val="auto"/>
              </w:rPr>
              <w:t>(dollars in thousands)</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w w:val="86"/>
              </w:rPr>
              <w:t>March 31, 2011</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41"/>
              <w:spacing w:after="0"/>
              <w:rPr>
                <w:sz w:val="20"/>
                <w:szCs w:val="20"/>
                <w:color w:val="auto"/>
              </w:rPr>
            </w:pPr>
            <w:r>
              <w:rPr>
                <w:rFonts w:ascii="Arial" w:cs="Arial" w:eastAsia="Arial" w:hAnsi="Arial"/>
                <w:sz w:val="13"/>
                <w:szCs w:val="13"/>
                <w:color w:val="auto"/>
                <w:w w:val="87"/>
              </w:rPr>
              <w:t>December 31, 2011</w:t>
            </w:r>
          </w:p>
        </w:tc>
        <w:tc>
          <w:tcPr>
            <w:tcW w:w="840" w:type="dxa"/>
            <w:vAlign w:val="bottom"/>
          </w:tcPr>
          <w:p>
            <w:pPr>
              <w:spacing w:after="0"/>
              <w:rPr>
                <w:sz w:val="12"/>
                <w:szCs w:val="1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3"/>
                <w:szCs w:val="13"/>
                <w:color w:val="auto"/>
                <w:w w:val="95"/>
              </w:rPr>
              <w:t>March 31, 2011</w:t>
            </w:r>
          </w:p>
        </w:tc>
        <w:tc>
          <w:tcPr>
            <w:tcW w:w="800" w:type="dxa"/>
            <w:vAlign w:val="bottom"/>
          </w:tcPr>
          <w:p>
            <w:pPr>
              <w:spacing w:after="0"/>
              <w:rPr>
                <w:sz w:val="12"/>
                <w:szCs w:val="12"/>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3"/>
                <w:szCs w:val="13"/>
                <w:color w:val="auto"/>
                <w:w w:val="96"/>
              </w:rPr>
              <w:t>December 31, 2011</w:t>
            </w:r>
          </w:p>
        </w:tc>
        <w:tc>
          <w:tcPr>
            <w:tcW w:w="0" w:type="dxa"/>
            <w:vAlign w:val="bottom"/>
          </w:tcPr>
          <w:p>
            <w:pPr>
              <w:spacing w:after="0"/>
              <w:rPr>
                <w:sz w:val="1"/>
                <w:szCs w:val="1"/>
                <w:color w:val="auto"/>
              </w:rPr>
            </w:pPr>
          </w:p>
        </w:tc>
      </w:tr>
      <w:tr>
        <w:trPr>
          <w:trHeight w:val="133"/>
        </w:trPr>
        <w:tc>
          <w:tcPr>
            <w:tcW w:w="344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Segments: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Energy Management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66,795</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67,770</w:t>
            </w:r>
          </w:p>
        </w:tc>
        <w:tc>
          <w:tcPr>
            <w:tcW w:w="1060" w:type="dxa"/>
            <w:vAlign w:val="bottom"/>
            <w:gridSpan w:val="2"/>
          </w:tcPr>
          <w:p>
            <w:pPr>
              <w:jc w:val="right"/>
              <w:ind w:right="7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533</w:t>
            </w:r>
          </w:p>
        </w:tc>
        <w:tc>
          <w:tcPr>
            <w:tcW w:w="60" w:type="dxa"/>
            <w:vAlign w:val="bottom"/>
          </w:tcPr>
          <w:p>
            <w:pPr>
              <w:spacing w:after="0"/>
              <w:rPr>
                <w:sz w:val="17"/>
                <w:szCs w:val="17"/>
                <w:color w:val="auto"/>
              </w:rPr>
            </w:pPr>
          </w:p>
        </w:tc>
        <w:tc>
          <w:tcPr>
            <w:tcW w:w="1240" w:type="dxa"/>
            <w:vAlign w:val="bottom"/>
            <w:gridSpan w:val="2"/>
          </w:tcPr>
          <w:p>
            <w:pPr>
              <w:jc w:val="right"/>
              <w:ind w:right="29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Engineered Systems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20,422</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13,252</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9,671</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Corporate and Other</w:t>
            </w: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33,870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43,879</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121,087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124,901</w:t>
            </w:r>
          </w:p>
        </w:tc>
        <w:tc>
          <w:tcPr>
            <w:tcW w:w="10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10,204</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revenue and long-lived assets outside the United States are insignificant.</w:t>
      </w:r>
    </w:p>
    <w:p>
      <w:pPr>
        <w:spacing w:after="0" w:line="14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80"/>
          </w:cols>
          <w:pgMar w:left="240" w:top="271" w:right="379" w:bottom="1440" w:gutter="0" w:footer="0" w:header="0"/>
        </w:sectPr>
      </w:pPr>
    </w:p>
    <w:bookmarkStart w:id="20" w:name="page21"/>
    <w:bookmarkEnd w:id="20"/>
    <w:p>
      <w:pPr>
        <w:spacing w:after="0"/>
        <w:tabs>
          <w:tab w:leader="none" w:pos="10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66" w:lineRule="exact"/>
        <w:rPr>
          <w:sz w:val="20"/>
          <w:szCs w:val="20"/>
          <w:color w:val="auto"/>
        </w:rPr>
      </w:pPr>
    </w:p>
    <w:p>
      <w:pPr>
        <w:jc w:val="both"/>
        <w:ind w:right="280"/>
        <w:spacing w:after="0" w:line="26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10-K/A for the year ended March 31, 2011.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89"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2011 Annual Report filed on Form 10-K/A for the fiscal year ended March 31, 2011 and elsewhere in this Quarterly Report.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89" w:lineRule="exact"/>
        <w:rPr>
          <w:sz w:val="20"/>
          <w:szCs w:val="20"/>
          <w:color w:val="auto"/>
        </w:rPr>
      </w:pPr>
    </w:p>
    <w:p>
      <w:pPr>
        <w:ind w:right="180" w:firstLine="457"/>
        <w:spacing w:after="0" w:line="311" w:lineRule="auto"/>
        <w:rPr>
          <w:sz w:val="20"/>
          <w:szCs w:val="20"/>
          <w:color w:val="auto"/>
        </w:rPr>
      </w:pPr>
      <w:r>
        <w:rPr>
          <w:rFonts w:ascii="Arial" w:cs="Arial" w:eastAsia="Arial" w:hAnsi="Arial"/>
          <w:sz w:val="15"/>
          <w:szCs w:val="15"/>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or PV, systems and wind turbines. We operate in two business segments, which we refer to as our Energy Management Division and our Engineered Systems Division.</w:t>
      </w:r>
    </w:p>
    <w:p>
      <w:pPr>
        <w:spacing w:after="0" w:line="95" w:lineRule="exact"/>
        <w:rPr>
          <w:sz w:val="20"/>
          <w:szCs w:val="20"/>
          <w:color w:val="auto"/>
        </w:rPr>
      </w:pPr>
    </w:p>
    <w:p>
      <w:pPr>
        <w:ind w:right="180" w:firstLine="457"/>
        <w:spacing w:after="0" w:line="302" w:lineRule="auto"/>
        <w:rPr>
          <w:sz w:val="20"/>
          <w:szCs w:val="20"/>
          <w:color w:val="auto"/>
        </w:rPr>
      </w:pPr>
      <w:r>
        <w:rPr>
          <w:rFonts w:ascii="Arial" w:cs="Arial" w:eastAsia="Arial" w:hAnsi="Arial"/>
          <w:sz w:val="15"/>
          <w:szCs w:val="15"/>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02"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We have sold and installed more than 2,232,000 of our HIF lighting systems in over 7,673 facilities from December 1, 2001 through December 31, 2011. We have sold our products to 139 Fortune 500 companies, many of which have installed our HIF lighting systems in multiple facilities. Our top direct customers by revenue in fiscal 2011 included Coca-Cola Enterprises Inc., U.S. Foodservice, SYSCO Corp., Ball Corporation, MillerCoors and Pepsico, Inc. and its affiliates.</w:t>
      </w:r>
    </w:p>
    <w:p>
      <w:pPr>
        <w:spacing w:after="0" w:line="113" w:lineRule="exact"/>
        <w:rPr>
          <w:sz w:val="20"/>
          <w:szCs w:val="20"/>
          <w:color w:val="auto"/>
        </w:rPr>
      </w:pPr>
    </w:p>
    <w:p>
      <w:pPr>
        <w:ind w:right="160" w:firstLine="457"/>
        <w:spacing w:after="0" w:line="260" w:lineRule="auto"/>
        <w:rPr>
          <w:sz w:val="20"/>
          <w:szCs w:val="20"/>
          <w:color w:val="auto"/>
        </w:rPr>
      </w:pPr>
      <w:r>
        <w:rPr>
          <w:rFonts w:ascii="Arial" w:cs="Arial" w:eastAsia="Arial" w:hAnsi="Arial"/>
          <w:sz w:val="17"/>
          <w:szCs w:val="17"/>
          <w:color w:val="auto"/>
        </w:rPr>
        <w:t>Our fiscal year ends on March 31. We call our prior fiscal year which ended on March 31, 2011, “fiscal 2011”. We call our current fiscal year, which will end on March 31, 2012, “fiscal 2012.” Our fiscal first quarter ended on June 30, our fiscal second quarter ended on September 30, our fiscal third quarter ended on December 31 and our fiscal fourth quarter ends on March 31.</w:t>
      </w:r>
    </w:p>
    <w:p>
      <w:pPr>
        <w:spacing w:after="0" w:line="131"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Because of the recessed state of the global economy, especially as it impacted capital equipment manufacturers, our results for the first half of fiscal 2011 were impacted by lengthened customer sales cycles and sluggish customer capital spending. During the second half of fiscal 2011 and the first nine months of fiscal 2012, capital equipment purchases were slightly improved and we continue to remain optimistic regarding customer behaviors for the remainder of fiscal year 2012. To address these difficult economic conditions, we implemented $3.2 million of annualized cost reductions during the first quarter of fiscal 2010. These cost containment initiatives included reductions related to headcount, work hours and discretionary spending and began to show results in the second half of fiscal 2010 and the first half of fiscal 2011. During the second quarter of fiscal 2011, we identified an additional $1 million of annualized cost reductions related to decreased product costs, improved manufacturing efficiencies and reduced operating expenses. We realized these cost reductions beginning during the fiscal 2011 third quarter through reduction in general and administrative expenses and improved product margins for our HIF lighting systems.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67" w:right="239" w:bottom="1440" w:gutter="0" w:footer="0" w:header="0"/>
        </w:sectPr>
      </w:pPr>
    </w:p>
    <w:bookmarkStart w:id="21" w:name="page22"/>
    <w:bookmarkEnd w:id="21"/>
    <w:p>
      <w:pPr>
        <w:ind w:right="100" w:firstLine="457"/>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Despite these recent economic challenges, we remain optimistic about our near-term and long-term financial performance. Our near-term optimism is based upon our record level of revenue in fiscal 2011 along with our return to profitability, our record level of order backlog heading into the fourth quarter of fiscal 2012, the increasing volume of unit sales in the first nine months of fiscal 2012 of our new products, specifically our exterior HIF fixtures, InteLite wireless dynamic controls, and our Apollo light pipes, and our cost reduction plans completed during fiscal 2011. Our long-term optimism is based upon the considerable size of the existing market opportunity for lighting retrofits, the continued development of our new products and product enhancements, the opportunity for additional revenue from sales of renewable technologies through our Orion Engineered Systems Division, the opportunity for our participation in the replacement part aftermarket and the increasing national recognition of the importance of environmental stewardship, including legislation in the State of Wisconsin passed in fiscal 2011 that recognized our solar Apollo light pipe as a renewable product offering and qualified it for incentives currently offered to other renewable technologies.</w:t>
      </w:r>
    </w:p>
    <w:p>
      <w:pPr>
        <w:spacing w:after="0" w:line="114"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In August 2009, we created Orion Engineered Systems, a new operating division which has been offering our customers additional alternative renewable energy systems. In fiscal 2010, we sold and installed three solar PV electricity generating projects, completing our test analysis on two of the three in the fiscal 2010 third quarter, and executed our first cash sale and our first power purchase agreement, or PPA, as a result of the successful testing of these systems. We completed the installation and customer acceptance of the third system, a cash sale, during our fiscal 2011 first quarter. During our fiscal 2011 second quarter, we received an $8.3 million cash order for a solar PV generating system for which we recognized revenue in fiscal 2012.</w:t>
      </w:r>
    </w:p>
    <w:p>
      <w:pPr>
        <w:spacing w:after="0" w:line="120" w:lineRule="exact"/>
        <w:rPr>
          <w:sz w:val="20"/>
          <w:szCs w:val="20"/>
          <w:color w:val="auto"/>
        </w:rPr>
      </w:pPr>
    </w:p>
    <w:p>
      <w:pPr>
        <w:ind w:right="60" w:firstLine="457"/>
        <w:spacing w:after="0" w:line="284" w:lineRule="auto"/>
        <w:rPr>
          <w:sz w:val="20"/>
          <w:szCs w:val="20"/>
          <w:color w:val="auto"/>
        </w:rPr>
      </w:pPr>
      <w:r>
        <w:rPr>
          <w:rFonts w:ascii="Arial" w:cs="Arial" w:eastAsia="Arial" w:hAnsi="Arial"/>
          <w:sz w:val="16"/>
          <w:szCs w:val="16"/>
          <w:color w:val="auto"/>
        </w:rPr>
        <w:t>During our fiscal 2011 third quarter, we introduced the presentation of operating segments. We now report our Energy Management and Engineered Systems groups as separate segments. Our Energy Management division develops, manufactures, integrates and sells commercial high intensity fluorescent, or HIF, lighting systems and energy management systems. Our Engineered Systems division sells and integrates alternative renewable energy systems.</w:t>
      </w:r>
    </w:p>
    <w:p>
      <w:pPr>
        <w:spacing w:after="0" w:line="113"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In response to the constraints on our customers’ capital spending budgets, we have more aggressively promoted the advantages to our customers of purchasing our energy management systems through our Orion Throughput Agreement, or OTA, financing program. Our OTA financing program provides for our customer’s purchase of our energy management systems without an up-front capital outlay. The OTA contracts under this sales-type financing are either structured with a fixed term, typically 60 months, and a bargain purchase option at the end of the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energy management systems under our OTA financing program is fixed and is based on the cost of the energy management system and applicable profit margin. Our revenue from agreements entered into under this program is not dependent upon our customers’ actual energy savings. During the third quarter of fiscal 2012, we entered into an arrangement with a national equipment finance company to provide immediate non-recourse funding of pre-credit approved OTA finance contracts upon project completion and customer acceptance. We have now secured multiple funding sources for our OTA projects. We expect that the number of customers who choose to purchase our systems by using our OTA financing program will continue to increase in future periods.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and Expense Components</w:t>
      </w:r>
    </w:p>
    <w:p>
      <w:pPr>
        <w:spacing w:after="0" w:line="89" w:lineRule="exact"/>
        <w:rPr>
          <w:sz w:val="20"/>
          <w:szCs w:val="20"/>
          <w:color w:val="auto"/>
        </w:rPr>
      </w:pPr>
    </w:p>
    <w:p>
      <w:pPr>
        <w:ind w:right="40" w:firstLine="457"/>
        <w:spacing w:after="0" w:line="288"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We sell our energy management products and services directly to commercial and industrial customers, and indirectly to end users through wholesale sales</w:t>
      </w:r>
      <w:r>
        <w:rPr>
          <w:rFonts w:ascii="Arial" w:cs="Arial" w:eastAsia="Arial" w:hAnsi="Arial"/>
          <w:sz w:val="15"/>
          <w:szCs w:val="15"/>
          <w:i w:val="1"/>
          <w:iCs w:val="1"/>
          <w:color w:val="auto"/>
        </w:rPr>
        <w:t xml:space="preserve"> </w:t>
      </w:r>
      <w:r>
        <w:rPr>
          <w:rFonts w:ascii="Arial" w:cs="Arial" w:eastAsia="Arial" w:hAnsi="Arial"/>
          <w:sz w:val="15"/>
          <w:szCs w:val="15"/>
          <w:color w:val="auto"/>
        </w:rPr>
        <w:t>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service revenues are recognized when services are complete and customer acceptance has been received. In fiscal 2011, we increased our efforts to expand our value-added reseller channels, including through developing a partner standard operating procedural kit, providing our partners with product marketing materials and providing training to channel partners on our sales methodologies. These wholesale channels accounted for approximately 53% of our total revenue in fiscal 2011, not taking into consideration our renewable technologies revenue generated through our Orion Engineered Systems Division. During the first nine months of fiscal 2012, wholesale revenues accounted for approximately 64% of our total revenue, not taking into consideration our renewable technologies revenue generated through our Orion Engineered Systems Division, compared to 51% for the first nine months of fiscal 2011. We are changing the manner in which we sell our solar PV systems. Instead of reselling the solar PV equipment from a solar PV equipment manufacturer, we are encouraging our customers to purchase their solar PV systems directly from the manufacturer, while we provide the value-added installation and integration services. This change in approach is expected to result in reduced revenue from solar orders, but is expected to result in improved gross margins as discussed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1" w:right="239" w:bottom="1440" w:gutter="0" w:footer="0" w:header="0"/>
        </w:sectPr>
      </w:pPr>
    </w:p>
    <w:bookmarkStart w:id="22" w:name="page23"/>
    <w:bookmarkEnd w:id="22"/>
    <w:p>
      <w:pPr>
        <w:ind w:right="240" w:firstLine="457"/>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Additionally, we offer our OTA sales-type financing program under which we finance the customer’s purchase of our energy management systems. We recognize revenue from OTA contracts at the net present value of the future cash flows at the completion date of the installation of the energy management systems and the customer’s acknowledgement that the system is operating as specified.</w:t>
      </w:r>
    </w:p>
    <w:p>
      <w:pPr>
        <w:spacing w:after="0" w:line="131" w:lineRule="exact"/>
        <w:rPr>
          <w:sz w:val="20"/>
          <w:szCs w:val="20"/>
          <w:color w:val="auto"/>
        </w:rPr>
      </w:pPr>
    </w:p>
    <w:p>
      <w:pPr>
        <w:ind w:right="180" w:firstLine="457"/>
        <w:spacing w:after="0" w:line="311" w:lineRule="auto"/>
        <w:rPr>
          <w:sz w:val="20"/>
          <w:szCs w:val="20"/>
          <w:color w:val="auto"/>
        </w:rPr>
      </w:pPr>
      <w:r>
        <w:rPr>
          <w:rFonts w:ascii="Arial" w:cs="Arial" w:eastAsia="Arial" w:hAnsi="Arial"/>
          <w:sz w:val="15"/>
          <w:szCs w:val="15"/>
          <w:color w:val="auto"/>
        </w:rPr>
        <w:t>In fiscal 2011, we recognized $10.7 million of revenue from 127 completed OTA contracts. For the three months ended December 31, 2011, we recognized $2.5 million of revenue from 29 completed contracts. For the nine months ended December 31, 2011, we recognized $9.1 million of revenue from 111 completed contracts. In the future, we expect an increase in the volume of OTA contracts as our customers take advantage of the value proposition without incurring any up-front capital cost.</w:t>
      </w:r>
    </w:p>
    <w:p>
      <w:pPr>
        <w:spacing w:after="0" w:line="95"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For sales of solar photovoltaic systems, which are governed by customer contracts that require the Company to deliver functioning solar power systems and are generally completed within three to 15 months, the Company recognizes revenue from fixed price construction contracts using the percentage-of-completion method in accordance with ASC 605-35, Construction-Type and Production-Type Contracts.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28"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2011, we recognized $0.4 million of revenue from completed PPAs. In the first nine months of fiscal 2012, we recognized $0.5 million of revenue from completed PPAs. As of December 31, 2011, we had signed one customer to two separate PPAs representing future potential discounted revenue streams of $3.2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December 31, 2011 (in thousands):</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Fiscal 2012</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Fiscal 2013</w:t>
            </w: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646</w:t>
            </w:r>
          </w:p>
        </w:tc>
        <w:tc>
          <w:tcPr>
            <w:tcW w:w="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Fiscal 2014</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Fiscal 2015</w:t>
            </w: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436</w:t>
            </w:r>
          </w:p>
        </w:tc>
        <w:tc>
          <w:tcPr>
            <w:tcW w:w="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Fiscal 2016</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Beyond</w:t>
            </w:r>
          </w:p>
        </w:tc>
        <w:tc>
          <w:tcPr>
            <w:tcW w:w="1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1,027</w:t>
            </w:r>
          </w:p>
        </w:tc>
        <w:tc>
          <w:tcPr>
            <w:tcW w:w="6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Total expected future discounted revenue from PPAs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3,211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We recognize revenue on product only sales at the time of shipment. For projects consisting of multiple elements of revenue, such as a combination of product sales and services, we recognize revenue by allocating the total contract revenue to each element based on their relative selling prices. We determine the selling price of products based upon the price charged when these products are sold separately. For services, we determine the selling price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271" w:right="239" w:bottom="1440" w:gutter="0" w:footer="0" w:header="0"/>
        </w:sectPr>
      </w:pPr>
    </w:p>
    <w:bookmarkStart w:id="23" w:name="page24"/>
    <w:bookmarkEnd w:id="23"/>
    <w:p>
      <w:pPr>
        <w:ind w:right="100" w:firstLine="457"/>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Our dependence on individual key customers can vary from period to period as a result of the significant size of some of our retrofit and multi-facility roll-out projects. Our top 10 customers accounted for approximately 30% and 45% of our total revenue for the first nine months of fiscal 2011 and fiscal 2012, respectively. No customers accounted for more than 10% of our revenue in the first nine months of fiscal 2011 and two customers accounted for more than 10% of our total revenue in the first nine months of fiscal 2012. To the extent that large retrofit and roll-out projects and/or large solar projects or solar roll-outs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06"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Our level of total revenue for any given period is dependent upon a number of factors, including (i) the demand for our products and systems, including our OTA and PPA programs and any new products, applications and service that we may introduce through our Orion Engineered Systems division; (ii) the number and timing of large retrofit and multi-facility retrofit, or “roll-out,” projects; (iii) the level of our wholesale sales; (iv) our ability to realize revenue from our services; (v) market conditions; (vi) our execution of our sales process; (vii) our ability to compete in a highly competitive market and our ability to respond successfully to market competition;</w:t>
      </w:r>
    </w:p>
    <w:p>
      <w:pPr>
        <w:spacing w:after="0" w:line="2" w:lineRule="exact"/>
        <w:rPr>
          <w:sz w:val="20"/>
          <w:szCs w:val="20"/>
          <w:color w:val="auto"/>
        </w:rPr>
      </w:pPr>
    </w:p>
    <w:p>
      <w:pPr>
        <w:ind w:firstLine="2"/>
        <w:spacing w:after="0" w:line="328" w:lineRule="auto"/>
        <w:tabs>
          <w:tab w:leader="none" w:pos="373"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selling price of our products and services; (ix) changes in capital investment levels by our customers and prospects; and (x) customer sales and budget cycles. As a result, our total revenue may be subject to quarterly variations and our total revenue for any particular fiscal quarter may not be indicative of future results.</w:t>
      </w:r>
    </w:p>
    <w:p>
      <w:pPr>
        <w:spacing w:after="0" w:line="83" w:lineRule="exact"/>
        <w:rPr>
          <w:sz w:val="20"/>
          <w:szCs w:val="20"/>
          <w:color w:val="auto"/>
        </w:rPr>
      </w:pPr>
    </w:p>
    <w:p>
      <w:pPr>
        <w:ind w:right="20" w:firstLine="457"/>
        <w:spacing w:after="0" w:line="289" w:lineRule="auto"/>
        <w:rPr>
          <w:sz w:val="20"/>
          <w:szCs w:val="20"/>
          <w:color w:val="auto"/>
        </w:rPr>
      </w:pPr>
      <w:r>
        <w:rPr>
          <w:rFonts w:ascii="Arial" w:cs="Arial" w:eastAsia="Arial" w:hAnsi="Arial"/>
          <w:sz w:val="15"/>
          <w:szCs w:val="15"/>
          <w:i w:val="1"/>
          <w:iCs w:val="1"/>
          <w:color w:val="auto"/>
        </w:rPr>
        <w:t xml:space="preserve">Backlog. </w:t>
      </w:r>
      <w:r>
        <w:rPr>
          <w:rFonts w:ascii="Arial" w:cs="Arial" w:eastAsia="Arial" w:hAnsi="Arial"/>
          <w:sz w:val="15"/>
          <w:szCs w:val="15"/>
          <w:color w:val="auto"/>
        </w:rPr>
        <w:t>We define backlog as the total contractual value of all firm orders and OTA contracts received for our lighting products and services where delivery of</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December 31, 2011, we had a backlog of firm purchase orders of approximately $50.6 million, which included $44.4 million of solar PV orders, compared to $23.6 million as of September 30, 2011, which included $16.5 million of solar PV orders. We currently expect approximately $9.9 million of our backlog to be recognized as revenue in our fiscal 2012 fourth quarter. We expect approximately $22.4 million of our backlog to be recognized in fiscal 2013 and the remainder in future years. We generally expect this level of firm purchase order backlog related to HIF lighting systems to be converted into revenue within the following quarter. We generally expect our firm purchase order backlog related to solar PV systems to be recognized within the following three to 15 months, although during the third quarter of fiscal 2012 we received an $18.3 million single order for which the solar PV system construction will not begin until our fiscal 2014. Principally as a result of the increased volume of our solar PV orders, the continued lengthening of our customer’s purchasing decisions because of current recessed economic conditions and related factors, the continued shortening of our installation cycles and the number of projects sold through OTAs, a comparison of backlog from period to period is not necessarily meaningful and may not be indicative of actual revenue recognized in future periods.</w:t>
      </w:r>
    </w:p>
    <w:p>
      <w:pPr>
        <w:spacing w:after="0" w:line="111"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Our total cost of revenue consists of costs for: (i) raw materials, including sheet, coiled and specialty reflective aluminum; (ii) electrical</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27% of our total cost of revenue for the first nine months of fiscal 2012 and were 29% of our total cost of revenue for the first nine months of fiscal 2011. Our cost of revenue from OTA projects is recorded upon customer acceptance and acknowledgement that the system is operating as specified. Our production labor force is non-union and, as a result, our production labor costs have been relatively stable. We have been expanding our network of qualified third-party installers to realize efficiencies in the installation process.</w:t>
      </w:r>
    </w:p>
    <w:p>
      <w:pPr>
        <w:spacing w:after="0" w:line="115" w:lineRule="exact"/>
        <w:rPr>
          <w:sz w:val="20"/>
          <w:szCs w:val="20"/>
          <w:color w:val="auto"/>
        </w:rPr>
      </w:pPr>
    </w:p>
    <w:p>
      <w:pPr>
        <w:ind w:right="20" w:firstLine="457"/>
        <w:spacing w:after="0" w:line="285"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Our gross profit has been, and will continue to be, affected by the relative levels of our total revenue and our total cost of revenue, and as a result, our</w:t>
      </w:r>
      <w:r>
        <w:rPr>
          <w:rFonts w:ascii="Arial" w:cs="Arial" w:eastAsia="Arial" w:hAnsi="Arial"/>
          <w:sz w:val="15"/>
          <w:szCs w:val="15"/>
          <w:i w:val="1"/>
          <w:iCs w:val="1"/>
          <w:color w:val="auto"/>
        </w:rPr>
        <w:t xml:space="preserve"> </w:t>
      </w:r>
      <w:r>
        <w:rPr>
          <w:rFonts w:ascii="Arial" w:cs="Arial" w:eastAsia="Arial" w:hAnsi="Arial"/>
          <w:sz w:val="15"/>
          <w:szCs w:val="15"/>
          <w:color w:val="auto"/>
        </w:rPr>
        <w:t>gross profit may be subject to quarterly variation. Our gross profit as a percentage of total revenue, or gross margin, is affected by a number of factors, including: (i) our level of solar PV sales which generally have substantially lower relative gross margins than our traditional energy management systems; (ii) our mix of large retrofit and multi-facility roll-out projects with national accounts; (iii) the level of our wholesale and partner sales (which generally have historically resulted in lower relative gross margins, but higher relative net margins, than our sales to direct customers); (iv) our realization rate on our billable services; (v) our project pricing; (vi) our level of warranty claims; (vii) our level of utilization of our manufacturing facilities and production equipment and related absorption of our manufacturing overhead costs;</w:t>
      </w:r>
    </w:p>
    <w:p>
      <w:pPr>
        <w:spacing w:after="0" w:line="4" w:lineRule="exact"/>
        <w:rPr>
          <w:sz w:val="20"/>
          <w:szCs w:val="20"/>
          <w:color w:val="auto"/>
        </w:rPr>
      </w:pPr>
    </w:p>
    <w:p>
      <w:pPr>
        <w:ind w:right="100" w:firstLine="2"/>
        <w:spacing w:after="0" w:line="254" w:lineRule="auto"/>
        <w:tabs>
          <w:tab w:leader="none" w:pos="373"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level of efficiencies in our manufacturing operations; and (ix) our level of efficiencies from our subcontracted installation service providers. We are changing the manner in which we sell our solar PV systems. Instead of reselling the solar PV equipment obtained from a solar PV equipment manufacturer, we are encouraging our customers to purchase their solar PV systems directly from the manufacturer, while we provide the value-added installation and integration services. This change in approach is expected to result in increased solar PV gross margins.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1" w:right="239" w:bottom="1440" w:gutter="0" w:footer="0" w:header="0"/>
        </w:sectPr>
      </w:pPr>
    </w:p>
    <w:bookmarkStart w:id="24" w:name="page25"/>
    <w:bookmarkEnd w:id="24"/>
    <w:p>
      <w:pPr>
        <w:ind w:right="100" w:firstLine="457"/>
        <w:spacing w:after="0" w:line="26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Operating Expenses. </w:t>
      </w:r>
      <w:r>
        <w:rPr>
          <w:rFonts w:ascii="Arial" w:cs="Arial" w:eastAsia="Arial" w:hAnsi="Arial"/>
          <w:sz w:val="17"/>
          <w:szCs w:val="17"/>
          <w:color w:val="auto"/>
        </w:rPr>
        <w:t>Our operating expenses consist of: (i) general and administrative expenses; (ii) sales and marketing expenses; and (iii)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expenses. Personnel related costs are our largest operating expense. In fiscal 2012, we are increasing personnel in our sales areas for telemarketing and direct sales employees as we believe that future opportunities within our business remain strong.</w:t>
      </w:r>
    </w:p>
    <w:p>
      <w:pPr>
        <w:spacing w:after="0" w:line="131"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bad debt and asset impairment charges; and (vii) corporate-related travel.</w:t>
      </w:r>
    </w:p>
    <w:p>
      <w:pPr>
        <w:spacing w:after="0" w:line="133" w:lineRule="exact"/>
        <w:rPr>
          <w:sz w:val="20"/>
          <w:szCs w:val="20"/>
          <w:color w:val="auto"/>
        </w:rPr>
      </w:pPr>
    </w:p>
    <w:p>
      <w:pPr>
        <w:jc w:val="both"/>
        <w:ind w:right="160" w:firstLine="457"/>
        <w:spacing w:after="0" w:line="260" w:lineRule="auto"/>
        <w:rPr>
          <w:sz w:val="20"/>
          <w:szCs w:val="20"/>
          <w:color w:val="auto"/>
        </w:rPr>
      </w:pPr>
      <w:r>
        <w:rPr>
          <w:rFonts w:ascii="Arial" w:cs="Arial" w:eastAsia="Arial" w:hAnsi="Arial"/>
          <w:sz w:val="17"/>
          <w:szCs w:val="17"/>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131" w:lineRule="exact"/>
        <w:rPr>
          <w:sz w:val="20"/>
          <w:szCs w:val="20"/>
          <w:color w:val="auto"/>
        </w:rPr>
      </w:pPr>
    </w:p>
    <w:p>
      <w:pPr>
        <w:ind w:right="380" w:firstLine="457"/>
        <w:spacing w:after="0" w:line="377" w:lineRule="auto"/>
        <w:rPr>
          <w:sz w:val="20"/>
          <w:szCs w:val="20"/>
          <w:color w:val="auto"/>
        </w:rPr>
      </w:pPr>
      <w:r>
        <w:rPr>
          <w:rFonts w:ascii="Arial" w:cs="Arial" w:eastAsia="Arial" w:hAnsi="Arial"/>
          <w:sz w:val="13"/>
          <w:szCs w:val="13"/>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61"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In fiscal 2011 and continuing in the first nine months of fiscal 2012, we invested in marketing efforts to our direct end customers and to our channel partners through increasing advertising, marketing collateral materials and participating in national industry and customer trade shows. We expense all pre-sale costs incurred in connection with our sales process prior to obtaining a purchase order. These pre-sale costs may reduce our net income in a given period prior to recognizing any corresponding revenue. We also intend to continue investing in our research and development of new and enhanced energy management products and services.</w:t>
      </w:r>
    </w:p>
    <w:p>
      <w:pPr>
        <w:spacing w:after="0" w:line="102" w:lineRule="exact"/>
        <w:rPr>
          <w:sz w:val="20"/>
          <w:szCs w:val="20"/>
          <w:color w:val="auto"/>
        </w:rPr>
      </w:pPr>
    </w:p>
    <w:p>
      <w:pPr>
        <w:ind w:right="60" w:firstLine="457"/>
        <w:spacing w:after="0" w:line="295" w:lineRule="auto"/>
        <w:rPr>
          <w:sz w:val="20"/>
          <w:szCs w:val="20"/>
          <w:color w:val="auto"/>
        </w:rPr>
      </w:pPr>
      <w:r>
        <w:rPr>
          <w:rFonts w:ascii="Arial" w:cs="Arial" w:eastAsia="Arial" w:hAnsi="Arial"/>
          <w:sz w:val="15"/>
          <w:szCs w:val="15"/>
          <w:color w:val="auto"/>
        </w:rPr>
        <w:t>We recognize compensation expense for the fair value of our stock option awards granted over their related vesting period. We recognized $1.0 million for the first nine months of fiscal 2012 and $0.9 million for the first nine months of fiscal 2011. As a result of prior option grants, we expect to recognize an additional $3.4 million of stock-based compensation over a weighted average period of approximately seven years, including $0.3 million over the remaining quarter of fiscal 2012.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06" w:lineRule="exact"/>
        <w:rPr>
          <w:sz w:val="20"/>
          <w:szCs w:val="20"/>
          <w:color w:val="auto"/>
        </w:rPr>
      </w:pPr>
    </w:p>
    <w:p>
      <w:pPr>
        <w:ind w:right="100" w:firstLine="457"/>
        <w:spacing w:after="0" w:line="260"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Our interest expense is comprised primarily of interest expense on outstanding borrowings under long-term debt obligations,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of previously incurred financing costs. We amortize deferred financing costs to interest expense over the life of the related debt instrument, ranging from two to ten years.</w:t>
      </w:r>
    </w:p>
    <w:p>
      <w:pPr>
        <w:spacing w:after="0" w:line="131" w:lineRule="exact"/>
        <w:rPr>
          <w:sz w:val="20"/>
          <w:szCs w:val="20"/>
          <w:color w:val="auto"/>
        </w:rPr>
      </w:pPr>
    </w:p>
    <w:p>
      <w:pPr>
        <w:ind w:right="380" w:firstLine="457"/>
        <w:spacing w:after="0" w:line="270"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We report interest income earned on our cash and cash equivalents and short term investments. We also report interest income earned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financed OTA contracts.</w:t>
      </w:r>
    </w:p>
    <w:p>
      <w:pPr>
        <w:spacing w:after="0" w:line="122"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December 31, 2011, we had net operating loss carryforwards of approximately $5.9 million for federal tax purposes and $4.4 million for state</w:t>
      </w:r>
      <w:r>
        <w:rPr>
          <w:rFonts w:ascii="Arial" w:cs="Arial" w:eastAsia="Arial" w:hAnsi="Arial"/>
          <w:sz w:val="16"/>
          <w:szCs w:val="16"/>
          <w:i w:val="1"/>
          <w:iCs w:val="1"/>
          <w:color w:val="auto"/>
        </w:rPr>
        <w:t xml:space="preserve"> </w:t>
      </w:r>
      <w:r>
        <w:rPr>
          <w:rFonts w:ascii="Arial" w:cs="Arial" w:eastAsia="Arial" w:hAnsi="Arial"/>
          <w:sz w:val="16"/>
          <w:szCs w:val="16"/>
          <w:color w:val="auto"/>
        </w:rPr>
        <w:t>tax purposes. Included in these loss carryforwards were $2.2 million for federal and $1.9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$1.0 million and state credit carryforwards of approximately $0.6 million. A full valuation allowance has been set up for the state tax credits. We believe it is more likely than not that we will realize the benefits of most of these assets and we have reserved for an allowance due to our state apportioned income and the potential expiration of the state tax credits due to the carryforward period. These federal and state net operating losses and credit carryforwards are available, subject to the discussion in the following paragraph, to offset future taxable income and, if not utilized, will begin to expire in varying amounts between 2014 and 2030.</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71" w:right="239" w:bottom="1440" w:gutter="0" w:footer="0" w:header="0"/>
        </w:sectPr>
      </w:pPr>
    </w:p>
    <w:bookmarkStart w:id="25" w:name="page26"/>
    <w:bookmarkEnd w:id="25"/>
    <w:p>
      <w:pPr>
        <w:ind w:right="140" w:firstLine="457"/>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For fiscal year 2008, utilization of our federal loss carryforwards was limited to $3.0 million. There was no limitation that occurred for fiscal 2010 or fiscal 2011. For fiscal 2012, we do not anticipate a limitation on the use of our net operating loss carryforwards.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89" w:lineRule="exact"/>
        <w:rPr>
          <w:sz w:val="20"/>
          <w:szCs w:val="20"/>
          <w:color w:val="auto"/>
        </w:rPr>
      </w:pPr>
    </w:p>
    <w:p>
      <w:pPr>
        <w:ind w:right="160" w:firstLine="457"/>
        <w:spacing w:after="0" w:line="427" w:lineRule="auto"/>
        <w:rPr>
          <w:sz w:val="20"/>
          <w:szCs w:val="20"/>
          <w:color w:val="auto"/>
        </w:rPr>
      </w:pPr>
      <w:r>
        <w:rPr>
          <w:rFonts w:ascii="Arial" w:cs="Arial" w:eastAsia="Arial" w:hAnsi="Arial"/>
          <w:sz w:val="13"/>
          <w:szCs w:val="13"/>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7"/>
          </w:tcPr>
          <w:p>
            <w:pPr>
              <w:jc w:val="right"/>
              <w:ind w:right="240"/>
              <w:spacing w:after="0"/>
              <w:rPr>
                <w:sz w:val="20"/>
                <w:szCs w:val="20"/>
                <w:color w:val="auto"/>
              </w:rPr>
            </w:pPr>
            <w:r>
              <w:rPr>
                <w:rFonts w:ascii="Arial" w:cs="Arial" w:eastAsia="Arial" w:hAnsi="Arial"/>
                <w:sz w:val="13"/>
                <w:szCs w:val="13"/>
                <w:b w:val="1"/>
                <w:bCs w:val="1"/>
                <w:color w:val="auto"/>
                <w:w w:val="89"/>
              </w:rPr>
              <w:t>Three Months Ended December 31,</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00" w:type="dxa"/>
            <w:vAlign w:val="bottom"/>
            <w:gridSpan w:val="8"/>
          </w:tcPr>
          <w:p>
            <w:pPr>
              <w:jc w:val="right"/>
              <w:ind w:right="300"/>
              <w:spacing w:after="0"/>
              <w:rPr>
                <w:sz w:val="20"/>
                <w:szCs w:val="20"/>
                <w:color w:val="auto"/>
              </w:rPr>
            </w:pPr>
            <w:r>
              <w:rPr>
                <w:rFonts w:ascii="Arial" w:cs="Arial" w:eastAsia="Arial" w:hAnsi="Arial"/>
                <w:sz w:val="13"/>
                <w:szCs w:val="13"/>
                <w:b w:val="1"/>
                <w:bCs w:val="1"/>
                <w:color w:val="auto"/>
                <w:w w:val="94"/>
              </w:rPr>
              <w:t>Nine Months Ended December 31,</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3"/>
                <w:szCs w:val="13"/>
                <w:b w:val="1"/>
                <w:bCs w:val="1"/>
                <w:color w:val="auto"/>
              </w:rPr>
              <w:t>2010</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2011</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2010</w:t>
            </w:r>
          </w:p>
        </w:tc>
        <w:tc>
          <w:tcPr>
            <w:tcW w:w="7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2011</w:t>
            </w: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right"/>
              <w:ind w:right="203"/>
              <w:spacing w:after="0" w:line="121"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99"/>
              <w:spacing w:after="0" w:line="121"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99"/>
              <w:spacing w:after="0" w:line="121"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99"/>
              <w:spacing w:after="0" w:line="121"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Revenue</w:t>
            </w:r>
          </w:p>
        </w:tc>
        <w:tc>
          <w:tcPr>
            <w:tcW w:w="2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2"/>
              </w:rPr>
              <w:t>Revenue</w:t>
            </w:r>
          </w:p>
        </w:tc>
        <w:tc>
          <w:tcPr>
            <w:tcW w:w="2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5"/>
              </w:rPr>
              <w:t>Revenue</w:t>
            </w:r>
          </w:p>
        </w:tc>
        <w:tc>
          <w:tcPr>
            <w:tcW w:w="2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2"/>
              </w:rPr>
              <w:t>Revenue</w:t>
            </w:r>
          </w:p>
        </w:tc>
        <w:tc>
          <w:tcPr>
            <w:tcW w:w="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Change</w:t>
            </w:r>
          </w:p>
        </w:tc>
        <w:tc>
          <w:tcPr>
            <w:tcW w:w="2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4"/>
              </w:rPr>
              <w:t>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7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7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w w:val="96"/>
              </w:rPr>
              <w:t>Service revenue</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57"/>
              <w:spacing w:after="0"/>
              <w:rPr>
                <w:sz w:val="20"/>
                <w:szCs w:val="20"/>
                <w:color w:val="auto"/>
              </w:rPr>
            </w:pPr>
            <w:r>
              <w:rPr>
                <w:rFonts w:ascii="Arial" w:cs="Arial" w:eastAsia="Arial" w:hAnsi="Arial"/>
                <w:sz w:val="17"/>
                <w:szCs w:val="17"/>
                <w:color w:val="auto"/>
              </w:rPr>
              <w:t>8.5 %</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3,132</w:t>
            </w: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11.4 %</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55.7 %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7"/>
              <w:spacing w:after="0"/>
              <w:rPr>
                <w:sz w:val="20"/>
                <w:szCs w:val="20"/>
                <w:color w:val="auto"/>
              </w:rPr>
            </w:pPr>
            <w:r>
              <w:rPr>
                <w:rFonts w:ascii="Arial" w:cs="Arial" w:eastAsia="Arial" w:hAnsi="Arial"/>
                <w:sz w:val="17"/>
                <w:szCs w:val="17"/>
                <w:color w:val="auto"/>
              </w:rPr>
              <w:t>7.1 %</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7,356</w:t>
            </w:r>
          </w:p>
        </w:tc>
        <w:tc>
          <w:tcPr>
            <w:tcW w:w="120" w:type="dxa"/>
            <w:vAlign w:val="bottom"/>
          </w:tcPr>
          <w:p>
            <w:pPr>
              <w:spacing w:after="0"/>
              <w:rPr>
                <w:sz w:val="17"/>
                <w:szCs w:val="17"/>
                <w:color w:val="auto"/>
              </w:rPr>
            </w:pPr>
          </w:p>
        </w:tc>
        <w:tc>
          <w:tcPr>
            <w:tcW w:w="940" w:type="dxa"/>
            <w:vAlign w:val="bottom"/>
            <w:gridSpan w:val="2"/>
          </w:tcPr>
          <w:p>
            <w:pPr>
              <w:jc w:val="right"/>
              <w:ind w:right="17"/>
              <w:spacing w:after="0"/>
              <w:rPr>
                <w:sz w:val="20"/>
                <w:szCs w:val="20"/>
                <w:color w:val="auto"/>
              </w:rPr>
            </w:pPr>
            <w:r>
              <w:rPr>
                <w:rFonts w:ascii="Arial" w:cs="Arial" w:eastAsia="Arial" w:hAnsi="Arial"/>
                <w:sz w:val="17"/>
                <w:szCs w:val="17"/>
                <w:color w:val="auto"/>
              </w:rPr>
              <w:t>9.3 %</w:t>
            </w:r>
          </w:p>
        </w:tc>
        <w:tc>
          <w:tcPr>
            <w:tcW w:w="1080" w:type="dxa"/>
            <w:vAlign w:val="bottom"/>
            <w:gridSpan w:val="2"/>
          </w:tcPr>
          <w:p>
            <w:pPr>
              <w:jc w:val="right"/>
              <w:ind w:right="57"/>
              <w:spacing w:after="0"/>
              <w:rPr>
                <w:sz w:val="20"/>
                <w:szCs w:val="20"/>
                <w:color w:val="auto"/>
              </w:rPr>
            </w:pPr>
            <w:r>
              <w:rPr>
                <w:rFonts w:ascii="Arial" w:cs="Arial" w:eastAsia="Arial" w:hAnsi="Arial"/>
                <w:sz w:val="17"/>
                <w:szCs w:val="17"/>
                <w:color w:val="auto"/>
              </w:rPr>
              <w:t>84.0 %</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23,644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100.0 %</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27,406</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100.0 %</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79,102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100.0 %</w:t>
            </w:r>
          </w:p>
        </w:tc>
        <w:tc>
          <w:tcPr>
            <w:tcW w:w="108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40.1 %</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20"/>
                <w:szCs w:val="20"/>
                <w:color w:val="auto"/>
              </w:rPr>
            </w:pPr>
            <w:r>
              <w:rPr>
                <w:rFonts w:ascii="Arial" w:cs="Arial" w:eastAsia="Arial" w:hAnsi="Arial"/>
                <w:sz w:val="17"/>
                <w:szCs w:val="17"/>
                <w:color w:val="auto"/>
              </w:rPr>
              <w:t>Cost of product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200"/>
              <w:spacing w:after="0"/>
              <w:rPr>
                <w:sz w:val="20"/>
                <w:szCs w:val="20"/>
                <w:color w:val="auto"/>
              </w:rPr>
            </w:pPr>
            <w:r>
              <w:rPr>
                <w:rFonts w:ascii="Arial" w:cs="Arial" w:eastAsia="Arial" w:hAnsi="Arial"/>
                <w:sz w:val="17"/>
                <w:szCs w:val="17"/>
                <w:color w:val="auto"/>
              </w:rPr>
              <w:t>revenue</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14,134</w:t>
            </w:r>
          </w:p>
        </w:tc>
        <w:tc>
          <w:tcPr>
            <w:tcW w:w="1140" w:type="dxa"/>
            <w:vAlign w:val="bottom"/>
            <w:gridSpan w:val="3"/>
          </w:tcPr>
          <w:p>
            <w:pPr>
              <w:jc w:val="right"/>
              <w:ind w:right="57"/>
              <w:spacing w:after="0"/>
              <w:rPr>
                <w:sz w:val="20"/>
                <w:szCs w:val="20"/>
                <w:color w:val="auto"/>
              </w:rPr>
            </w:pPr>
            <w:r>
              <w:rPr>
                <w:rFonts w:ascii="Arial" w:cs="Arial" w:eastAsia="Arial" w:hAnsi="Arial"/>
                <w:sz w:val="17"/>
                <w:szCs w:val="17"/>
                <w:color w:val="auto"/>
              </w:rPr>
              <w:t>59.8 %</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17,445</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63.7 %</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34,186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7"/>
              <w:spacing w:after="0"/>
              <w:rPr>
                <w:sz w:val="20"/>
                <w:szCs w:val="20"/>
                <w:color w:val="auto"/>
              </w:rPr>
            </w:pPr>
            <w:r>
              <w:rPr>
                <w:rFonts w:ascii="Arial" w:cs="Arial" w:eastAsia="Arial" w:hAnsi="Arial"/>
                <w:sz w:val="17"/>
                <w:szCs w:val="17"/>
                <w:color w:val="auto"/>
              </w:rPr>
              <w:t>60.5 %</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50,484</w:t>
            </w:r>
          </w:p>
        </w:tc>
        <w:tc>
          <w:tcPr>
            <w:tcW w:w="120" w:type="dxa"/>
            <w:vAlign w:val="bottom"/>
          </w:tcPr>
          <w:p>
            <w:pPr>
              <w:spacing w:after="0"/>
              <w:rPr>
                <w:sz w:val="18"/>
                <w:szCs w:val="18"/>
                <w:color w:val="auto"/>
              </w:rPr>
            </w:pPr>
          </w:p>
        </w:tc>
        <w:tc>
          <w:tcPr>
            <w:tcW w:w="940" w:type="dxa"/>
            <w:vAlign w:val="bottom"/>
            <w:gridSpan w:val="2"/>
          </w:tcPr>
          <w:p>
            <w:pPr>
              <w:jc w:val="right"/>
              <w:ind w:right="17"/>
              <w:spacing w:after="0"/>
              <w:rPr>
                <w:sz w:val="20"/>
                <w:szCs w:val="20"/>
                <w:color w:val="auto"/>
              </w:rPr>
            </w:pPr>
            <w:r>
              <w:rPr>
                <w:rFonts w:ascii="Arial" w:cs="Arial" w:eastAsia="Arial" w:hAnsi="Arial"/>
                <w:sz w:val="17"/>
                <w:szCs w:val="17"/>
                <w:color w:val="auto"/>
              </w:rPr>
              <w:t>63.8 %</w:t>
            </w:r>
          </w:p>
        </w:tc>
        <w:tc>
          <w:tcPr>
            <w:tcW w:w="1080" w:type="dxa"/>
            <w:vAlign w:val="bottom"/>
            <w:gridSpan w:val="2"/>
          </w:tcPr>
          <w:p>
            <w:pPr>
              <w:jc w:val="right"/>
              <w:ind w:right="57"/>
              <w:spacing w:after="0"/>
              <w:rPr>
                <w:sz w:val="20"/>
                <w:szCs w:val="20"/>
                <w:color w:val="auto"/>
              </w:rPr>
            </w:pPr>
            <w:r>
              <w:rPr>
                <w:rFonts w:ascii="Arial" w:cs="Arial" w:eastAsia="Arial" w:hAnsi="Arial"/>
                <w:sz w:val="17"/>
                <w:szCs w:val="17"/>
                <w:color w:val="auto"/>
              </w:rPr>
              <w:t>47.7 %</w:t>
            </w: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1,676</w:t>
            </w:r>
          </w:p>
        </w:tc>
        <w:tc>
          <w:tcPr>
            <w:tcW w:w="1140" w:type="dxa"/>
            <w:vAlign w:val="bottom"/>
            <w:gridSpan w:val="3"/>
            <w:shd w:val="clear" w:color="auto" w:fill="CCEEFF"/>
          </w:tcPr>
          <w:p>
            <w:pPr>
              <w:jc w:val="right"/>
              <w:ind w:right="57"/>
              <w:spacing w:after="0"/>
              <w:rPr>
                <w:sz w:val="20"/>
                <w:szCs w:val="20"/>
                <w:color w:val="auto"/>
              </w:rPr>
            </w:pPr>
            <w:r>
              <w:rPr>
                <w:rFonts w:ascii="Arial" w:cs="Arial" w:eastAsia="Arial" w:hAnsi="Arial"/>
                <w:sz w:val="17"/>
                <w:szCs w:val="17"/>
                <w:color w:val="auto"/>
              </w:rPr>
              <w:t>7.1 %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2,447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5.5 %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5,716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7.2 %</w:t>
            </w:r>
          </w:p>
        </w:tc>
        <w:tc>
          <w:tcPr>
            <w:tcW w:w="108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84.9 %</w:t>
            </w:r>
          </w:p>
        </w:tc>
        <w:tc>
          <w:tcPr>
            <w:tcW w:w="0" w:type="dxa"/>
            <w:vAlign w:val="bottom"/>
          </w:tcPr>
          <w:p>
            <w:pPr>
              <w:spacing w:after="0"/>
              <w:rPr>
                <w:sz w:val="1"/>
                <w:szCs w:val="1"/>
                <w:color w:val="auto"/>
              </w:rPr>
            </w:pPr>
          </w:p>
        </w:tc>
      </w:tr>
      <w:tr>
        <w:trPr>
          <w:trHeight w:val="201"/>
        </w:trPr>
        <w:tc>
          <w:tcPr>
            <w:tcW w:w="1200" w:type="dxa"/>
            <w:vAlign w:val="bottom"/>
          </w:tcPr>
          <w:p>
            <w:pPr>
              <w:spacing w:after="0"/>
              <w:rPr>
                <w:sz w:val="20"/>
                <w:szCs w:val="20"/>
                <w:color w:val="auto"/>
              </w:rPr>
            </w:pPr>
            <w:r>
              <w:rPr>
                <w:rFonts w:ascii="Arial" w:cs="Arial" w:eastAsia="Arial" w:hAnsi="Arial"/>
                <w:sz w:val="17"/>
                <w:szCs w:val="17"/>
                <w:color w:val="auto"/>
              </w:rPr>
              <w:t>Total cost of</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200"/>
              <w:spacing w:after="0"/>
              <w:rPr>
                <w:sz w:val="20"/>
                <w:szCs w:val="20"/>
                <w:color w:val="auto"/>
              </w:rPr>
            </w:pPr>
            <w:r>
              <w:rPr>
                <w:rFonts w:ascii="Arial" w:cs="Arial" w:eastAsia="Arial" w:hAnsi="Arial"/>
                <w:sz w:val="17"/>
                <w:szCs w:val="17"/>
                <w:color w:val="auto"/>
              </w:rPr>
              <w:t>revenue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15,810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57"/>
              <w:spacing w:after="0"/>
              <w:rPr>
                <w:sz w:val="20"/>
                <w:szCs w:val="20"/>
                <w:color w:val="auto"/>
              </w:rPr>
            </w:pPr>
            <w:r>
              <w:rPr>
                <w:rFonts w:ascii="Arial" w:cs="Arial" w:eastAsia="Arial" w:hAnsi="Arial"/>
                <w:sz w:val="17"/>
                <w:szCs w:val="17"/>
                <w:color w:val="auto"/>
              </w:rPr>
              <w:t>66.9 %</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19,892</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72.6 %</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25.8 %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7"/>
              <w:spacing w:after="0"/>
              <w:rPr>
                <w:sz w:val="20"/>
                <w:szCs w:val="20"/>
                <w:color w:val="auto"/>
              </w:rPr>
            </w:pPr>
            <w:r>
              <w:rPr>
                <w:rFonts w:ascii="Arial" w:cs="Arial" w:eastAsia="Arial" w:hAnsi="Arial"/>
                <w:sz w:val="17"/>
                <w:szCs w:val="17"/>
                <w:color w:val="auto"/>
              </w:rPr>
              <w:t>66.0 %</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56,200</w:t>
            </w:r>
          </w:p>
        </w:tc>
        <w:tc>
          <w:tcPr>
            <w:tcW w:w="120" w:type="dxa"/>
            <w:vAlign w:val="bottom"/>
          </w:tcPr>
          <w:p>
            <w:pPr>
              <w:spacing w:after="0"/>
              <w:rPr>
                <w:sz w:val="18"/>
                <w:szCs w:val="18"/>
                <w:color w:val="auto"/>
              </w:rPr>
            </w:pPr>
          </w:p>
        </w:tc>
        <w:tc>
          <w:tcPr>
            <w:tcW w:w="940" w:type="dxa"/>
            <w:vAlign w:val="bottom"/>
            <w:gridSpan w:val="2"/>
          </w:tcPr>
          <w:p>
            <w:pPr>
              <w:jc w:val="right"/>
              <w:ind w:right="17"/>
              <w:spacing w:after="0"/>
              <w:rPr>
                <w:sz w:val="20"/>
                <w:szCs w:val="20"/>
                <w:color w:val="auto"/>
              </w:rPr>
            </w:pPr>
            <w:r>
              <w:rPr>
                <w:rFonts w:ascii="Arial" w:cs="Arial" w:eastAsia="Arial" w:hAnsi="Arial"/>
                <w:sz w:val="17"/>
                <w:szCs w:val="17"/>
                <w:color w:val="auto"/>
              </w:rPr>
              <w:t>71.0 %</w:t>
            </w:r>
          </w:p>
        </w:tc>
        <w:tc>
          <w:tcPr>
            <w:tcW w:w="1080" w:type="dxa"/>
            <w:vAlign w:val="bottom"/>
            <w:gridSpan w:val="2"/>
          </w:tcPr>
          <w:p>
            <w:pPr>
              <w:jc w:val="right"/>
              <w:ind w:right="57"/>
              <w:spacing w:after="0"/>
              <w:rPr>
                <w:sz w:val="20"/>
                <w:szCs w:val="20"/>
                <w:color w:val="auto"/>
              </w:rPr>
            </w:pPr>
            <w:r>
              <w:rPr>
                <w:rFonts w:ascii="Arial" w:cs="Arial" w:eastAsia="Arial" w:hAnsi="Arial"/>
                <w:sz w:val="17"/>
                <w:szCs w:val="17"/>
                <w:color w:val="auto"/>
              </w:rPr>
              <w:t>50.8 %</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33.1 %</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7,514</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34.0 %</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22,902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29.0 %</w:t>
            </w:r>
          </w:p>
        </w:tc>
        <w:tc>
          <w:tcPr>
            <w:tcW w:w="108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19.3 %</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20"/>
                <w:szCs w:val="20"/>
                <w:color w:val="auto"/>
              </w:rPr>
            </w:pPr>
            <w:r>
              <w:rPr>
                <w:rFonts w:ascii="Arial" w:cs="Arial" w:eastAsia="Arial" w:hAnsi="Arial"/>
                <w:sz w:val="17"/>
                <w:szCs w:val="17"/>
                <w:color w:val="auto"/>
              </w:rPr>
              <w:t>General and</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0" w:type="dxa"/>
            <w:vAlign w:val="bottom"/>
          </w:tcPr>
          <w:p>
            <w:pPr>
              <w:ind w:left="200"/>
              <w:spacing w:after="0"/>
              <w:rPr>
                <w:sz w:val="20"/>
                <w:szCs w:val="20"/>
                <w:color w:val="auto"/>
              </w:rPr>
            </w:pPr>
            <w:r>
              <w:rPr>
                <w:rFonts w:ascii="Arial" w:cs="Arial" w:eastAsia="Arial" w:hAnsi="Arial"/>
                <w:sz w:val="17"/>
                <w:szCs w:val="17"/>
                <w:color w:val="auto"/>
                <w:w w:val="93"/>
              </w:rPr>
              <w:t>administrative</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200"/>
              <w:spacing w:after="0"/>
              <w:rPr>
                <w:sz w:val="20"/>
                <w:szCs w:val="20"/>
                <w:color w:val="auto"/>
              </w:rPr>
            </w:pPr>
            <w:r>
              <w:rPr>
                <w:rFonts w:ascii="Arial" w:cs="Arial" w:eastAsia="Arial" w:hAnsi="Arial"/>
                <w:sz w:val="17"/>
                <w:szCs w:val="17"/>
                <w:color w:val="auto"/>
              </w:rPr>
              <w:t>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2,709</w:t>
            </w:r>
          </w:p>
        </w:tc>
        <w:tc>
          <w:tcPr>
            <w:tcW w:w="1140" w:type="dxa"/>
            <w:vAlign w:val="bottom"/>
            <w:gridSpan w:val="3"/>
          </w:tcPr>
          <w:p>
            <w:pPr>
              <w:jc w:val="right"/>
              <w:ind w:right="57"/>
              <w:spacing w:after="0"/>
              <w:rPr>
                <w:sz w:val="20"/>
                <w:szCs w:val="20"/>
                <w:color w:val="auto"/>
              </w:rPr>
            </w:pPr>
            <w:r>
              <w:rPr>
                <w:rFonts w:ascii="Arial" w:cs="Arial" w:eastAsia="Arial" w:hAnsi="Arial"/>
                <w:sz w:val="17"/>
                <w:szCs w:val="17"/>
                <w:color w:val="auto"/>
              </w:rPr>
              <w:t>11.4 %</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2,841</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10.4 %</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4.9 %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7"/>
              <w:spacing w:after="0"/>
              <w:rPr>
                <w:sz w:val="20"/>
                <w:szCs w:val="20"/>
                <w:color w:val="auto"/>
              </w:rPr>
            </w:pPr>
            <w:r>
              <w:rPr>
                <w:rFonts w:ascii="Arial" w:cs="Arial" w:eastAsia="Arial" w:hAnsi="Arial"/>
                <w:sz w:val="17"/>
                <w:szCs w:val="17"/>
                <w:color w:val="auto"/>
              </w:rPr>
              <w:t>15.3 %</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8,641</w:t>
            </w:r>
          </w:p>
        </w:tc>
        <w:tc>
          <w:tcPr>
            <w:tcW w:w="120" w:type="dxa"/>
            <w:vAlign w:val="bottom"/>
          </w:tcPr>
          <w:p>
            <w:pPr>
              <w:spacing w:after="0"/>
              <w:rPr>
                <w:sz w:val="18"/>
                <w:szCs w:val="18"/>
                <w:color w:val="auto"/>
              </w:rPr>
            </w:pPr>
          </w:p>
        </w:tc>
        <w:tc>
          <w:tcPr>
            <w:tcW w:w="940" w:type="dxa"/>
            <w:vAlign w:val="bottom"/>
            <w:gridSpan w:val="2"/>
          </w:tcPr>
          <w:p>
            <w:pPr>
              <w:jc w:val="right"/>
              <w:ind w:right="17"/>
              <w:spacing w:after="0"/>
              <w:rPr>
                <w:sz w:val="20"/>
                <w:szCs w:val="20"/>
                <w:color w:val="auto"/>
              </w:rPr>
            </w:pPr>
            <w:r>
              <w:rPr>
                <w:rFonts w:ascii="Arial" w:cs="Arial" w:eastAsia="Arial" w:hAnsi="Arial"/>
                <w:sz w:val="17"/>
                <w:szCs w:val="17"/>
                <w:color w:val="auto"/>
              </w:rPr>
              <w:t>10.9 %</w:t>
            </w:r>
          </w:p>
        </w:tc>
        <w:tc>
          <w:tcPr>
            <w:tcW w:w="1080" w:type="dxa"/>
            <w:vAlign w:val="bottom"/>
            <w:gridSpan w:val="2"/>
          </w:tcPr>
          <w:p>
            <w:pPr>
              <w:jc w:val="right"/>
              <w:ind w:right="57"/>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Sales and</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marketing</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3,235</w:t>
            </w:r>
          </w:p>
        </w:tc>
        <w:tc>
          <w:tcPr>
            <w:tcW w:w="1140" w:type="dxa"/>
            <w:vAlign w:val="bottom"/>
            <w:gridSpan w:val="3"/>
            <w:shd w:val="clear" w:color="auto" w:fill="CCEEFF"/>
          </w:tcPr>
          <w:p>
            <w:pPr>
              <w:jc w:val="right"/>
              <w:ind w:right="57"/>
              <w:spacing w:after="0"/>
              <w:rPr>
                <w:sz w:val="20"/>
                <w:szCs w:val="20"/>
                <w:color w:val="auto"/>
              </w:rPr>
            </w:pPr>
            <w:r>
              <w:rPr>
                <w:rFonts w:ascii="Arial" w:cs="Arial" w:eastAsia="Arial" w:hAnsi="Arial"/>
                <w:sz w:val="17"/>
                <w:szCs w:val="17"/>
                <w:color w:val="auto"/>
              </w:rPr>
              <w:t>13.7 %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4,053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17.9 %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14.6 %</w:t>
            </w:r>
          </w:p>
        </w:tc>
        <w:tc>
          <w:tcPr>
            <w:tcW w:w="108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14.2 %</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20"/>
                <w:szCs w:val="20"/>
                <w:color w:val="auto"/>
              </w:rPr>
            </w:pPr>
            <w:r>
              <w:rPr>
                <w:rFonts w:ascii="Arial" w:cs="Arial" w:eastAsia="Arial" w:hAnsi="Arial"/>
                <w:sz w:val="17"/>
                <w:szCs w:val="17"/>
                <w:color w:val="auto"/>
              </w:rPr>
              <w:t>Research and</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0" w:type="dxa"/>
            <w:vAlign w:val="bottom"/>
          </w:tcPr>
          <w:p>
            <w:pPr>
              <w:ind w:left="200"/>
              <w:spacing w:after="0"/>
              <w:rPr>
                <w:sz w:val="20"/>
                <w:szCs w:val="20"/>
                <w:color w:val="auto"/>
              </w:rPr>
            </w:pPr>
            <w:r>
              <w:rPr>
                <w:rFonts w:ascii="Arial" w:cs="Arial" w:eastAsia="Arial" w:hAnsi="Arial"/>
                <w:sz w:val="17"/>
                <w:szCs w:val="17"/>
                <w:color w:val="auto"/>
              </w:rPr>
              <w:t>development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tcPr>
          <w:p>
            <w:pPr>
              <w:ind w:left="200"/>
              <w:spacing w:after="0"/>
              <w:rPr>
                <w:sz w:val="20"/>
                <w:szCs w:val="20"/>
                <w:color w:val="auto"/>
              </w:rPr>
            </w:pPr>
            <w:r>
              <w:rPr>
                <w:rFonts w:ascii="Arial" w:cs="Arial" w:eastAsia="Arial" w:hAnsi="Arial"/>
                <w:sz w:val="17"/>
                <w:szCs w:val="17"/>
                <w:color w:val="auto"/>
              </w:rPr>
              <w:t>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614</w:t>
            </w:r>
          </w:p>
        </w:tc>
        <w:tc>
          <w:tcPr>
            <w:tcW w:w="1140" w:type="dxa"/>
            <w:vAlign w:val="bottom"/>
            <w:gridSpan w:val="3"/>
          </w:tcPr>
          <w:p>
            <w:pPr>
              <w:jc w:val="right"/>
              <w:ind w:right="57"/>
              <w:spacing w:after="0"/>
              <w:rPr>
                <w:sz w:val="20"/>
                <w:szCs w:val="20"/>
                <w:color w:val="auto"/>
              </w:rPr>
            </w:pPr>
            <w:r>
              <w:rPr>
                <w:rFonts w:ascii="Arial" w:cs="Arial" w:eastAsia="Arial" w:hAnsi="Arial"/>
                <w:sz w:val="17"/>
                <w:szCs w:val="17"/>
                <w:color w:val="auto"/>
              </w:rPr>
              <w:t>2.6 %</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556</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2.0 %</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7"/>
              <w:spacing w:after="0"/>
              <w:rPr>
                <w:sz w:val="20"/>
                <w:szCs w:val="20"/>
                <w:color w:val="auto"/>
              </w:rPr>
            </w:pPr>
            <w:r>
              <w:rPr>
                <w:rFonts w:ascii="Arial" w:cs="Arial" w:eastAsia="Arial" w:hAnsi="Arial"/>
                <w:sz w:val="17"/>
                <w:szCs w:val="17"/>
                <w:color w:val="auto"/>
              </w:rPr>
              <w:t>3.2 %</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1,771</w:t>
            </w:r>
          </w:p>
        </w:tc>
        <w:tc>
          <w:tcPr>
            <w:tcW w:w="120" w:type="dxa"/>
            <w:vAlign w:val="bottom"/>
          </w:tcPr>
          <w:p>
            <w:pPr>
              <w:spacing w:after="0"/>
              <w:rPr>
                <w:sz w:val="18"/>
                <w:szCs w:val="18"/>
                <w:color w:val="auto"/>
              </w:rPr>
            </w:pPr>
          </w:p>
        </w:tc>
        <w:tc>
          <w:tcPr>
            <w:tcW w:w="940" w:type="dxa"/>
            <w:vAlign w:val="bottom"/>
            <w:gridSpan w:val="2"/>
          </w:tcPr>
          <w:p>
            <w:pPr>
              <w:jc w:val="right"/>
              <w:ind w:right="17"/>
              <w:spacing w:after="0"/>
              <w:rPr>
                <w:sz w:val="20"/>
                <w:szCs w:val="20"/>
                <w:color w:val="auto"/>
              </w:rPr>
            </w:pPr>
            <w:r>
              <w:rPr>
                <w:rFonts w:ascii="Arial" w:cs="Arial" w:eastAsia="Arial" w:hAnsi="Arial"/>
                <w:sz w:val="17"/>
                <w:szCs w:val="17"/>
                <w:color w:val="auto"/>
              </w:rPr>
              <w:t>2.3 %</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Income (loss)</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from</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operations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1,276</w:t>
            </w:r>
          </w:p>
        </w:tc>
        <w:tc>
          <w:tcPr>
            <w:tcW w:w="1140" w:type="dxa"/>
            <w:vAlign w:val="bottom"/>
            <w:gridSpan w:val="3"/>
            <w:shd w:val="clear" w:color="auto" w:fill="CCEEFF"/>
          </w:tcPr>
          <w:p>
            <w:pPr>
              <w:jc w:val="right"/>
              <w:ind w:right="57"/>
              <w:spacing w:after="0"/>
              <w:rPr>
                <w:sz w:val="20"/>
                <w:szCs w:val="20"/>
                <w:color w:val="auto"/>
              </w:rPr>
            </w:pPr>
            <w:r>
              <w:rPr>
                <w:rFonts w:ascii="Arial" w:cs="Arial" w:eastAsia="Arial" w:hAnsi="Arial"/>
                <w:sz w:val="17"/>
                <w:szCs w:val="17"/>
                <w:color w:val="auto"/>
              </w:rPr>
              <w:t>5.4 %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(1,367)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1.2 %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(168.3) %</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w w:val="93"/>
              </w:rPr>
              <w:t>Interest expense</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98</w:t>
            </w:r>
          </w:p>
        </w:tc>
        <w:tc>
          <w:tcPr>
            <w:tcW w:w="1140" w:type="dxa"/>
            <w:vAlign w:val="bottom"/>
            <w:gridSpan w:val="3"/>
          </w:tcPr>
          <w:p>
            <w:pPr>
              <w:jc w:val="right"/>
              <w:ind w:right="57"/>
              <w:spacing w:after="0"/>
              <w:rPr>
                <w:sz w:val="20"/>
                <w:szCs w:val="20"/>
                <w:color w:val="auto"/>
              </w:rPr>
            </w:pPr>
            <w:r>
              <w:rPr>
                <w:rFonts w:ascii="Arial" w:cs="Arial" w:eastAsia="Arial" w:hAnsi="Arial"/>
                <w:sz w:val="17"/>
                <w:szCs w:val="17"/>
                <w:color w:val="auto"/>
              </w:rPr>
              <w:t>0.4 %</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0.5 %</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63.3 %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7"/>
              <w:spacing w:after="0"/>
              <w:rPr>
                <w:sz w:val="20"/>
                <w:szCs w:val="20"/>
                <w:color w:val="auto"/>
              </w:rPr>
            </w:pPr>
            <w:r>
              <w:rPr>
                <w:rFonts w:ascii="Arial" w:cs="Arial" w:eastAsia="Arial" w:hAnsi="Arial"/>
                <w:sz w:val="17"/>
                <w:szCs w:val="17"/>
                <w:color w:val="auto"/>
              </w:rPr>
              <w:t>0.4 %</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397</w:t>
            </w:r>
          </w:p>
        </w:tc>
        <w:tc>
          <w:tcPr>
            <w:tcW w:w="120" w:type="dxa"/>
            <w:vAlign w:val="bottom"/>
          </w:tcPr>
          <w:p>
            <w:pPr>
              <w:spacing w:after="0"/>
              <w:rPr>
                <w:sz w:val="17"/>
                <w:szCs w:val="17"/>
                <w:color w:val="auto"/>
              </w:rPr>
            </w:pPr>
          </w:p>
        </w:tc>
        <w:tc>
          <w:tcPr>
            <w:tcW w:w="940" w:type="dxa"/>
            <w:vAlign w:val="bottom"/>
            <w:gridSpan w:val="2"/>
          </w:tcPr>
          <w:p>
            <w:pPr>
              <w:jc w:val="right"/>
              <w:ind w:right="17"/>
              <w:spacing w:after="0"/>
              <w:rPr>
                <w:sz w:val="20"/>
                <w:szCs w:val="20"/>
                <w:color w:val="auto"/>
              </w:rPr>
            </w:pPr>
            <w:r>
              <w:rPr>
                <w:rFonts w:ascii="Arial" w:cs="Arial" w:eastAsia="Arial" w:hAnsi="Arial"/>
                <w:sz w:val="17"/>
                <w:szCs w:val="17"/>
                <w:color w:val="auto"/>
              </w:rPr>
              <w:t>0.5 %</w:t>
            </w:r>
          </w:p>
        </w:tc>
        <w:tc>
          <w:tcPr>
            <w:tcW w:w="1080" w:type="dxa"/>
            <w:vAlign w:val="bottom"/>
            <w:gridSpan w:val="2"/>
          </w:tcPr>
          <w:p>
            <w:pPr>
              <w:jc w:val="right"/>
              <w:ind w:right="57"/>
              <w:spacing w:after="0"/>
              <w:rPr>
                <w:sz w:val="20"/>
                <w:szCs w:val="20"/>
                <w:color w:val="auto"/>
              </w:rPr>
            </w:pPr>
            <w:r>
              <w:rPr>
                <w:rFonts w:ascii="Arial" w:cs="Arial" w:eastAsia="Arial" w:hAnsi="Arial"/>
                <w:sz w:val="17"/>
                <w:szCs w:val="17"/>
                <w:color w:val="auto"/>
              </w:rPr>
              <w:t>78.0 %</w:t>
            </w: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Dividend and</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189</w:t>
            </w:r>
          </w:p>
        </w:tc>
        <w:tc>
          <w:tcPr>
            <w:tcW w:w="1140" w:type="dxa"/>
            <w:vAlign w:val="bottom"/>
            <w:gridSpan w:val="3"/>
            <w:shd w:val="clear" w:color="auto" w:fill="CCEEFF"/>
          </w:tcPr>
          <w:p>
            <w:pPr>
              <w:jc w:val="right"/>
              <w:ind w:right="57"/>
              <w:spacing w:after="0"/>
              <w:rPr>
                <w:sz w:val="20"/>
                <w:szCs w:val="20"/>
                <w:color w:val="auto"/>
              </w:rPr>
            </w:pPr>
            <w:r>
              <w:rPr>
                <w:rFonts w:ascii="Arial" w:cs="Arial" w:eastAsia="Arial" w:hAnsi="Arial"/>
                <w:sz w:val="17"/>
                <w:szCs w:val="17"/>
                <w:color w:val="auto"/>
              </w:rPr>
              <w:t>0.8 %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19.6 %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0.8 %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0.7 %</w:t>
            </w:r>
          </w:p>
        </w:tc>
        <w:tc>
          <w:tcPr>
            <w:tcW w:w="108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36.6 %</w:t>
            </w:r>
          </w:p>
        </w:tc>
        <w:tc>
          <w:tcPr>
            <w:tcW w:w="0" w:type="dxa"/>
            <w:vAlign w:val="bottom"/>
          </w:tcPr>
          <w:p>
            <w:pPr>
              <w:spacing w:after="0"/>
              <w:rPr>
                <w:sz w:val="1"/>
                <w:szCs w:val="1"/>
                <w:color w:val="auto"/>
              </w:rPr>
            </w:pPr>
          </w:p>
        </w:tc>
      </w:tr>
      <w:tr>
        <w:trPr>
          <w:trHeight w:val="201"/>
        </w:trPr>
        <w:tc>
          <w:tcPr>
            <w:tcW w:w="1200" w:type="dxa"/>
            <w:vAlign w:val="bottom"/>
          </w:tcPr>
          <w:p>
            <w:pPr>
              <w:spacing w:after="0"/>
              <w:rPr>
                <w:sz w:val="20"/>
                <w:szCs w:val="20"/>
                <w:color w:val="auto"/>
              </w:rPr>
            </w:pPr>
            <w:r>
              <w:rPr>
                <w:rFonts w:ascii="Arial" w:cs="Arial" w:eastAsia="Arial" w:hAnsi="Arial"/>
                <w:sz w:val="17"/>
                <w:szCs w:val="17"/>
                <w:color w:val="auto"/>
              </w:rPr>
              <w:t>Income before</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200"/>
              <w:spacing w:after="0"/>
              <w:rPr>
                <w:sz w:val="20"/>
                <w:szCs w:val="20"/>
                <w:color w:val="auto"/>
              </w:rPr>
            </w:pPr>
            <w:r>
              <w:rPr>
                <w:rFonts w:ascii="Arial" w:cs="Arial" w:eastAsia="Arial" w:hAnsi="Arial"/>
                <w:sz w:val="17"/>
                <w:szCs w:val="17"/>
                <w:color w:val="auto"/>
              </w:rPr>
              <w:t>income tax</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1,367</w:t>
            </w:r>
          </w:p>
        </w:tc>
        <w:tc>
          <w:tcPr>
            <w:tcW w:w="1140" w:type="dxa"/>
            <w:vAlign w:val="bottom"/>
            <w:gridSpan w:val="3"/>
          </w:tcPr>
          <w:p>
            <w:pPr>
              <w:jc w:val="right"/>
              <w:ind w:right="57"/>
              <w:spacing w:after="0"/>
              <w:rPr>
                <w:sz w:val="20"/>
                <w:szCs w:val="20"/>
                <w:color w:val="auto"/>
              </w:rPr>
            </w:pPr>
            <w:r>
              <w:rPr>
                <w:rFonts w:ascii="Arial" w:cs="Arial" w:eastAsia="Arial" w:hAnsi="Arial"/>
                <w:sz w:val="17"/>
                <w:szCs w:val="17"/>
                <w:color w:val="auto"/>
              </w:rPr>
              <w:t>5.8 %</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0.5 %</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(90.5)%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
              <w:spacing w:after="0"/>
              <w:rPr>
                <w:sz w:val="20"/>
                <w:szCs w:val="20"/>
                <w:color w:val="auto"/>
              </w:rPr>
            </w:pPr>
            <w:r>
              <w:rPr>
                <w:rFonts w:ascii="Arial" w:cs="Arial" w:eastAsia="Arial" w:hAnsi="Arial"/>
                <w:sz w:val="17"/>
                <w:szCs w:val="17"/>
                <w:color w:val="auto"/>
              </w:rPr>
              <w:t>(1,155)</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1,130</w:t>
            </w:r>
          </w:p>
        </w:tc>
        <w:tc>
          <w:tcPr>
            <w:tcW w:w="120" w:type="dxa"/>
            <w:vAlign w:val="bottom"/>
          </w:tcPr>
          <w:p>
            <w:pPr>
              <w:spacing w:after="0"/>
              <w:rPr>
                <w:sz w:val="18"/>
                <w:szCs w:val="18"/>
                <w:color w:val="auto"/>
              </w:rPr>
            </w:pPr>
          </w:p>
        </w:tc>
        <w:tc>
          <w:tcPr>
            <w:tcW w:w="940" w:type="dxa"/>
            <w:vAlign w:val="bottom"/>
            <w:gridSpan w:val="2"/>
          </w:tcPr>
          <w:p>
            <w:pPr>
              <w:jc w:val="right"/>
              <w:ind w:right="17"/>
              <w:spacing w:after="0"/>
              <w:rPr>
                <w:sz w:val="20"/>
                <w:szCs w:val="20"/>
                <w:color w:val="auto"/>
              </w:rPr>
            </w:pPr>
            <w:r>
              <w:rPr>
                <w:rFonts w:ascii="Arial" w:cs="Arial" w:eastAsia="Arial" w:hAnsi="Arial"/>
                <w:sz w:val="17"/>
                <w:szCs w:val="17"/>
                <w:color w:val="auto"/>
              </w:rPr>
              <w:t>1.4 %</w:t>
            </w:r>
          </w:p>
        </w:tc>
        <w:tc>
          <w:tcPr>
            <w:tcW w:w="1080" w:type="dxa"/>
            <w:vAlign w:val="bottom"/>
            <w:gridSpan w:val="2"/>
          </w:tcPr>
          <w:p>
            <w:pPr>
              <w:jc w:val="right"/>
              <w:ind w:right="57"/>
              <w:spacing w:after="0"/>
              <w:rPr>
                <w:sz w:val="20"/>
                <w:szCs w:val="20"/>
                <w:color w:val="auto"/>
              </w:rPr>
            </w:pPr>
            <w:r>
              <w:rPr>
                <w:rFonts w:ascii="Arial" w:cs="Arial" w:eastAsia="Arial" w:hAnsi="Arial"/>
                <w:sz w:val="17"/>
                <w:szCs w:val="17"/>
                <w:color w:val="auto"/>
              </w:rPr>
              <w:t>197.8 %</w:t>
            </w: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Income tax</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expense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(benefit)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1,549</w:t>
            </w:r>
          </w:p>
        </w:tc>
        <w:tc>
          <w:tcPr>
            <w:tcW w:w="1140" w:type="dxa"/>
            <w:vAlign w:val="bottom"/>
            <w:gridSpan w:val="3"/>
            <w:shd w:val="clear" w:color="auto" w:fill="CCEEFF"/>
          </w:tcPr>
          <w:p>
            <w:pPr>
              <w:jc w:val="right"/>
              <w:ind w:right="57"/>
              <w:spacing w:after="0"/>
              <w:rPr>
                <w:sz w:val="20"/>
                <w:szCs w:val="20"/>
                <w:color w:val="auto"/>
              </w:rPr>
            </w:pPr>
            <w:r>
              <w:rPr>
                <w:rFonts w:ascii="Arial" w:cs="Arial" w:eastAsia="Arial" w:hAnsi="Arial"/>
                <w:sz w:val="17"/>
                <w:szCs w:val="17"/>
                <w:color w:val="auto"/>
              </w:rPr>
              <w:t>6.6 %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(976)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0.6 %</w:t>
            </w:r>
          </w:p>
        </w:tc>
        <w:tc>
          <w:tcPr>
            <w:tcW w:w="108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150.2%</w:t>
            </w:r>
          </w:p>
        </w:tc>
        <w:tc>
          <w:tcPr>
            <w:tcW w:w="0" w:type="dxa"/>
            <w:vAlign w:val="bottom"/>
          </w:tcPr>
          <w:p>
            <w:pPr>
              <w:spacing w:after="0"/>
              <w:rPr>
                <w:sz w:val="1"/>
                <w:szCs w:val="1"/>
                <w:color w:val="auto"/>
              </w:rPr>
            </w:pPr>
          </w:p>
        </w:tc>
      </w:tr>
      <w:tr>
        <w:trPr>
          <w:trHeight w:val="201"/>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200"/>
              <w:spacing w:after="0"/>
              <w:rPr>
                <w:sz w:val="20"/>
                <w:szCs w:val="20"/>
                <w:color w:val="auto"/>
              </w:rPr>
            </w:pPr>
            <w:r>
              <w:rPr>
                <w:rFonts w:ascii="Arial" w:cs="Arial" w:eastAsia="Arial" w:hAnsi="Arial"/>
                <w:sz w:val="17"/>
                <w:szCs w:val="17"/>
                <w:color w:val="auto"/>
              </w:rPr>
              <w:t>(loss)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(182)</w:t>
            </w:r>
          </w:p>
        </w:tc>
        <w:tc>
          <w:tcPr>
            <w:tcW w:w="1140" w:type="dxa"/>
            <w:vAlign w:val="bottom"/>
            <w:gridSpan w:val="3"/>
          </w:tcPr>
          <w:p>
            <w:pPr>
              <w:jc w:val="right"/>
              <w:ind w:right="17"/>
              <w:spacing w:after="0"/>
              <w:rPr>
                <w:sz w:val="20"/>
                <w:szCs w:val="20"/>
                <w:color w:val="auto"/>
              </w:rPr>
            </w:pPr>
            <w:r>
              <w:rPr>
                <w:rFonts w:ascii="Arial" w:cs="Arial" w:eastAsia="Arial" w:hAnsi="Arial"/>
                <w:sz w:val="17"/>
                <w:szCs w:val="17"/>
                <w:color w:val="auto"/>
              </w:rPr>
              <w:t>(0.8)%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0.3 %</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140.7%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640</w:t>
            </w:r>
          </w:p>
        </w:tc>
        <w:tc>
          <w:tcPr>
            <w:tcW w:w="120" w:type="dxa"/>
            <w:vAlign w:val="bottom"/>
          </w:tcPr>
          <w:p>
            <w:pPr>
              <w:spacing w:after="0"/>
              <w:rPr>
                <w:sz w:val="18"/>
                <w:szCs w:val="18"/>
                <w:color w:val="auto"/>
              </w:rPr>
            </w:pPr>
          </w:p>
        </w:tc>
        <w:tc>
          <w:tcPr>
            <w:tcW w:w="940" w:type="dxa"/>
            <w:vAlign w:val="bottom"/>
            <w:gridSpan w:val="2"/>
          </w:tcPr>
          <w:p>
            <w:pPr>
              <w:jc w:val="right"/>
              <w:ind w:right="17"/>
              <w:spacing w:after="0"/>
              <w:rPr>
                <w:sz w:val="20"/>
                <w:szCs w:val="20"/>
                <w:color w:val="auto"/>
              </w:rPr>
            </w:pPr>
            <w:r>
              <w:rPr>
                <w:rFonts w:ascii="Arial" w:cs="Arial" w:eastAsia="Arial" w:hAnsi="Arial"/>
                <w:sz w:val="17"/>
                <w:szCs w:val="17"/>
                <w:color w:val="auto"/>
              </w:rPr>
              <w:t>0.8 %</w:t>
            </w:r>
          </w:p>
        </w:tc>
        <w:tc>
          <w:tcPr>
            <w:tcW w:w="1080" w:type="dxa"/>
            <w:vAlign w:val="bottom"/>
            <w:gridSpan w:val="2"/>
          </w:tcPr>
          <w:p>
            <w:pPr>
              <w:jc w:val="right"/>
              <w:ind w:right="57"/>
              <w:spacing w:after="0"/>
              <w:rPr>
                <w:sz w:val="20"/>
                <w:szCs w:val="20"/>
                <w:color w:val="auto"/>
              </w:rPr>
            </w:pPr>
            <w:r>
              <w:rPr>
                <w:rFonts w:ascii="Arial" w:cs="Arial" w:eastAsia="Arial" w:hAnsi="Arial"/>
                <w:sz w:val="17"/>
                <w:szCs w:val="17"/>
                <w:color w:val="auto"/>
              </w:rPr>
              <w:t>457.5 %</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00" w:firstLine="457"/>
        <w:spacing w:after="0" w:line="289"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Product revenue increased from $21.6 million for the fiscal 2011 third quarter to $24.3 million for the fiscal 2012 third quarter, an increase of $2.7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or 12.2%. The increase in product revenue was a result of increased sales of our solar PV systems. Service revenue increased from $2.0 million for the fiscal 2011 third quarter to $3.1 million for the fiscal 2012 third quarter, an increase of $1.1 million, or 55.7%. The increase in service revenues was a result of the increase in sales of PV systems and the related installation revenue. Total revenue from solar PV systems was $6.9 million for the fiscal 2012 third quarter compared to $1.6 million for the fiscal 2011 third quarter, an increase of $5.3 million or 331%. Product revenue increased from $52.5 million for the first nine months of fiscal 2011 to $71.7 million for the first nine months of fiscal 2012, an increase of $19.2 million, or 36.7%. Service revenue increased from $4.0 million for the first nine months of fiscal 2011 to $7.4 million for the first nine months of fiscal 2012, an increase of $3.4 million, or 84.0%. Total revenue from renewable energy systems was $24.0 million for the fiscal 2012 first nine months compared to $2.4 million for the fiscal 2011 first nine months, an increase of $21.6 million, or 900%. The increase in service revenue was due to the related installation services resulting from the increased sales of PV systems for both the three and nine month periods. For the first nine months of fiscal 2012, our wholesale channels accounted for approximately 64% of our total revenue, not taking into consideration sales of solar PV systems, compared to 51% for the first nine months of fiscal 2011. We continue to experience revenue growth through the use of our OTA finance contracts.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520"/>
          </w:cols>
          <w:pgMar w:left="240" w:top="271" w:right="139" w:bottom="1440" w:gutter="0" w:footer="0" w:header="0"/>
        </w:sectPr>
      </w:pPr>
    </w:p>
    <w:bookmarkStart w:id="26" w:name="page27"/>
    <w:bookmarkEnd w:id="26"/>
    <w:p>
      <w:pPr>
        <w:ind w:right="20" w:firstLine="457"/>
        <w:spacing w:after="0" w:line="27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5515" cy="36830"/>
                    </a:xfrm>
                    <a:prstGeom prst="rect">
                      <a:avLst/>
                    </a:prstGeom>
                    <a:noFill/>
                  </pic:spPr>
                </pic:pic>
              </a:graphicData>
            </a:graphic>
          </wp:anchor>
        </w:drawing>
        <w:t xml:space="preserve">Cost of Revenue and Gross Margin. </w:t>
      </w:r>
      <w:r>
        <w:rPr>
          <w:rFonts w:ascii="Arial" w:cs="Arial" w:eastAsia="Arial" w:hAnsi="Arial"/>
          <w:sz w:val="16"/>
          <w:szCs w:val="16"/>
          <w:color w:val="auto"/>
        </w:rPr>
        <w:t>Our cost of product revenue increased from $14.1 million for the fiscal 2011 third quarter to $17.4 million for the fiscal 2012</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an increase of $3.3 million, or 23.4%. Our cost of service revenue increased from $1.7 million for the fiscal 2011 third quarter to $2.4 million for the fiscal 2012 third quarter, an increase of $0.7 million, or 46.0%. Total gross margin was 33.1% and 27.4% for the fiscal 2011 third quarter and fiscal 2012 third quarters, respectively. Our gross margin on renewable revenues was 13.1% during the fiscal 2012 third quarter. Gross margin from our HIF integrated systems revenue for the fiscal 2012 third quarter was 32.2%. Total cost of product revenue increased from $34.2 million for the fiscal 2011 first nine months to $50.5 million for the fiscal 2012 first nine months, an increase of $16.3 million, or 47.7%. Our cost of service revenue increased from $3.1 million for the fiscal 2011 first nine months to $5.7 million for the fiscal 2012 first nine months, an increase of $2.6 million, or 84.9%. Total gross margin decreased from 34.0% for the fiscal 2011 first nine months to 29.0% for the fiscal 2012 first nine months. For the fiscal 2012 first nine months, our gross margin declined due to a higher mix of renewable product and service revenues from our Orion Engineered Systems division. Our gross margin on renewable revenues was 17.1% during the fiscal 2012 first nine months. Gross margin from our HIF integrated systems revenue for the fiscal 2012 first nine months was 34.3%.</w:t>
      </w:r>
    </w:p>
    <w:p>
      <w:pPr>
        <w:spacing w:after="0" w:line="126" w:lineRule="exact"/>
        <w:rPr>
          <w:sz w:val="20"/>
          <w:szCs w:val="20"/>
          <w:color w:val="auto"/>
        </w:rPr>
      </w:pPr>
    </w:p>
    <w:p>
      <w:pPr>
        <w:ind w:right="20" w:firstLine="457"/>
        <w:spacing w:after="0" w:line="275"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from $2.7 million for the fiscal 2011 third quarter to $2.8 million for the fiscal 2012</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an increase of $0.1 million, or 4.9%. Our general and administrative expenses were $8.6 million for both the first nine months of fiscal 2011 and the first nine months of fiscal 2012. For the first nine months of fiscal 2012, expenses increased as a result of $0.1 million incurred for depreciation and software license costs for our new enterprise resource planning, or ERP, system and $0.1 million for increased stock compensation costs versus the prior fiscal year’s period. These increases were offset by reduced legal expenses and discretionary spending reductions.</w:t>
      </w:r>
    </w:p>
    <w:p>
      <w:pPr>
        <w:spacing w:after="0" w:line="120" w:lineRule="exact"/>
        <w:rPr>
          <w:sz w:val="20"/>
          <w:szCs w:val="20"/>
          <w:color w:val="auto"/>
        </w:rPr>
      </w:pPr>
    </w:p>
    <w:p>
      <w:pPr>
        <w:ind w:right="60" w:firstLine="457"/>
        <w:spacing w:after="0" w:line="275"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increased from $3.2 million for the fiscal 2011 third quarter to $4.1 million for the fiscal 2012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$0.9 million, or 25.3%. Our sales and marketing expenses increased from $10.1 million for the first nine months of fiscal 2011 to $11.6 million for the first nine months of fiscal 2012, an increase of $1.5 million, or 14.2%. The increase was a result of increased costs for headcount additions in our newly formed telemarketing department, higher commission expense on our increased revenue and increased depreciation for our new customer relationship management, or CRM, system. Total sales and marketing headcount was 87 and 97 at December 31, 2010 and 2011, respectively.</w:t>
      </w:r>
    </w:p>
    <w:p>
      <w:pPr>
        <w:spacing w:after="0" w:line="120"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Our research and development expenses were $0.6 million for both the fiscal 2011 third quarter and the fiscal 2012 third quarter. Our</w:t>
      </w:r>
      <w:r>
        <w:rPr>
          <w:rFonts w:ascii="Arial" w:cs="Arial" w:eastAsia="Arial" w:hAnsi="Arial"/>
          <w:sz w:val="15"/>
          <w:szCs w:val="15"/>
          <w:i w:val="1"/>
          <w:iCs w:val="1"/>
          <w:color w:val="auto"/>
        </w:rPr>
        <w:t xml:space="preserve"> </w:t>
      </w:r>
      <w:r>
        <w:rPr>
          <w:rFonts w:ascii="Arial" w:cs="Arial" w:eastAsia="Arial" w:hAnsi="Arial"/>
          <w:sz w:val="15"/>
          <w:szCs w:val="15"/>
          <w:color w:val="auto"/>
        </w:rPr>
        <w:t>research and development expenses of $1.8 million for the first nine months of fiscal 2012 were similar to our research and development expenses for the first nine months of fiscal 2011. Expenses incurred in the first nine months of fiscal 2012 related to compensation costs for the development and support of our new products, depreciation expenses for lab and research equipment and sample and testing costs related to our dynamic control devices and our light emitting diode, or LED, product initiatives.</w:t>
      </w:r>
    </w:p>
    <w:p>
      <w:pPr>
        <w:spacing w:after="0" w:line="102"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Our interest expense increased from $0.1 million for the fiscal 2011 third quarter to $0.2 million for the fiscal 2012 third quarter,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$0.1 million, or 63.3%. Our interest expense increased from $0.2 million for the first nine months of fiscal 2011 to $0.4 million for the first nine months of fiscal 2012, an increase of $0.2 million, or 78.0%. The increase in our interest expense was due to additional debt funding completed during the second half of fiscal 2011 and the first half of fiscal 2012 for the purpose of financing our OTA projects.</w:t>
      </w:r>
    </w:p>
    <w:p>
      <w:pPr>
        <w:spacing w:after="0" w:line="133"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was relatively unchanged at $0.2 million for both the fiscal 2011 and fiscal 2012 third quarters. Interest income increased from $0.4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first nine months of fiscal 2011 to $0.6 million for the first nine months of fiscal 2012, an increase of $0.2 million or 36.6%. Interest income increased due to an increase in completed OTA contracts and the related interest income under the financing terms.</w:t>
      </w:r>
    </w:p>
    <w:p>
      <w:pPr>
        <w:spacing w:after="0" w:line="131" w:lineRule="exact"/>
        <w:rPr>
          <w:sz w:val="20"/>
          <w:szCs w:val="20"/>
          <w:color w:val="auto"/>
        </w:rPr>
      </w:pPr>
    </w:p>
    <w:p>
      <w:pPr>
        <w:ind w:right="60" w:firstLine="457"/>
        <w:spacing w:after="0" w:line="254"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income tax expense decreased from an expense of $1.5 million for the fiscal 2011 third quarter to an income tax expense of $0.1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2012 third quarter, a decrease of $1.4 million or 96.4%. Our income tax benefit decreased from a benefit of $1.0 million for the first nine months of fiscal 2011 to an income tax expense of $0.5 million for the first nine months of fiscal 2012, a decrease of $1.5 million or 150.2%. Our effective income tax rate for the first nine months of fiscal 2011 was (84.5)%, compared to 43.4% for the nine months of fiscal 2012. The change in our effective tax rate was due to the conversion of our incentive stock options, or ISOs, to non-qualified stock options, or NQSOs, completed during the second half of fiscal 2011 and a decrease due to prior year permanent adjustments. The conversion of our ISOs to NQSOs eliminated the volatility in our effective tax rates at lower pre-tax earnings levels and should result in an effective tax rate in the 38% to 40% range for future periods.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271"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5515" cy="36830"/>
                    </a:xfrm>
                    <a:prstGeom prst="rect">
                      <a:avLst/>
                    </a:prstGeom>
                    <a:noFill/>
                  </pic:spPr>
                </pic:pic>
              </a:graphicData>
            </a:graphic>
          </wp:anchor>
        </w:drawing>
        <w:t>Energy Management Segment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Energy Management segment operating results: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8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w w:val="91"/>
              </w:rPr>
              <w:t>For the Three Months Ended December 31,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8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w w:val="91"/>
              </w:rPr>
              <w:t>For the Nine Months Ended December 31,</w:t>
            </w:r>
          </w:p>
        </w:tc>
      </w:tr>
      <w:tr>
        <w:trPr>
          <w:trHeight w:val="153"/>
        </w:trPr>
        <w:tc>
          <w:tcPr>
            <w:tcW w:w="40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2011</w:t>
            </w:r>
          </w:p>
        </w:tc>
        <w:tc>
          <w:tcPr>
            <w:tcW w:w="4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2011</w:t>
            </w:r>
          </w:p>
        </w:tc>
        <w:tc>
          <w:tcPr>
            <w:tcW w:w="180" w:type="dxa"/>
            <w:vAlign w:val="bottom"/>
            <w:tcBorders>
              <w:bottom w:val="single" w:sz="8" w:color="CCEEFF"/>
            </w:tcBorders>
          </w:tcPr>
          <w:p>
            <w:pPr>
              <w:spacing w:after="0"/>
              <w:rPr>
                <w:sz w:val="13"/>
                <w:szCs w:val="13"/>
                <w:color w:val="auto"/>
              </w:rPr>
            </w:pPr>
          </w:p>
        </w:tc>
      </w:tr>
      <w:tr>
        <w:trPr>
          <w:trHeight w:val="197"/>
        </w:trPr>
        <w:tc>
          <w:tcPr>
            <w:tcW w:w="40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22,042</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20,544</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54,121</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55,061</w:t>
            </w:r>
          </w:p>
        </w:tc>
        <w:tc>
          <w:tcPr>
            <w:tcW w:w="180" w:type="dxa"/>
            <w:vAlign w:val="bottom"/>
            <w:shd w:val="clear" w:color="auto" w:fill="CCEEFF"/>
          </w:tcPr>
          <w:p>
            <w:pPr>
              <w:spacing w:after="0"/>
              <w:rPr>
                <w:sz w:val="17"/>
                <w:szCs w:val="17"/>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7"/>
                <w:szCs w:val="17"/>
                <w:color w:val="auto"/>
              </w:rPr>
              <w:t>Operating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3,499</w:t>
            </w:r>
          </w:p>
        </w:tc>
        <w:tc>
          <w:tcPr>
            <w:tcW w:w="480" w:type="dxa"/>
            <w:vAlign w:val="bottom"/>
          </w:tcPr>
          <w:p>
            <w:pPr>
              <w:spacing w:after="0"/>
              <w:rPr>
                <w:sz w:val="17"/>
                <w:szCs w:val="17"/>
                <w:color w:val="auto"/>
              </w:rPr>
            </w:pPr>
          </w:p>
        </w:tc>
        <w:tc>
          <w:tcPr>
            <w:tcW w:w="60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1,459</w:t>
            </w:r>
          </w:p>
        </w:tc>
        <w:tc>
          <w:tcPr>
            <w:tcW w:w="4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5,268</w:t>
            </w:r>
          </w:p>
        </w:tc>
        <w:tc>
          <w:tcPr>
            <w:tcW w:w="480" w:type="dxa"/>
            <w:vAlign w:val="bottom"/>
          </w:tcPr>
          <w:p>
            <w:pPr>
              <w:spacing w:after="0"/>
              <w:rPr>
                <w:sz w:val="17"/>
                <w:szCs w:val="17"/>
                <w:color w:val="auto"/>
              </w:rPr>
            </w:pPr>
          </w:p>
        </w:tc>
        <w:tc>
          <w:tcPr>
            <w:tcW w:w="580" w:type="dxa"/>
            <w:vAlign w:val="bottom"/>
            <w:gridSpan w:val="2"/>
          </w:tcPr>
          <w:p>
            <w:pPr>
              <w:jc w:val="right"/>
              <w:ind w:right="67"/>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4,060</w:t>
            </w:r>
          </w:p>
        </w:tc>
      </w:tr>
      <w:tr>
        <w:trPr>
          <w:trHeight w:val="204"/>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Operating margin</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15.9 %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7.1 %</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9.7 %</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7.4 %</w:t>
            </w:r>
          </w:p>
        </w:tc>
      </w:tr>
    </w:tbl>
    <w:p>
      <w:pPr>
        <w:spacing w:after="0" w:line="144"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Energy Management segment revenue decreased $1.5 million, or 6.8%, from $22.0 million for the fiscal 2011 third quarter to $20.5 million for the fiscal 2012 third quarter. The decrease was due to reduced order volumes at calendar-year end as our customers did not allocate capital budget dollars as they had in prior calendar year-ends. Energy Management segment revenue increased $1.0 million, or 1.7%, from $54.1 million for the first nine months of fiscal 2011 to $55.1 million for the first nine months of fiscal 2012. The increase was due to increased sales of our HIF lighting systems to our national account and wholesale customers, increased revenue from new product offerings, including exterior lighting and LED fixtures.</w:t>
      </w:r>
    </w:p>
    <w:p>
      <w:pPr>
        <w:spacing w:after="0" w:line="136"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Energy Management segment operating income decreased $2.0 million, or 58.3%, from $3.5 million for the fiscal 2011 third quarter to $1.5 million for the fiscal 2012 third quarter due to the reduction in volume and the increase in sales and marketing expenses. Energy Management segment operating income decreased $1.2 million, or 22.9%, from $5.3 million for the first nine months of fiscal 2011 to $4.1 million for the first nine months of fiscal 2012. The decrease in operating income for the first nine months of fiscal 2012 was due to our increase in sales and marketing expenses.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Engineered Systems Segment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Engineered Systems segment operating results: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w w:val="91"/>
              </w:rPr>
              <w:t>For the Three Months Ended December 31,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1"/>
              </w:rPr>
              <w:t>For the Nine Months Ended December 31,</w:t>
            </w:r>
          </w:p>
        </w:tc>
      </w:tr>
      <w:tr>
        <w:trPr>
          <w:trHeight w:val="153"/>
        </w:trPr>
        <w:tc>
          <w:tcPr>
            <w:tcW w:w="27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(dollars in thousands)</w:t>
            </w:r>
          </w:p>
        </w:tc>
        <w:tc>
          <w:tcPr>
            <w:tcW w:w="1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2010</w:t>
            </w:r>
          </w:p>
        </w:tc>
        <w:tc>
          <w:tcPr>
            <w:tcW w:w="6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2011</w:t>
            </w:r>
          </w:p>
        </w:tc>
        <w:tc>
          <w:tcPr>
            <w:tcW w:w="5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2010</w:t>
            </w:r>
          </w:p>
        </w:tc>
        <w:tc>
          <w:tcPr>
            <w:tcW w:w="10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2011</w:t>
            </w:r>
          </w:p>
        </w:tc>
        <w:tc>
          <w:tcPr>
            <w:tcW w:w="180" w:type="dxa"/>
            <w:vAlign w:val="bottom"/>
            <w:tcBorders>
              <w:bottom w:val="single" w:sz="8" w:color="CCEEFF"/>
            </w:tcBorders>
          </w:tcPr>
          <w:p>
            <w:pPr>
              <w:spacing w:after="0"/>
              <w:rPr>
                <w:sz w:val="13"/>
                <w:szCs w:val="13"/>
                <w:color w:val="auto"/>
              </w:rPr>
            </w:pPr>
          </w:p>
        </w:tc>
      </w:tr>
      <w:tr>
        <w:trPr>
          <w:trHeight w:val="197"/>
        </w:trPr>
        <w:tc>
          <w:tcPr>
            <w:tcW w:w="272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Revenues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w:t>
            </w: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6,862</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2,352</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24,041</w:t>
            </w:r>
          </w:p>
        </w:tc>
        <w:tc>
          <w:tcPr>
            <w:tcW w:w="180" w:type="dxa"/>
            <w:vAlign w:val="bottom"/>
            <w:shd w:val="clear" w:color="auto" w:fill="CCEEFF"/>
          </w:tcPr>
          <w:p>
            <w:pPr>
              <w:spacing w:after="0"/>
              <w:rPr>
                <w:sz w:val="17"/>
                <w:szCs w:val="17"/>
                <w:color w:val="auto"/>
              </w:rPr>
            </w:pPr>
          </w:p>
        </w:tc>
      </w:tr>
      <w:tr>
        <w:trPr>
          <w:trHeight w:val="204"/>
        </w:trPr>
        <w:tc>
          <w:tcPr>
            <w:tcW w:w="2720" w:type="dxa"/>
            <w:vAlign w:val="bottom"/>
          </w:tcPr>
          <w:p>
            <w:pPr>
              <w:spacing w:after="0"/>
              <w:rPr>
                <w:sz w:val="20"/>
                <w:szCs w:val="20"/>
                <w:color w:val="auto"/>
              </w:rPr>
            </w:pPr>
            <w:r>
              <w:rPr>
                <w:rFonts w:ascii="Arial" w:cs="Arial" w:eastAsia="Arial" w:hAnsi="Arial"/>
                <w:sz w:val="17"/>
                <w:szCs w:val="17"/>
                <w:color w:val="auto"/>
              </w:rPr>
              <w:t>Operating income (loss)</w:t>
            </w:r>
          </w:p>
        </w:tc>
        <w:tc>
          <w:tcPr>
            <w:tcW w:w="128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7"/>
                <w:szCs w:val="17"/>
                <w:color w:val="auto"/>
              </w:rPr>
              <w:t>(640)</w:t>
            </w:r>
          </w:p>
        </w:tc>
        <w:tc>
          <w:tcPr>
            <w:tcW w:w="64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(132)</w:t>
            </w:r>
          </w:p>
        </w:tc>
        <w:tc>
          <w:tcPr>
            <w:tcW w:w="48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980"/>
              <w:spacing w:after="0"/>
              <w:rPr>
                <w:sz w:val="20"/>
                <w:szCs w:val="20"/>
                <w:color w:val="auto"/>
              </w:rPr>
            </w:pPr>
            <w:r>
              <w:rPr>
                <w:rFonts w:ascii="Arial" w:cs="Arial" w:eastAsia="Arial" w:hAnsi="Arial"/>
                <w:sz w:val="17"/>
                <w:szCs w:val="17"/>
                <w:color w:val="auto"/>
              </w:rPr>
              <w:t>(1,658)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663</w:t>
            </w:r>
          </w:p>
        </w:tc>
      </w:tr>
      <w:tr>
        <w:trPr>
          <w:trHeight w:val="204"/>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Operating margin</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(40.0) %</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(70.5) %</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r>
    </w:tbl>
    <w:p>
      <w:pPr>
        <w:spacing w:after="0" w:line="144" w:lineRule="exact"/>
        <w:rPr>
          <w:sz w:val="20"/>
          <w:szCs w:val="20"/>
          <w:color w:val="auto"/>
        </w:rPr>
      </w:pPr>
    </w:p>
    <w:p>
      <w:pPr>
        <w:ind w:right="60" w:firstLine="457"/>
        <w:spacing w:after="0" w:line="254" w:lineRule="auto"/>
        <w:rPr>
          <w:sz w:val="20"/>
          <w:szCs w:val="20"/>
          <w:color w:val="auto"/>
        </w:rPr>
      </w:pPr>
      <w:r>
        <w:rPr>
          <w:rFonts w:ascii="Arial" w:cs="Arial" w:eastAsia="Arial" w:hAnsi="Arial"/>
          <w:sz w:val="17"/>
          <w:szCs w:val="17"/>
          <w:color w:val="auto"/>
        </w:rPr>
        <w:t>Engineered Systems segment revenue increased $5.3 million, or 328.3%, from $1.6 million for the fiscal 2011 third quarter to $6.9 million for the fiscal 2012 third quarter. Energy Systems segment revenue increased $21.6 million, or 922.2%, from $2.4 million for the first nine months of fiscal 2011 to $24.0 million for the first nine months of fiscal 2012. The increase was due to increased sales of solar renewable technologies for the fiscal 2012 third quarter and the first nine months of fiscal 2012. We believe that revenue activity increased at the calendar year end as customers took advantage of expiring tax benefits. During the same periods of fiscal 2010, our Engineered Systems segment efforts were primarily focused on research of renewable technology products and understanding if there was a market for these technologies within our customer base.</w:t>
      </w:r>
    </w:p>
    <w:p>
      <w:pPr>
        <w:spacing w:after="0" w:line="137"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Engineered Systems segment operating loss decreased $0.5, or 79.4%, million from an operating loss of $0.6 million for the fiscal 2011 third quarter to $0.1 million for the fiscal 2012 third quarter. Energy Systems segment operating income increased $2.4 million, or 140%, from an operating loss of $1.7 million for the first nine months of fiscal 2011 to operating income of $0.7 million for the first nine months of fiscal 2012. The increase in operating income for both the quarter and year-to-date, was a result of the increased revenue volume and resulting contribution margin from sales of solar renewable energy systems.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85" w:lineRule="exact"/>
        <w:rPr>
          <w:sz w:val="20"/>
          <w:szCs w:val="20"/>
          <w:color w:val="auto"/>
        </w:rPr>
      </w:pPr>
    </w:p>
    <w:p>
      <w:pPr>
        <w:jc w:val="both"/>
        <w:ind w:right="180" w:firstLine="457"/>
        <w:spacing w:after="0" w:line="287" w:lineRule="auto"/>
        <w:rPr>
          <w:sz w:val="20"/>
          <w:szCs w:val="20"/>
          <w:color w:val="auto"/>
        </w:rPr>
      </w:pPr>
      <w:r>
        <w:rPr>
          <w:rFonts w:ascii="Arial" w:cs="Arial" w:eastAsia="Arial" w:hAnsi="Arial"/>
          <w:sz w:val="15"/>
          <w:szCs w:val="15"/>
          <w:color w:val="auto"/>
        </w:rPr>
        <w:t>We had approximately $18.2 million in cash and cash equivalents and $1.0 million in short-term investments as of December 31, 2011, compared to $11.6 million and $1.0 million at March 31, 2011. Our cash equivalents are invested in money market accounts with maturities of less than 90 days and an average yield of 0.24%. Our short-term investment account consists of a bank certificate of deposit in the amount of $1.0 million with an expiration date of March 2012 and a yield of 0.50%.</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Additionally, as of December 31, 2011, we had $13.3 million of borrowing availability under our revolving credit agreement. We also had $3.2 million of availability on our recently completed OTA credit agreement, which can be utilized for the sole purpose of funding customer OTA projects. During the first nine months of fiscal 2012, we borrowed $4.6 million to finance our OTA projects. In November 2011, we entered into an arrangement with a national equipment finance company to provide immediate non-recourse funding of pre-credit approved OTA finance contracts upon project completion and customer acceptance. We have now secured multiple debt and equipment finance sources for our OTA finance contracts and believe that our sources of OTA funding are sufficient to meet near-term OTA finance program requirements. In October 2011, our board of directors approved a $1.0 million share repurchase plan, which was increased to $2.5 million in November 2011. We believe that our existing cash and cash equivalents, our anticipated cash flows from operating activities and our borrowing capacity under our revolving credit facility and our OTA credit facility will be sufficient to meet our anticipated cash needs for at least the next 12 months, dependent upon our growth opportunities with our cash and finance customers.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67"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5515" cy="36830"/>
                    </a:xfrm>
                    <a:prstGeom prst="rect">
                      <a:avLst/>
                    </a:prstGeom>
                    <a:noFill/>
                  </pic:spPr>
                </pic:pic>
              </a:graphicData>
            </a:graphic>
          </wp:anchor>
        </w:drawing>
        <w:t>Cash Flows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cash flows for the nine months ended December 31, 2010 and 2011 (in thousands):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90"/>
              </w:rPr>
              <w:t>Nine Months Ended December 31,</w:t>
            </w:r>
          </w:p>
        </w:tc>
      </w:tr>
      <w:tr>
        <w:trPr>
          <w:trHeight w:val="153"/>
        </w:trPr>
        <w:tc>
          <w:tcPr>
            <w:tcW w:w="6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2010</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r>
      <w:tr>
        <w:trPr>
          <w:trHeight w:val="197"/>
        </w:trPr>
        <w:tc>
          <w:tcPr>
            <w:tcW w:w="63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Operating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(10,585)</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6,486</w:t>
            </w:r>
          </w:p>
        </w:tc>
        <w:tc>
          <w:tcPr>
            <w:tcW w:w="100" w:type="dxa"/>
            <w:vAlign w:val="bottom"/>
            <w:shd w:val="clear" w:color="auto" w:fill="CCEEFF"/>
          </w:tcPr>
          <w:p>
            <w:pPr>
              <w:spacing w:after="0"/>
              <w:rPr>
                <w:sz w:val="17"/>
                <w:szCs w:val="17"/>
                <w:color w:val="auto"/>
              </w:rPr>
            </w:pPr>
          </w:p>
        </w:tc>
      </w:tr>
      <w:tr>
        <w:trPr>
          <w:trHeight w:val="204"/>
        </w:trPr>
        <w:tc>
          <w:tcPr>
            <w:tcW w:w="6300" w:type="dxa"/>
            <w:vAlign w:val="bottom"/>
          </w:tcPr>
          <w:p>
            <w:pPr>
              <w:spacing w:after="0"/>
              <w:rPr>
                <w:sz w:val="20"/>
                <w:szCs w:val="20"/>
                <w:color w:val="auto"/>
              </w:rPr>
            </w:pPr>
            <w:r>
              <w:rPr>
                <w:rFonts w:ascii="Arial" w:cs="Arial" w:eastAsia="Arial" w:hAnsi="Arial"/>
                <w:sz w:val="17"/>
                <w:szCs w:val="17"/>
                <w:color w:val="auto"/>
              </w:rPr>
              <w:t>Investing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(5,589)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(3,584)</w:t>
            </w:r>
          </w:p>
        </w:tc>
      </w:tr>
      <w:tr>
        <w:trPr>
          <w:trHeight w:val="204"/>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3,771</w:t>
            </w:r>
          </w:p>
        </w:tc>
        <w:tc>
          <w:tcPr>
            <w:tcW w:w="100" w:type="dxa"/>
            <w:vAlign w:val="bottom"/>
            <w:shd w:val="clear" w:color="auto" w:fill="CCEEFF"/>
          </w:tcPr>
          <w:p>
            <w:pPr>
              <w:spacing w:after="0"/>
              <w:rPr>
                <w:sz w:val="17"/>
                <w:szCs w:val="17"/>
                <w:color w:val="auto"/>
              </w:rPr>
            </w:pPr>
          </w:p>
        </w:tc>
      </w:tr>
      <w:tr>
        <w:trPr>
          <w:trHeight w:val="209"/>
        </w:trPr>
        <w:tc>
          <w:tcPr>
            <w:tcW w:w="6300" w:type="dxa"/>
            <w:vAlign w:val="bottom"/>
          </w:tcPr>
          <w:p>
            <w:pPr>
              <w:spacing w:after="0"/>
              <w:rPr>
                <w:sz w:val="20"/>
                <w:szCs w:val="20"/>
                <w:color w:val="auto"/>
              </w:rPr>
            </w:pPr>
            <w:r>
              <w:rPr>
                <w:rFonts w:ascii="Arial" w:cs="Arial" w:eastAsia="Arial" w:hAnsi="Arial"/>
                <w:sz w:val="17"/>
                <w:szCs w:val="17"/>
                <w:color w:val="auto"/>
              </w:rPr>
              <w:t>(Decrease) increase in cash and cash equivalents</w:t>
            </w:r>
          </w:p>
        </w:tc>
        <w:tc>
          <w:tcPr>
            <w:tcW w:w="14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(13,506)</w:t>
            </w:r>
          </w:p>
        </w:tc>
        <w:tc>
          <w:tcPr>
            <w:tcW w:w="44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6,673</w:t>
            </w:r>
          </w:p>
        </w:tc>
        <w:tc>
          <w:tcPr>
            <w:tcW w:w="10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i w:val="1"/>
          <w:iCs w:val="1"/>
          <w:color w:val="auto"/>
        </w:rPr>
        <w:t xml:space="preserve">Cash Flows Related to Operating Activities. </w:t>
      </w:r>
      <w:r>
        <w:rPr>
          <w:rFonts w:ascii="Arial" w:cs="Arial" w:eastAsia="Arial" w:hAnsi="Arial"/>
          <w:sz w:val="15"/>
          <w:szCs w:val="15"/>
          <w:color w:val="auto"/>
        </w:rPr>
        <w:t>Cash provided by operating activities for the first nine months of fiscal 2012 was $6.5 million and consisted of net cash</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from changes in operating assets and liabilities of $2.0 million and net income adjusted for non-cash expense items of $4.5 million. Cash provided by changes in operating assets and liabilities consisted of a decrease of $6.9 million in deferred contract costs due to project progress for solar projects, a $1.6 million decrease in total accounts receivable due to customer payments received and a $3.0 million increase in accounts payable related to payment terms on inventory purchases. Cash used from changes in operating assets and liabilities included a $3.6 million increase in inventory for purchases described under “— Liquidity and Capital Resources — Working Capital” below and a $6.1 million decrease in deferred revenue as a result of project completions.</w:t>
      </w:r>
    </w:p>
    <w:p>
      <w:pPr>
        <w:spacing w:after="0" w:line="106"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Cash used in operating activities for the first nine months of fiscal 2011, was $10.6 million and consisted of net cash of $13.3 million used for changes in operating assets and liabilities offset by a net loss adjusted for non-cash expense items of $2.7 million. Cash used for changes in operating assets and liabilities consisted of an increase in accounts receivables of $10.1 million due to the increase in revenue, an increase in deferred contract costs of $5.6 million for solar project costs incurred and an increase of $6.2 million for inventory purchases, including $1.8 million for purchases of wireless control inventories and a $4.4 million increase in ballast component inventories due to concerns over supply availability and component shortages. Cash provided by changes in operating assets and liabilities included a $7.6 million increase in accounts payable related to payment terms on inventory purchases and a $3.2 million increase in deferred revenue.</w:t>
      </w:r>
    </w:p>
    <w:p>
      <w:pPr>
        <w:spacing w:after="0" w:line="106" w:lineRule="exact"/>
        <w:rPr>
          <w:sz w:val="20"/>
          <w:szCs w:val="20"/>
          <w:color w:val="auto"/>
        </w:rPr>
      </w:pPr>
    </w:p>
    <w:p>
      <w:pPr>
        <w:ind w:right="260" w:firstLine="457"/>
        <w:spacing w:after="0" w:line="260" w:lineRule="auto"/>
        <w:rPr>
          <w:sz w:val="20"/>
          <w:szCs w:val="20"/>
          <w:color w:val="auto"/>
        </w:rPr>
      </w:pPr>
      <w:r>
        <w:rPr>
          <w:rFonts w:ascii="Arial" w:cs="Arial" w:eastAsia="Arial" w:hAnsi="Arial"/>
          <w:sz w:val="17"/>
          <w:szCs w:val="17"/>
          <w:i w:val="1"/>
          <w:iCs w:val="1"/>
          <w:color w:val="auto"/>
        </w:rPr>
        <w:t xml:space="preserve">Cash Flows Related to Investing Activities. </w:t>
      </w:r>
      <w:r>
        <w:rPr>
          <w:rFonts w:ascii="Arial" w:cs="Arial" w:eastAsia="Arial" w:hAnsi="Arial"/>
          <w:sz w:val="17"/>
          <w:szCs w:val="17"/>
          <w:color w:val="auto"/>
        </w:rPr>
        <w:t>For the first nine months of fiscal 2012, cash used in investing activities was $3.6 million. This included a net $3.4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capital improvements related to our information technology systems, manufacturing and tooling improvements and facility investments and $0.2 million for investment in patent activities.</w:t>
      </w:r>
    </w:p>
    <w:p>
      <w:pPr>
        <w:spacing w:after="0" w:line="13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For the first nine months of fiscal 2011, cash used in investing activities was $5.6 million. This included $3.0 million for capital improvements related to our information technology systems, renewable technologies, manufacturing and tooling improvements and facility investments, $2.1 million invested in equipment related to our PPA finance programs, $0.3 million for long-term investments and $0.1 million for patent investments.</w:t>
      </w:r>
    </w:p>
    <w:p>
      <w:pPr>
        <w:spacing w:after="0" w:line="131" w:lineRule="exact"/>
        <w:rPr>
          <w:sz w:val="20"/>
          <w:szCs w:val="20"/>
          <w:color w:val="auto"/>
        </w:rPr>
      </w:pPr>
    </w:p>
    <w:p>
      <w:pPr>
        <w:ind w:right="200" w:firstLine="457"/>
        <w:spacing w:after="0" w:line="257" w:lineRule="auto"/>
        <w:rPr>
          <w:sz w:val="20"/>
          <w:szCs w:val="20"/>
          <w:color w:val="auto"/>
        </w:rPr>
      </w:pPr>
      <w:r>
        <w:rPr>
          <w:rFonts w:ascii="Arial" w:cs="Arial" w:eastAsia="Arial" w:hAnsi="Arial"/>
          <w:sz w:val="17"/>
          <w:szCs w:val="17"/>
          <w:i w:val="1"/>
          <w:iCs w:val="1"/>
          <w:color w:val="auto"/>
        </w:rPr>
        <w:t xml:space="preserve">Cash Flows Related to Financing Activities. </w:t>
      </w:r>
      <w:r>
        <w:rPr>
          <w:rFonts w:ascii="Arial" w:cs="Arial" w:eastAsia="Arial" w:hAnsi="Arial"/>
          <w:sz w:val="17"/>
          <w:szCs w:val="17"/>
          <w:color w:val="auto"/>
        </w:rPr>
        <w:t>For the first nine months of fiscal 2012, cash flows provided by financing activities were $3.8 million. This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$4.6 million in new debt borrowings to fund OTAs, $0.7 million for excess tax benefits from stock-based compensation and $0.1 million received from stock option and warrant exercises. Cash flows used in financing activities included $1.3 million for repayment of long-term debt, $0.3 million for common share repurchases and $0.1 million for debt closing costs.</w:t>
      </w:r>
    </w:p>
    <w:p>
      <w:pPr>
        <w:spacing w:after="0" w:line="133" w:lineRule="exact"/>
        <w:rPr>
          <w:sz w:val="20"/>
          <w:szCs w:val="20"/>
          <w:color w:val="auto"/>
        </w:rPr>
      </w:pPr>
    </w:p>
    <w:p>
      <w:pPr>
        <w:jc w:val="both"/>
        <w:ind w:right="200" w:firstLine="457"/>
        <w:spacing w:after="0" w:line="284" w:lineRule="auto"/>
        <w:rPr>
          <w:sz w:val="20"/>
          <w:szCs w:val="20"/>
          <w:color w:val="auto"/>
        </w:rPr>
      </w:pPr>
      <w:r>
        <w:rPr>
          <w:rFonts w:ascii="Arial" w:cs="Arial" w:eastAsia="Arial" w:hAnsi="Arial"/>
          <w:sz w:val="16"/>
          <w:szCs w:val="16"/>
          <w:color w:val="auto"/>
        </w:rPr>
        <w:t>For the first nine months of fiscal 2011, cash flows provided by financing activities were $2.7 million. This included $2.7 million in new debt borrowings to fund OTA and capital projects, $0.4 million received from stock option exercises and $0.2 million for excess tax benefits from stock-based compensation. Cash flows used in financing activities included $0.5 million for repayment of long-term debt and $0.1 million for costs related to our new credit agreement.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271" w:right="27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5515" cy="36830"/>
                    </a:xfrm>
                    <a:prstGeom prst="rect">
                      <a:avLst/>
                    </a:prstGeom>
                    <a:noFill/>
                  </pic:spPr>
                </pic:pic>
              </a:graphicData>
            </a:graphic>
          </wp:anchor>
        </w:drawing>
        <w:t>Working Capital</w:t>
      </w:r>
    </w:p>
    <w:p>
      <w:pPr>
        <w:spacing w:after="0" w:line="85" w:lineRule="exact"/>
        <w:rPr>
          <w:sz w:val="20"/>
          <w:szCs w:val="20"/>
          <w:color w:val="auto"/>
        </w:rPr>
      </w:pPr>
    </w:p>
    <w:p>
      <w:pPr>
        <w:ind w:right="40" w:firstLine="457"/>
        <w:spacing w:after="0" w:line="297" w:lineRule="auto"/>
        <w:rPr>
          <w:sz w:val="20"/>
          <w:szCs w:val="20"/>
          <w:color w:val="auto"/>
        </w:rPr>
      </w:pPr>
      <w:r>
        <w:rPr>
          <w:rFonts w:ascii="Arial" w:cs="Arial" w:eastAsia="Arial" w:hAnsi="Arial"/>
          <w:sz w:val="15"/>
          <w:szCs w:val="15"/>
          <w:color w:val="auto"/>
        </w:rPr>
        <w:t>Our net working capital as of December 31, 2011 was $41.5 million, consisting of $65.4 million in current assets and $23.9 million in current liabilities. Our net working capital as of March 31, 2011 was $40.0 million, consisting of $64.2 million in current assets and $24.2 million in current liabilities. Our accounts receivables have decreased from fiscal 2011 year-end by $2.9 million as a result of cash collections from customers. Our inventories increased from our fiscal 2011 year-end by $3.6 million due to a $1.6 million increase in fluorescent lamps due to supply concerns, a $1.2 million increase in raw materials for new products and to help address certain electronic component supply concerns and a $0.8 million increase in our work-in process inventories for product orders to be delivered in our fiscal 2012 fourth quarter.</w:t>
      </w:r>
    </w:p>
    <w:p>
      <w:pPr>
        <w:spacing w:after="0" w:line="107"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color w:val="auto"/>
        </w:rPr>
        <w:t>During fiscal 2011, we increased our inventory levels of key electronic components, specifically electronic ballasts, to avoid potential shortages and customer service issues as a result of lengthening supply lead times and product availability issues. During fiscal 2012, we have maintained these higher levels of ballast inventories. We continue to monitor supply side concerns within the electronic component market and believe that our current inventory levels are sufficient to protect us against the risk of being unable to deliver product as specified by our customers’ requirements. During fiscal 2012, we were made aware of concerns over shortages of rare earth minerals used in the production of fluorescent lamps. We have increased our purchase commitments related to these components to ensure that we will have product availability to meet customer demands. We are continually monitoring supply side concerns through conversations with our key vendors and currently believe that supply availability concerns appear to have moderated, but have not diminished to the point where we anticipate reducing safety stock to the levels that existed prior to the electrical components supply issues.</w:t>
      </w:r>
    </w:p>
    <w:p>
      <w:pPr>
        <w:spacing w:after="0" w:line="125"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Agreement</w:t>
      </w:r>
    </w:p>
    <w:p>
      <w:pPr>
        <w:spacing w:after="0" w:line="85"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On June 30, 2010, we entered into a new credit agreement, or Credit Agreement, with JP Morgan Chase Bank, N.A., or JP Morgan. The Credit Agreement replaced our former credit agreement.</w:t>
      </w:r>
    </w:p>
    <w:p>
      <w:pPr>
        <w:spacing w:after="0" w:line="122"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The Credit Agreement provides for a revolving credit facility, or Credit Facility, that matures on June 30, 2012. We are currently working on an amendment to the Credit Facility to extend the maturity date to June 30, 2013.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and 45% of certain inventory. We also may cause JP Morgan to issue letters of credit for our account in the aggregate principal amount of up to $2.0 million, with the dollar amount of each issued letter of credit counting against the overall limit on borrowings under the Credit Facility. As of December 31, 2011, we had outstanding letters of credit totaling $1.7 million, primarily for securing collateral requirements under equipment operating leases. In fiscal 2011, we incurred $57,000 of total deferred financing costs related to the Credit Agreement which is being amortized over the two-year term of the Credit Agreement. We had no outstanding borrowings under the Credit Agreement as of March 31, 2011 or December 31, 2011.</w:t>
      </w:r>
    </w:p>
    <w:p>
      <w:pPr>
        <w:spacing w:after="0" w:line="114"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The Credit Agreement is secured by a first lien security interest in our accounts receivable, inventory and general intangibles, and a second lien priority in our equipment and fixtures. All OTAs, PPAs, leases, supply agreements and/or similar agreements relating to solar photovoltaic and wind turbine systems or facilities, as well as all of our accounts receivable and assets related to the foregoing, are excluded from these liens.</w:t>
      </w:r>
    </w:p>
    <w:p>
      <w:pPr>
        <w:spacing w:after="0" w:line="13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We must pay a fee of 0.25% on the average daily unused amount of the Credit Facility and a fee of 2.00% on the daily average face amount of undrawn issued letters of credit. The fee on unused amounts is waived if we or our affiliates maintain funds on deposit with JP Morgan or its affiliates above a specified amount. We satisfied the deposit requirement to waive the unused fee as of December 31,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271"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5515" cy="36830"/>
                    </a:xfrm>
                    <a:prstGeom prst="rect">
                      <a:avLst/>
                    </a:prstGeom>
                    <a:noFill/>
                  </pic:spPr>
                </pic:pic>
              </a:graphicData>
            </a:graphic>
          </wp:anchor>
        </w:drawing>
        <w:t>OTA Credit Agreement</w:t>
      </w:r>
    </w:p>
    <w:p>
      <w:pPr>
        <w:spacing w:after="0" w:line="85"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In September 2011, we entered into a credit agreement with JP Morgan that provided us with $5.0 million immediately available to fund completed customer contracts under our OTA finance program and an additional $5.0 million upon our achievement of meeting a trailing 12-month earnings before interest, taxes, depreciation and amortization (EBITDA) target of $8.0 million. We have one-year from the date of the commitment to borrow under the credit agreement. In September 2011, we borrowed $1.8 million. We did not borrow on the credit facility during our fiscal 2012 third quarter. The borrowing is collateralized by the OTA-related equipment and the expected future monthly payments under the supporting 27 individual OTA customer contracts. The current borrowing under the credit agreement bears interest at LIBOR plus 4% and matures in September 2016. The credit agreement includes certain financial covenants, including funded debt to EBITDA and debt service coverage ratios.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Spending</w:t>
      </w:r>
    </w:p>
    <w:p>
      <w:pPr>
        <w:spacing w:after="0" w:line="85"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Capital expenditures totaled $3.4 million during the first nine months of fiscal 2012 due to investments in information technologies and other tooling and equipment for new products, as well as cost improvements in our manufacturing facility and a research and training addition to our Manitowoc facility. We expect to incur approximately $1.0 million in capital expenditures during the remainder of fiscal 2012, excluding capital to support expected OTA growth. Our capital spending plans predominantly consist of the completion of projects that have been in place for several months and for which we have already invested significant capital. We consider the investment into our training and research facility critical to our long-term success. We expect to finance these capital expenditures primarily through our existing cash, equipment secured loans and leases, to the extent needed, long-term debt financing, or by using our available capacity under our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is a summary of our long-term contractual obligations as of December 31, 2011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More than</w:t>
            </w:r>
          </w:p>
        </w:tc>
      </w:tr>
      <w:tr>
        <w:trPr>
          <w:trHeight w:val="153"/>
        </w:trPr>
        <w:tc>
          <w:tcPr>
            <w:tcW w:w="51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60"/>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6"/>
              </w:rPr>
              <w:t>1 Year</w:t>
            </w:r>
          </w:p>
        </w:tc>
        <w:tc>
          <w:tcPr>
            <w:tcW w:w="1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1-3 Years</w:t>
            </w:r>
          </w:p>
        </w:tc>
        <w:tc>
          <w:tcPr>
            <w:tcW w:w="2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2"/>
              </w:rPr>
              <w:t>3-5 Years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r>
      <w:tr>
        <w:trPr>
          <w:trHeight w:val="197"/>
        </w:trPr>
        <w:tc>
          <w:tcPr>
            <w:tcW w:w="51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Bank debt obligations</w:t>
            </w:r>
          </w:p>
        </w:tc>
        <w:tc>
          <w:tcPr>
            <w:tcW w:w="2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8,685</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3,960</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$ 1,492</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5180" w:type="dxa"/>
            <w:vAlign w:val="bottom"/>
          </w:tcPr>
          <w:p>
            <w:pPr>
              <w:spacing w:after="0"/>
              <w:rPr>
                <w:sz w:val="20"/>
                <w:szCs w:val="20"/>
                <w:color w:val="auto"/>
              </w:rPr>
            </w:pPr>
            <w:r>
              <w:rPr>
                <w:rFonts w:ascii="Arial" w:cs="Arial" w:eastAsia="Arial" w:hAnsi="Arial"/>
                <w:sz w:val="17"/>
                <w:szCs w:val="17"/>
                <w:color w:val="auto"/>
              </w:rPr>
              <w:t>Cash interest payments on debt</w:t>
            </w: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1,241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401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456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155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229</w:t>
            </w:r>
          </w:p>
        </w:tc>
      </w:tr>
      <w:tr>
        <w:trPr>
          <w:trHeight w:val="204"/>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2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2,910</w:t>
            </w:r>
          </w:p>
        </w:tc>
      </w:tr>
      <w:tr>
        <w:trPr>
          <w:trHeight w:val="204"/>
        </w:trPr>
        <w:tc>
          <w:tcPr>
            <w:tcW w:w="5180" w:type="dxa"/>
            <w:vAlign w:val="bottom"/>
          </w:tcPr>
          <w:p>
            <w:pPr>
              <w:spacing w:after="0"/>
              <w:rPr>
                <w:sz w:val="20"/>
                <w:szCs w:val="20"/>
                <w:color w:val="auto"/>
              </w:rPr>
            </w:pPr>
            <w:r>
              <w:rPr>
                <w:rFonts w:ascii="Arial" w:cs="Arial" w:eastAsia="Arial" w:hAnsi="Arial"/>
                <w:sz w:val="17"/>
                <w:szCs w:val="17"/>
                <w:color w:val="auto"/>
              </w:rPr>
              <w:t>Purchase order and cap-ex commitments(1)</w:t>
            </w: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14,937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10,454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4,483</w:t>
            </w:r>
          </w:p>
        </w:tc>
        <w:tc>
          <w:tcPr>
            <w:tcW w:w="28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w:t>
            </w:r>
          </w:p>
        </w:tc>
      </w:tr>
      <w:tr>
        <w:trPr>
          <w:trHeight w:val="26"/>
        </w:trPr>
        <w:tc>
          <w:tcPr>
            <w:tcW w:w="5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4"/>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33,040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14,927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10,736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$ 3,349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4,028</w:t>
            </w:r>
          </w:p>
        </w:tc>
      </w:tr>
      <w:tr>
        <w:trPr>
          <w:trHeight w:val="20"/>
        </w:trPr>
        <w:tc>
          <w:tcPr>
            <w:tcW w:w="5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1" w:lineRule="exact"/>
        <w:rPr>
          <w:sz w:val="20"/>
          <w:szCs w:val="20"/>
          <w:color w:val="auto"/>
        </w:rPr>
      </w:pPr>
    </w:p>
    <w:p>
      <w:pPr>
        <w:ind w:left="440" w:right="260" w:hanging="438"/>
        <w:spacing w:after="0" w:line="270"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non-cancellable purchase order commitments in the amount of $14.9 million for certain inventory items entered into in order to secure better pricing and ensure materials on hand.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no off-balance sheet arrangements.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results from operations have not been, and we do not expect them to be, materially affected by inflation.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89"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10-K/A for the year ended March 31, 2011. There have been no material changes in any of our accounting policies since March 31, 2011.</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7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Recent Accounting Pronouncements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For a complete discussion of recent accounting pronouncements, refer to Note B in the condensed consolidated financial statements included elsewhere in this report.</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6" w:lineRule="exact"/>
        <w:rPr>
          <w:sz w:val="20"/>
          <w:szCs w:val="20"/>
          <w:color w:val="auto"/>
        </w:rPr>
      </w:pPr>
    </w:p>
    <w:p>
      <w:pPr>
        <w:ind w:right="240" w:firstLine="457"/>
        <w:spacing w:after="0" w:line="270"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10-K/A for the year ended March 31, 2011. There have been no material changes to such exposures since March 31, 2011.</w:t>
      </w:r>
    </w:p>
    <w:p>
      <w:pPr>
        <w:spacing w:after="0" w:line="23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89"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December 31, 2011 pursuant to Rules 13a-15(b) of the Securities Exchange Act of 1934, or the Exchange Act.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Weaknesses in Internal Control over Financial Reporting</w:t>
      </w:r>
    </w:p>
    <w:p>
      <w:pPr>
        <w:spacing w:after="0" w:line="89" w:lineRule="exact"/>
        <w:rPr>
          <w:sz w:val="20"/>
          <w:szCs w:val="20"/>
          <w:color w:val="auto"/>
        </w:rPr>
      </w:pPr>
    </w:p>
    <w:p>
      <w:pPr>
        <w:ind w:right="240" w:firstLine="457"/>
        <w:spacing w:after="0" w:line="302" w:lineRule="auto"/>
        <w:rPr>
          <w:sz w:val="20"/>
          <w:szCs w:val="20"/>
          <w:color w:val="auto"/>
        </w:rPr>
      </w:pPr>
      <w:r>
        <w:rPr>
          <w:rFonts w:ascii="Arial" w:cs="Arial" w:eastAsia="Arial" w:hAnsi="Arial"/>
          <w:sz w:val="16"/>
          <w:szCs w:val="16"/>
          <w:color w:val="auto"/>
        </w:rPr>
        <w:t>In connection with the assessment of our internal control over financial reporting as of December 31, 2011, management has identified the following deficiencies that constituted individually, or in the aggregate, material weaknesses in our internal control over financial reporting as of December 31, 2011:</w:t>
      </w:r>
    </w:p>
    <w:p>
      <w:pPr>
        <w:spacing w:after="0" w:line="22" w:lineRule="exact"/>
        <w:rPr>
          <w:sz w:val="20"/>
          <w:szCs w:val="20"/>
          <w:color w:val="auto"/>
        </w:rPr>
      </w:pPr>
    </w:p>
    <w:p>
      <w:pPr>
        <w:ind w:left="880" w:right="140" w:hanging="316"/>
        <w:spacing w:after="0" w:line="311"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did not maintain an effective control environment, as evidenced by the combination of (i) having an insufficient number of personnel appropriately qualified to perform an appropriately detailed review of the accounting for nonroutine revenue transactions, and (ii) having inadequate disclosure controls to ensure timely internal notification of business transactions impacting revenue recognition and decisions requiring accounting entries.</w:t>
      </w:r>
    </w:p>
    <w:p>
      <w:pPr>
        <w:spacing w:after="0" w:line="18" w:lineRule="exact"/>
        <w:rPr>
          <w:rFonts w:ascii="Arial" w:cs="Arial" w:eastAsia="Arial" w:hAnsi="Arial"/>
          <w:sz w:val="15"/>
          <w:szCs w:val="15"/>
          <w:color w:val="auto"/>
        </w:rPr>
      </w:pPr>
    </w:p>
    <w:p>
      <w:pPr>
        <w:ind w:left="880" w:right="460" w:hanging="316"/>
        <w:spacing w:after="0" w:line="270"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over our financial close and reporting processes as evidenced by having an insufficient number of personnel appropriately qualified to support timely and thorough reconciliation of significant accounts.</w:t>
      </w:r>
    </w:p>
    <w:p>
      <w:pPr>
        <w:spacing w:after="0" w:line="122" w:lineRule="exact"/>
        <w:rPr>
          <w:sz w:val="20"/>
          <w:szCs w:val="20"/>
          <w:color w:val="auto"/>
        </w:rPr>
      </w:pPr>
    </w:p>
    <w:p>
      <w:pPr>
        <w:ind w:right="780" w:firstLine="457"/>
        <w:spacing w:after="0" w:line="338" w:lineRule="auto"/>
        <w:rPr>
          <w:sz w:val="20"/>
          <w:szCs w:val="20"/>
          <w:color w:val="auto"/>
        </w:rPr>
      </w:pPr>
      <w:r>
        <w:rPr>
          <w:rFonts w:ascii="Arial" w:cs="Arial" w:eastAsia="Arial" w:hAnsi="Arial"/>
          <w:sz w:val="15"/>
          <w:szCs w:val="15"/>
          <w:color w:val="auto"/>
        </w:rPr>
        <w:t>The material weaknesses described above resulted in a restatement of our annual and interim consolidated financial statements. Because of these material weaknesses, management concluded that we did not maintain effective internal control over financial reporting as of December 31, 2011.</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Plans for Remediation of Material Weaknesses</w:t>
      </w:r>
    </w:p>
    <w:p>
      <w:pPr>
        <w:spacing w:after="0" w:line="8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Our Board, the Audit &amp; Finance Committee and management have added resources and are developing and implementing new processes, procedures and internal controls to remediate the material weaknesses that existed in our internal control over financial reporting as it related to revenue recognition, our financial close process and our disclosure controls and procedures, as of December 31, 2011.</w:t>
      </w:r>
    </w:p>
    <w:p>
      <w:pPr>
        <w:spacing w:after="0" w:line="131" w:lineRule="exact"/>
        <w:rPr>
          <w:sz w:val="20"/>
          <w:szCs w:val="20"/>
          <w:color w:val="auto"/>
        </w:rPr>
      </w:pPr>
    </w:p>
    <w:p>
      <w:pPr>
        <w:ind w:right="200" w:firstLine="457"/>
        <w:spacing w:after="0" w:line="260" w:lineRule="auto"/>
        <w:rPr>
          <w:sz w:val="20"/>
          <w:szCs w:val="20"/>
          <w:color w:val="auto"/>
        </w:rPr>
      </w:pPr>
      <w:r>
        <w:rPr>
          <w:rFonts w:ascii="Arial" w:cs="Arial" w:eastAsia="Arial" w:hAnsi="Arial"/>
          <w:sz w:val="17"/>
          <w:szCs w:val="17"/>
          <w:color w:val="auto"/>
        </w:rPr>
        <w:t>We have developed a remediation plan (the “Remediation Plan”) to address the material weaknesses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54" w:lineRule="exact"/>
        <w:rPr>
          <w:sz w:val="20"/>
          <w:szCs w:val="20"/>
          <w:color w:val="auto"/>
        </w:rPr>
      </w:pPr>
    </w:p>
    <w:p>
      <w:pPr>
        <w:ind w:left="880" w:right="80" w:hanging="316"/>
        <w:spacing w:after="0" w:line="270"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Define and assess each control deficiency: ensure a thorough understanding of the “as is” state, process owners, and procedural or technological gaps causing the deficiency;</w:t>
      </w:r>
    </w:p>
    <w:p>
      <w:pPr>
        <w:spacing w:after="0" w:line="45" w:lineRule="exact"/>
        <w:rPr>
          <w:rFonts w:ascii="Arial" w:cs="Arial" w:eastAsia="Arial" w:hAnsi="Arial"/>
          <w:sz w:val="17"/>
          <w:szCs w:val="17"/>
          <w:color w:val="auto"/>
        </w:rPr>
      </w:pPr>
    </w:p>
    <w:p>
      <w:pPr>
        <w:ind w:left="880" w:right="220" w:hanging="316"/>
        <w:spacing w:after="0" w:line="270"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Design and evaluate a remediation action for each control deficiency for each affected area; validate or improve the related policy and procedures; evaluate skills of the process owners with regard to the policy and adjust as required;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267" w:right="239" w:bottom="1440" w:gutter="0" w:footer="0" w:header="0"/>
        </w:sectPr>
      </w:pPr>
    </w:p>
    <w:bookmarkStart w:id="32" w:name="page33"/>
    <w:bookmarkEnd w:id="32"/>
    <w:p>
      <w:pPr>
        <w:ind w:left="880" w:hanging="31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5515" cy="36830"/>
                    </a:xfrm>
                    <a:prstGeom prst="rect">
                      <a:avLst/>
                    </a:prstGeom>
                    <a:noFill/>
                  </pic:spPr>
                </pic:pic>
              </a:graphicData>
            </a:graphic>
          </wp:anchor>
        </w:drawing>
        <w:t>Implement specific remediation actions: train process owners, allow time for process adoption and adequate transaction volume for next steps;</w:t>
      </w:r>
    </w:p>
    <w:p>
      <w:pPr>
        <w:spacing w:after="0" w:line="96" w:lineRule="exact"/>
        <w:rPr>
          <w:rFonts w:ascii="Arial" w:cs="Arial" w:eastAsia="Arial" w:hAnsi="Arial"/>
          <w:sz w:val="16"/>
          <w:szCs w:val="16"/>
          <w:color w:val="auto"/>
        </w:rPr>
      </w:pPr>
    </w:p>
    <w:p>
      <w:pPr>
        <w:ind w:left="880" w:right="40" w:hanging="316"/>
        <w:spacing w:after="0" w:line="270"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Test and measure the design and effectiveness of the remediation actions; test and provide feedback on the design and operating effectiveness of the controls, and:</w:t>
      </w:r>
    </w:p>
    <w:p>
      <w:pPr>
        <w:spacing w:after="0" w:line="45" w:lineRule="exact"/>
        <w:rPr>
          <w:rFonts w:ascii="Arial" w:cs="Arial" w:eastAsia="Arial" w:hAnsi="Arial"/>
          <w:sz w:val="17"/>
          <w:szCs w:val="17"/>
          <w:color w:val="auto"/>
        </w:rPr>
      </w:pPr>
    </w:p>
    <w:p>
      <w:pPr>
        <w:ind w:left="880" w:hanging="316"/>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 and acceptance of completion of the remediation effort by management and the Audit &amp; Finance Committee.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are steps we have taken in this process:</w:t>
      </w:r>
    </w:p>
    <w:p>
      <w:pPr>
        <w:spacing w:after="0" w:line="85" w:lineRule="exact"/>
        <w:rPr>
          <w:sz w:val="20"/>
          <w:szCs w:val="20"/>
          <w:color w:val="auto"/>
        </w:rPr>
      </w:pPr>
    </w:p>
    <w:p>
      <w:pPr>
        <w:ind w:left="880" w:hanging="316"/>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second quarter of fiscal 2012, we hired a Corporate controller and in the third quarter of fiscal 2012, we hired a corporate tax manager;</w:t>
      </w:r>
    </w:p>
    <w:p>
      <w:pPr>
        <w:spacing w:after="0" w:line="96" w:lineRule="exact"/>
        <w:rPr>
          <w:rFonts w:ascii="Arial" w:cs="Arial" w:eastAsia="Arial" w:hAnsi="Arial"/>
          <w:sz w:val="16"/>
          <w:szCs w:val="16"/>
          <w:color w:val="auto"/>
        </w:rPr>
      </w:pPr>
    </w:p>
    <w:p>
      <w:pPr>
        <w:ind w:left="880" w:right="380" w:hanging="316"/>
        <w:spacing w:after="0" w:line="270"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April 2012, we developed and implemented a new sub-certification process with our management group in order to identify new revenue sources and identify legal contractual terms and conditions revisions;</w:t>
      </w:r>
    </w:p>
    <w:p>
      <w:pPr>
        <w:spacing w:after="0" w:line="45" w:lineRule="exact"/>
        <w:rPr>
          <w:rFonts w:ascii="Arial" w:cs="Arial" w:eastAsia="Arial" w:hAnsi="Arial"/>
          <w:sz w:val="17"/>
          <w:szCs w:val="17"/>
          <w:color w:val="auto"/>
        </w:rPr>
      </w:pPr>
    </w:p>
    <w:p>
      <w:pPr>
        <w:ind w:left="880" w:hanging="316"/>
        <w:spacing w:after="0" w:line="270"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first quarter of fiscal 2012, we implemented a new enterprise resource planning, or ERP, system to improve our process transactions and the underlying data that supports our financial closing and reporting process.</w:t>
      </w:r>
    </w:p>
    <w:p>
      <w:pPr>
        <w:spacing w:after="0" w:line="45" w:lineRule="exact"/>
        <w:rPr>
          <w:rFonts w:ascii="Arial" w:cs="Arial" w:eastAsia="Arial" w:hAnsi="Arial"/>
          <w:sz w:val="17"/>
          <w:szCs w:val="17"/>
          <w:color w:val="auto"/>
        </w:rPr>
      </w:pPr>
    </w:p>
    <w:p>
      <w:pPr>
        <w:ind w:left="880" w:hanging="316"/>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have identified external resources for the purpose of engaging them to perform detailed accounting analysis on complex nonroutine revenue transactions.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Remediation Plan is being administered by our Chief Financial Officer and involves key leaders from across the organization.</w:t>
      </w:r>
    </w:p>
    <w:p>
      <w:pPr>
        <w:spacing w:after="0" w:line="162" w:lineRule="exact"/>
        <w:rPr>
          <w:sz w:val="20"/>
          <w:szCs w:val="20"/>
          <w:color w:val="auto"/>
        </w:rPr>
      </w:pPr>
    </w:p>
    <w:p>
      <w:pPr>
        <w:ind w:right="160" w:firstLine="457"/>
        <w:spacing w:after="0" w:line="302" w:lineRule="auto"/>
        <w:rPr>
          <w:sz w:val="20"/>
          <w:szCs w:val="20"/>
          <w:color w:val="auto"/>
        </w:rPr>
      </w:pPr>
      <w:r>
        <w:rPr>
          <w:rFonts w:ascii="Arial" w:cs="Arial" w:eastAsia="Arial" w:hAnsi="Arial"/>
          <w:sz w:val="16"/>
          <w:szCs w:val="16"/>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Except as described above in Plans for Remediation of Material Weaknesses, there were no other changes in our internal control over financial reporting that</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occurred during the quarter ended December 31, 2011 that has materially affected, or is reasonably likely to materially affect, our internal control over financial reporting.</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rapidly changing environment that involves a number of risks that could materially affect our business, financial condition or future results, some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which are beyond our control. In addition to the other information set forth in this Quarterly Report on Form 10-Q, the risks and uncertainties that we believe are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important for you to consider are discussed in Part I — Item 1A under the heading “Risk Factors” in our Annual Report on Form 10-K/A for the fiscal year ended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March 31, 2011, which we filed with the SEC on June 14, 2012. During the nine months ended December 31, 2011, there were no material changes to the risk factors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disclosed in Part I — Item 1A under the heading “Risk Factors” in our Annual Report on Form 10-K/A for the fiscal year ended March 31, 2011.</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60"/>
          </w:cols>
          <w:pgMar w:left="240" w:top="271" w:right="299" w:bottom="1440" w:gutter="0" w:footer="0" w:header="0"/>
        </w:sectPr>
      </w:pPr>
    </w:p>
    <w:bookmarkStart w:id="33" w:name="page34"/>
    <w:bookmarkEnd w:id="33"/>
    <w:p>
      <w:pPr>
        <w:spacing w:after="0"/>
        <w:tabs>
          <w:tab w:leader="none" w:pos="10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5515" cy="36830"/>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85" w:lineRule="exact"/>
        <w:rPr>
          <w:sz w:val="20"/>
          <w:szCs w:val="20"/>
          <w:color w:val="auto"/>
        </w:rPr>
      </w:pPr>
    </w:p>
    <w:p>
      <w:pPr>
        <w:ind w:left="440" w:hanging="438"/>
        <w:spacing w:after="0"/>
        <w:tabs>
          <w:tab w:leader="none" w:pos="4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stock repurchases for the three-month period ended December 31, 2011.</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6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0"/>
              </w:rPr>
              <w:t>Total Number of</w:t>
            </w: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9"/>
              </w:rPr>
              <w:t>Total</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60" w:type="dxa"/>
            <w:vAlign w:val="bottom"/>
            <w:gridSpan w:val="2"/>
          </w:tcPr>
          <w:p>
            <w:pPr>
              <w:jc w:val="center"/>
              <w:ind w:right="720"/>
              <w:spacing w:after="0" w:line="141" w:lineRule="exact"/>
              <w:rPr>
                <w:sz w:val="20"/>
                <w:szCs w:val="20"/>
                <w:color w:val="auto"/>
              </w:rPr>
            </w:pPr>
            <w:r>
              <w:rPr>
                <w:rFonts w:ascii="Arial" w:cs="Arial" w:eastAsia="Arial" w:hAnsi="Arial"/>
                <w:sz w:val="13"/>
                <w:szCs w:val="13"/>
                <w:b w:val="1"/>
                <w:bCs w:val="1"/>
                <w:color w:val="auto"/>
                <w:w w:val="83"/>
              </w:rPr>
              <w:t>Shares Purchased as</w:t>
            </w:r>
          </w:p>
        </w:tc>
        <w:tc>
          <w:tcPr>
            <w:tcW w:w="1960" w:type="dxa"/>
            <w:vAlign w:val="bottom"/>
            <w:gridSpan w:val="3"/>
          </w:tcPr>
          <w:p>
            <w:pPr>
              <w:jc w:val="center"/>
              <w:ind w:right="40"/>
              <w:spacing w:after="0" w:line="141" w:lineRule="exact"/>
              <w:rPr>
                <w:sz w:val="20"/>
                <w:szCs w:val="20"/>
                <w:color w:val="auto"/>
              </w:rPr>
            </w:pPr>
            <w:r>
              <w:rPr>
                <w:rFonts w:ascii="Arial" w:cs="Arial" w:eastAsia="Arial" w:hAnsi="Arial"/>
                <w:sz w:val="13"/>
                <w:szCs w:val="13"/>
                <w:b w:val="1"/>
                <w:bCs w:val="1"/>
                <w:color w:val="auto"/>
                <w:w w:val="90"/>
              </w:rPr>
              <w:t>Approximate Dollar Value</w:t>
            </w: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Number of</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60" w:type="dxa"/>
            <w:vAlign w:val="bottom"/>
            <w:gridSpan w:val="2"/>
          </w:tcPr>
          <w:p>
            <w:pPr>
              <w:jc w:val="center"/>
              <w:ind w:right="720"/>
              <w:spacing w:after="0" w:line="141" w:lineRule="exact"/>
              <w:rPr>
                <w:sz w:val="20"/>
                <w:szCs w:val="20"/>
                <w:color w:val="auto"/>
              </w:rPr>
            </w:pPr>
            <w:r>
              <w:rPr>
                <w:rFonts w:ascii="Arial" w:cs="Arial" w:eastAsia="Arial" w:hAnsi="Arial"/>
                <w:sz w:val="13"/>
                <w:szCs w:val="13"/>
                <w:b w:val="1"/>
                <w:bCs w:val="1"/>
                <w:color w:val="auto"/>
                <w:w w:val="90"/>
              </w:rPr>
              <w:t>Part of Publicly</w:t>
            </w:r>
          </w:p>
        </w:tc>
        <w:tc>
          <w:tcPr>
            <w:tcW w:w="1960" w:type="dxa"/>
            <w:vAlign w:val="bottom"/>
            <w:gridSpan w:val="3"/>
          </w:tcPr>
          <w:p>
            <w:pPr>
              <w:jc w:val="center"/>
              <w:ind w:right="40"/>
              <w:spacing w:after="0" w:line="141" w:lineRule="exact"/>
              <w:rPr>
                <w:sz w:val="20"/>
                <w:szCs w:val="20"/>
                <w:color w:val="auto"/>
              </w:rPr>
            </w:pPr>
            <w:r>
              <w:rPr>
                <w:rFonts w:ascii="Arial" w:cs="Arial" w:eastAsia="Arial" w:hAnsi="Arial"/>
                <w:sz w:val="13"/>
                <w:szCs w:val="13"/>
                <w:b w:val="1"/>
                <w:bCs w:val="1"/>
                <w:color w:val="auto"/>
                <w:w w:val="87"/>
              </w:rPr>
              <w:t>of Shares that May Yet Be</w:t>
            </w:r>
          </w:p>
        </w:tc>
        <w:tc>
          <w:tcPr>
            <w:tcW w:w="0" w:type="dxa"/>
            <w:vAlign w:val="bottom"/>
          </w:tcPr>
          <w:p>
            <w:pPr>
              <w:spacing w:after="0"/>
              <w:rPr>
                <w:sz w:val="1"/>
                <w:szCs w:val="1"/>
                <w:color w:val="auto"/>
              </w:rPr>
            </w:pPr>
          </w:p>
        </w:tc>
      </w:tr>
      <w:tr>
        <w:trPr>
          <w:trHeight w:val="153"/>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88"/>
              </w:rPr>
              <w:t>Period</w:t>
            </w:r>
          </w:p>
        </w:tc>
        <w:tc>
          <w:tcPr>
            <w:tcW w:w="3620" w:type="dxa"/>
            <w:vAlign w:val="bottom"/>
            <w:vMerge w:val="restart"/>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640" w:type="dxa"/>
            <w:vAlign w:val="bottom"/>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b w:val="1"/>
                <w:bCs w:val="1"/>
                <w:color w:val="auto"/>
              </w:rPr>
              <w:t>Average Price</w:t>
            </w:r>
          </w:p>
        </w:tc>
        <w:tc>
          <w:tcPr>
            <w:tcW w:w="186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85"/>
              </w:rPr>
              <w:t>Announced Plans</w:t>
            </w:r>
          </w:p>
        </w:tc>
        <w:tc>
          <w:tcPr>
            <w:tcW w:w="19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8"/>
              </w:rPr>
              <w:t>Purchased Under the</w:t>
            </w:r>
          </w:p>
        </w:tc>
        <w:tc>
          <w:tcPr>
            <w:tcW w:w="0" w:type="dxa"/>
            <w:vAlign w:val="bottom"/>
          </w:tcPr>
          <w:p>
            <w:pPr>
              <w:spacing w:after="0"/>
              <w:rPr>
                <w:sz w:val="1"/>
                <w:szCs w:val="1"/>
                <w:color w:val="auto"/>
              </w:rPr>
            </w:pPr>
          </w:p>
        </w:tc>
      </w:tr>
      <w:tr>
        <w:trPr>
          <w:trHeight w:val="160"/>
        </w:trPr>
        <w:tc>
          <w:tcPr>
            <w:tcW w:w="380" w:type="dxa"/>
            <w:vAlign w:val="bottom"/>
            <w:tcBorders>
              <w:bottom w:val="single" w:sz="8" w:color="auto"/>
            </w:tcBorders>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4"/>
              </w:rPr>
              <w:t>Purchased</w:t>
            </w:r>
          </w:p>
        </w:tc>
        <w:tc>
          <w:tcPr>
            <w:tcW w:w="640" w:type="dxa"/>
            <w:vAlign w:val="bottom"/>
          </w:tcPr>
          <w:p>
            <w:pPr>
              <w:spacing w:after="0"/>
              <w:rPr>
                <w:sz w:val="13"/>
                <w:szCs w:val="13"/>
                <w:color w:val="auto"/>
              </w:rPr>
            </w:pPr>
          </w:p>
        </w:tc>
        <w:tc>
          <w:tcPr>
            <w:tcW w:w="14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Paid per Share</w:t>
            </w:r>
          </w:p>
        </w:tc>
        <w:tc>
          <w:tcPr>
            <w:tcW w:w="1860" w:type="dxa"/>
            <w:vAlign w:val="bottom"/>
            <w:gridSpan w:val="2"/>
          </w:tcPr>
          <w:p>
            <w:pPr>
              <w:jc w:val="center"/>
              <w:ind w:right="700"/>
              <w:spacing w:after="0" w:line="141" w:lineRule="exact"/>
              <w:rPr>
                <w:sz w:val="20"/>
                <w:szCs w:val="20"/>
                <w:color w:val="auto"/>
              </w:rPr>
            </w:pPr>
            <w:r>
              <w:rPr>
                <w:rFonts w:ascii="Arial" w:cs="Arial" w:eastAsia="Arial" w:hAnsi="Arial"/>
                <w:sz w:val="13"/>
                <w:szCs w:val="13"/>
                <w:b w:val="1"/>
                <w:bCs w:val="1"/>
                <w:color w:val="auto"/>
                <w:w w:val="90"/>
              </w:rPr>
              <w:t>or Programs(1)</w:t>
            </w:r>
          </w:p>
        </w:tc>
        <w:tc>
          <w:tcPr>
            <w:tcW w:w="1960" w:type="dxa"/>
            <w:vAlign w:val="bottom"/>
            <w:gridSpan w:val="3"/>
          </w:tcPr>
          <w:p>
            <w:pPr>
              <w:jc w:val="center"/>
              <w:ind w:right="40"/>
              <w:spacing w:after="0" w:line="141" w:lineRule="exact"/>
              <w:rPr>
                <w:sz w:val="20"/>
                <w:szCs w:val="20"/>
                <w:color w:val="auto"/>
              </w:rPr>
            </w:pPr>
            <w:r>
              <w:rPr>
                <w:rFonts w:ascii="Arial" w:cs="Arial" w:eastAsia="Arial" w:hAnsi="Arial"/>
                <w:sz w:val="13"/>
                <w:szCs w:val="13"/>
                <w:b w:val="1"/>
                <w:bCs w:val="1"/>
                <w:color w:val="auto"/>
                <w:w w:val="88"/>
              </w:rPr>
              <w:t>Plans or Programs(1)</w:t>
            </w:r>
          </w:p>
        </w:tc>
        <w:tc>
          <w:tcPr>
            <w:tcW w:w="0" w:type="dxa"/>
            <w:vAlign w:val="bottom"/>
          </w:tcPr>
          <w:p>
            <w:pPr>
              <w:spacing w:after="0"/>
              <w:rPr>
                <w:sz w:val="1"/>
                <w:szCs w:val="1"/>
                <w:color w:val="auto"/>
              </w:rPr>
            </w:pPr>
          </w:p>
        </w:tc>
      </w:tr>
      <w:tr>
        <w:trPr>
          <w:trHeight w:val="190"/>
        </w:trPr>
        <w:tc>
          <w:tcPr>
            <w:tcW w:w="4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October 1—October 31, 2011</w:t>
            </w:r>
          </w:p>
        </w:tc>
        <w:tc>
          <w:tcPr>
            <w:tcW w:w="600" w:type="dxa"/>
            <w:vAlign w:val="bottom"/>
            <w:tcBorders>
              <w:top w:val="single" w:sz="8" w:color="auto"/>
            </w:tcBorders>
            <w:shd w:val="clear" w:color="auto" w:fill="CCEEFF"/>
          </w:tcPr>
          <w:p>
            <w:pPr>
              <w:jc w:val="right"/>
              <w:ind w:right="7"/>
              <w:spacing w:after="0" w:line="189"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center"/>
              <w:ind w:left="77"/>
              <w:spacing w:after="0" w:line="189" w:lineRule="exact"/>
              <w:rPr>
                <w:sz w:val="20"/>
                <w:szCs w:val="20"/>
                <w:color w:val="auto"/>
              </w:rPr>
            </w:pPr>
            <w:r>
              <w:rPr>
                <w:rFonts w:ascii="Arial" w:cs="Arial" w:eastAsia="Arial" w:hAnsi="Arial"/>
                <w:sz w:val="17"/>
                <w:szCs w:val="17"/>
                <w:color w:val="auto"/>
                <w:w w:val="93"/>
              </w:rPr>
              <w:t>—</w:t>
            </w:r>
          </w:p>
        </w:tc>
        <w:tc>
          <w:tcPr>
            <w:tcW w:w="6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8"/>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2,500,000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0" w:type="dxa"/>
            <w:vAlign w:val="bottom"/>
            <w:gridSpan w:val="2"/>
          </w:tcPr>
          <w:p>
            <w:pPr>
              <w:spacing w:after="0"/>
              <w:rPr>
                <w:sz w:val="20"/>
                <w:szCs w:val="20"/>
                <w:color w:val="auto"/>
              </w:rPr>
            </w:pPr>
            <w:r>
              <w:rPr>
                <w:rFonts w:ascii="Arial" w:cs="Arial" w:eastAsia="Arial" w:hAnsi="Arial"/>
                <w:sz w:val="17"/>
                <w:szCs w:val="17"/>
                <w:color w:val="auto"/>
              </w:rPr>
              <w:t>November 1—November 30, 2011</w:t>
            </w:r>
          </w:p>
        </w:tc>
        <w:tc>
          <w:tcPr>
            <w:tcW w:w="600" w:type="dxa"/>
            <w:vAlign w:val="bottom"/>
          </w:tcPr>
          <w:p>
            <w:pPr>
              <w:jc w:val="right"/>
              <w:spacing w:after="0"/>
              <w:rPr>
                <w:sz w:val="20"/>
                <w:szCs w:val="20"/>
                <w:color w:val="auto"/>
              </w:rPr>
            </w:pPr>
            <w:r>
              <w:rPr>
                <w:rFonts w:ascii="Arial" w:cs="Arial" w:eastAsia="Arial" w:hAnsi="Arial"/>
                <w:sz w:val="17"/>
                <w:szCs w:val="17"/>
                <w:color w:val="auto"/>
              </w:rPr>
              <w:t>8,300</w:t>
            </w:r>
          </w:p>
        </w:tc>
        <w:tc>
          <w:tcPr>
            <w:tcW w:w="9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center"/>
              <w:ind w:right="400"/>
              <w:spacing w:after="0"/>
              <w:rPr>
                <w:sz w:val="20"/>
                <w:szCs w:val="20"/>
                <w:color w:val="auto"/>
              </w:rPr>
            </w:pPr>
            <w:r>
              <w:rPr>
                <w:rFonts w:ascii="Arial" w:cs="Arial" w:eastAsia="Arial" w:hAnsi="Arial"/>
                <w:sz w:val="17"/>
                <w:szCs w:val="17"/>
                <w:color w:val="auto"/>
                <w:w w:val="90"/>
              </w:rPr>
              <w:t>2.62</w:t>
            </w:r>
          </w:p>
        </w:tc>
        <w:tc>
          <w:tcPr>
            <w:tcW w:w="1860" w:type="dxa"/>
            <w:vAlign w:val="bottom"/>
            <w:gridSpan w:val="2"/>
          </w:tcPr>
          <w:p>
            <w:pPr>
              <w:jc w:val="right"/>
              <w:ind w:right="720"/>
              <w:spacing w:after="0"/>
              <w:rPr>
                <w:sz w:val="20"/>
                <w:szCs w:val="20"/>
                <w:color w:val="auto"/>
              </w:rPr>
            </w:pPr>
            <w:r>
              <w:rPr>
                <w:rFonts w:ascii="Arial" w:cs="Arial" w:eastAsia="Arial" w:hAnsi="Arial"/>
                <w:sz w:val="17"/>
                <w:szCs w:val="17"/>
                <w:color w:val="auto"/>
              </w:rPr>
              <w:t>8,300</w:t>
            </w:r>
          </w:p>
        </w:tc>
        <w:tc>
          <w:tcPr>
            <w:tcW w:w="1020" w:type="dxa"/>
            <w:vAlign w:val="bottom"/>
          </w:tcPr>
          <w:p>
            <w:pPr>
              <w:jc w:val="right"/>
              <w:ind w:right="168"/>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2,478,000</w:t>
            </w:r>
          </w:p>
        </w:tc>
        <w:tc>
          <w:tcPr>
            <w:tcW w:w="0" w:type="dxa"/>
            <w:vAlign w:val="bottom"/>
          </w:tcPr>
          <w:p>
            <w:pPr>
              <w:spacing w:after="0"/>
              <w:rPr>
                <w:sz w:val="1"/>
                <w:szCs w:val="1"/>
                <w:color w:val="auto"/>
              </w:rPr>
            </w:pPr>
          </w:p>
        </w:tc>
      </w:tr>
      <w:tr>
        <w:trPr>
          <w:trHeight w:val="204"/>
        </w:trPr>
        <w:tc>
          <w:tcPr>
            <w:tcW w:w="4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1—December 31, 2011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90,000</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0"/>
              </w:rPr>
              <w:t>2.86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90,000</w:t>
            </w:r>
          </w:p>
        </w:tc>
        <w:tc>
          <w:tcPr>
            <w:tcW w:w="7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2,221,000</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98,300</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7"/>
                <w:szCs w:val="17"/>
                <w:color w:val="auto"/>
              </w:rPr>
              <w:t>98,300</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40" w:right="20" w:hanging="438"/>
        <w:spacing w:after="0" w:line="284"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November 23, 2011, we announced that our board of directors had authorized the repurchase of up to an additional $1.5 million of our outstanding common stock. The action supplemented the $1 million share repurchase authorization announced on November 2, 2011. Unless terminated earlier by resolution of our board of directors, this repurchase program will expire when we have repurchased all shares authorized for repurchase thereunder.</w:t>
      </w:r>
    </w:p>
    <w:p>
      <w:pPr>
        <w:spacing w:after="0" w:line="22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Statistical Data</w:t>
      </w:r>
    </w:p>
    <w:p>
      <w:pPr>
        <w:spacing w:after="0" w:line="89" w:lineRule="exact"/>
        <w:rPr>
          <w:sz w:val="20"/>
          <w:szCs w:val="20"/>
          <w:color w:val="auto"/>
        </w:rPr>
      </w:pPr>
    </w:p>
    <w:p>
      <w:pPr>
        <w:ind w:right="200" w:firstLine="457"/>
        <w:spacing w:after="0" w:line="257" w:lineRule="auto"/>
        <w:rPr>
          <w:sz w:val="20"/>
          <w:szCs w:val="20"/>
          <w:color w:val="auto"/>
        </w:rPr>
      </w:pPr>
      <w:r>
        <w:rPr>
          <w:rFonts w:ascii="Arial" w:cs="Arial" w:eastAsia="Arial" w:hAnsi="Arial"/>
          <w:sz w:val="17"/>
          <w:szCs w:val="17"/>
          <w:color w:val="auto"/>
        </w:rPr>
        <w:t>The following table presents certain statistical data, cumulative from December 1, 2001 through December 31, 2011,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Cumulative From</w:t>
            </w:r>
          </w:p>
        </w:tc>
      </w:tr>
      <w:tr>
        <w:trPr>
          <w:trHeight w:val="140"/>
        </w:trPr>
        <w:tc>
          <w:tcPr>
            <w:tcW w:w="5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89"/>
              </w:rPr>
              <w:t>December 1, 2001</w:t>
            </w:r>
          </w:p>
        </w:tc>
      </w:tr>
      <w:tr>
        <w:trPr>
          <w:trHeight w:val="153"/>
        </w:trPr>
        <w:tc>
          <w:tcPr>
            <w:tcW w:w="5340" w:type="dxa"/>
            <w:vAlign w:val="bottom"/>
          </w:tcPr>
          <w:p>
            <w:pPr>
              <w:spacing w:after="0"/>
              <w:rPr>
                <w:sz w:val="13"/>
                <w:szCs w:val="13"/>
                <w:color w:val="auto"/>
              </w:rPr>
            </w:pPr>
          </w:p>
        </w:tc>
        <w:tc>
          <w:tcPr>
            <w:tcW w:w="2420" w:type="dxa"/>
            <w:vAlign w:val="bottom"/>
            <w:gridSpan w:val="4"/>
          </w:tcPr>
          <w:p>
            <w:pPr>
              <w:jc w:val="center"/>
              <w:ind w:left="687"/>
              <w:spacing w:after="0"/>
              <w:rPr>
                <w:sz w:val="20"/>
                <w:szCs w:val="20"/>
                <w:color w:val="auto"/>
              </w:rPr>
            </w:pPr>
            <w:r>
              <w:rPr>
                <w:rFonts w:ascii="Arial" w:cs="Arial" w:eastAsia="Arial" w:hAnsi="Arial"/>
                <w:sz w:val="13"/>
                <w:szCs w:val="13"/>
                <w:b w:val="1"/>
                <w:bCs w:val="1"/>
                <w:color w:val="auto"/>
                <w:w w:val="88"/>
              </w:rPr>
              <w:t>Through December 31, 2011</w:t>
            </w:r>
          </w:p>
        </w:tc>
      </w:tr>
      <w:tr>
        <w:trPr>
          <w:trHeight w:val="133"/>
        </w:trPr>
        <w:tc>
          <w:tcPr>
            <w:tcW w:w="5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3"/>
                <w:szCs w:val="13"/>
                <w:b w:val="1"/>
                <w:bCs w:val="1"/>
                <w:color w:val="auto"/>
                <w:w w:val="86"/>
              </w:rPr>
              <w:t>(in thousands, unaudited)</w:t>
            </w:r>
          </w:p>
        </w:tc>
        <w:tc>
          <w:tcPr>
            <w:tcW w:w="60" w:type="dxa"/>
            <w:vAlign w:val="bottom"/>
          </w:tcPr>
          <w:p>
            <w:pPr>
              <w:spacing w:after="0"/>
              <w:rPr>
                <w:sz w:val="11"/>
                <w:szCs w:val="11"/>
                <w:color w:val="auto"/>
              </w:rPr>
            </w:pPr>
          </w:p>
        </w:tc>
      </w:tr>
      <w:tr>
        <w:trPr>
          <w:trHeight w:val="204"/>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HIF lighting systems sold (1)</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w:t>
            </w:r>
          </w:p>
        </w:tc>
        <w:tc>
          <w:tcPr>
            <w:tcW w:w="60" w:type="dxa"/>
            <w:vAlign w:val="bottom"/>
            <w:shd w:val="clear" w:color="auto" w:fill="CCEEFF"/>
          </w:tcPr>
          <w:p>
            <w:pPr>
              <w:spacing w:after="0"/>
              <w:rPr>
                <w:sz w:val="17"/>
                <w:szCs w:val="17"/>
                <w:color w:val="auto"/>
              </w:rPr>
            </w:pPr>
          </w:p>
        </w:tc>
      </w:tr>
      <w:tr>
        <w:trPr>
          <w:trHeight w:val="204"/>
        </w:trPr>
        <w:tc>
          <w:tcPr>
            <w:tcW w:w="5340" w:type="dxa"/>
            <w:vAlign w:val="bottom"/>
          </w:tcPr>
          <w:p>
            <w:pPr>
              <w:spacing w:after="0"/>
              <w:rPr>
                <w:sz w:val="20"/>
                <w:szCs w:val="20"/>
                <w:color w:val="auto"/>
              </w:rPr>
            </w:pPr>
            <w:r>
              <w:rPr>
                <w:rFonts w:ascii="Arial" w:cs="Arial" w:eastAsia="Arial" w:hAnsi="Arial"/>
                <w:sz w:val="17"/>
                <w:szCs w:val="17"/>
                <w:color w:val="auto"/>
              </w:rPr>
              <w:t>Total units sold (including HIF lighting systems)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3,005</w:t>
            </w:r>
          </w:p>
        </w:tc>
        <w:tc>
          <w:tcPr>
            <w:tcW w:w="60" w:type="dxa"/>
            <w:vAlign w:val="bottom"/>
          </w:tcPr>
          <w:p>
            <w:pPr>
              <w:spacing w:after="0"/>
              <w:rPr>
                <w:sz w:val="17"/>
                <w:szCs w:val="17"/>
                <w:color w:val="auto"/>
              </w:rPr>
            </w:pPr>
          </w:p>
        </w:tc>
      </w:tr>
      <w:tr>
        <w:trPr>
          <w:trHeight w:val="204"/>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Customer kilowatt demand reduction (2)</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60" w:type="dxa"/>
            <w:vAlign w:val="bottom"/>
            <w:shd w:val="clear" w:color="auto" w:fill="CCEEFF"/>
          </w:tcPr>
          <w:p>
            <w:pPr>
              <w:spacing w:after="0"/>
              <w:rPr>
                <w:sz w:val="17"/>
                <w:szCs w:val="17"/>
                <w:color w:val="auto"/>
              </w:rPr>
            </w:pPr>
          </w:p>
        </w:tc>
      </w:tr>
      <w:tr>
        <w:trPr>
          <w:trHeight w:val="204"/>
        </w:trPr>
        <w:tc>
          <w:tcPr>
            <w:tcW w:w="5340" w:type="dxa"/>
            <w:vAlign w:val="bottom"/>
          </w:tcPr>
          <w:p>
            <w:pPr>
              <w:spacing w:after="0"/>
              <w:rPr>
                <w:sz w:val="20"/>
                <w:szCs w:val="20"/>
                <w:color w:val="auto"/>
              </w:rPr>
            </w:pPr>
            <w:r>
              <w:rPr>
                <w:rFonts w:ascii="Arial" w:cs="Arial" w:eastAsia="Arial" w:hAnsi="Arial"/>
                <w:sz w:val="17"/>
                <w:szCs w:val="17"/>
                <w:color w:val="auto"/>
              </w:rPr>
              <w:t>Customer kilowatt hours saved (2)(3)</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19,268,376</w:t>
            </w:r>
          </w:p>
        </w:tc>
        <w:tc>
          <w:tcPr>
            <w:tcW w:w="60" w:type="dxa"/>
            <w:vAlign w:val="bottom"/>
          </w:tcPr>
          <w:p>
            <w:pPr>
              <w:spacing w:after="0"/>
              <w:rPr>
                <w:sz w:val="17"/>
                <w:szCs w:val="17"/>
                <w:color w:val="auto"/>
              </w:rPr>
            </w:pPr>
          </w:p>
        </w:tc>
      </w:tr>
      <w:tr>
        <w:trPr>
          <w:trHeight w:val="204"/>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Customer electricity costs saved (4)</w:t>
            </w:r>
          </w:p>
        </w:tc>
        <w:tc>
          <w:tcPr>
            <w:tcW w:w="10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1,483,665</w:t>
            </w:r>
          </w:p>
        </w:tc>
        <w:tc>
          <w:tcPr>
            <w:tcW w:w="60" w:type="dxa"/>
            <w:vAlign w:val="bottom"/>
            <w:shd w:val="clear" w:color="auto" w:fill="CCEEFF"/>
          </w:tcPr>
          <w:p>
            <w:pPr>
              <w:spacing w:after="0"/>
              <w:rPr>
                <w:sz w:val="17"/>
                <w:szCs w:val="17"/>
                <w:color w:val="auto"/>
              </w:rPr>
            </w:pPr>
          </w:p>
        </w:tc>
      </w:tr>
      <w:tr>
        <w:trPr>
          <w:trHeight w:val="196"/>
        </w:trPr>
        <w:tc>
          <w:tcPr>
            <w:tcW w:w="5340" w:type="dxa"/>
            <w:vAlign w:val="bottom"/>
          </w:tcPr>
          <w:p>
            <w:pPr>
              <w:spacing w:after="0"/>
              <w:rPr>
                <w:sz w:val="20"/>
                <w:szCs w:val="20"/>
                <w:color w:val="auto"/>
              </w:rPr>
            </w:pPr>
            <w:r>
              <w:rPr>
                <w:rFonts w:ascii="Arial" w:cs="Arial" w:eastAsia="Arial" w:hAnsi="Arial"/>
                <w:sz w:val="17"/>
                <w:szCs w:val="17"/>
                <w:color w:val="auto"/>
              </w:rPr>
              <w:t>Indirect carbon dioxide emission reductions from customers’ energy</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5340" w:type="dxa"/>
            <w:vAlign w:val="bottom"/>
          </w:tcPr>
          <w:p>
            <w:pPr>
              <w:ind w:left="200"/>
              <w:spacing w:after="0"/>
              <w:rPr>
                <w:sz w:val="20"/>
                <w:szCs w:val="20"/>
                <w:color w:val="auto"/>
              </w:rPr>
            </w:pPr>
            <w:r>
              <w:rPr>
                <w:rFonts w:ascii="Arial" w:cs="Arial" w:eastAsia="Arial" w:hAnsi="Arial"/>
                <w:sz w:val="17"/>
                <w:szCs w:val="17"/>
                <w:color w:val="auto"/>
              </w:rPr>
              <w:t>savings (tons) (5)</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12,457</w:t>
            </w:r>
          </w:p>
        </w:tc>
        <w:tc>
          <w:tcPr>
            <w:tcW w:w="60" w:type="dxa"/>
            <w:vAlign w:val="bottom"/>
          </w:tcPr>
          <w:p>
            <w:pPr>
              <w:spacing w:after="0"/>
              <w:rPr>
                <w:sz w:val="18"/>
                <w:szCs w:val="18"/>
                <w:color w:val="auto"/>
              </w:rPr>
            </w:pPr>
          </w:p>
        </w:tc>
      </w:tr>
      <w:tr>
        <w:trPr>
          <w:trHeight w:val="205"/>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Square footage retrofitted (6)</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1,155,627</w:t>
            </w:r>
          </w:p>
        </w:tc>
        <w:tc>
          <w:tcPr>
            <w:tcW w:w="60" w:type="dxa"/>
            <w:vAlign w:val="bottom"/>
            <w:shd w:val="clear" w:color="auto" w:fill="CCEEFF"/>
          </w:tcPr>
          <w:p>
            <w:pPr>
              <w:spacing w:after="0"/>
              <w:rPr>
                <w:sz w:val="17"/>
                <w:szCs w:val="17"/>
                <w:color w:val="auto"/>
              </w:rPr>
            </w:pPr>
          </w:p>
        </w:tc>
      </w:tr>
    </w:tbl>
    <w:p>
      <w:pPr>
        <w:spacing w:after="0" w:line="68" w:lineRule="exact"/>
        <w:rPr>
          <w:sz w:val="20"/>
          <w:szCs w:val="20"/>
          <w:color w:val="auto"/>
        </w:rPr>
      </w:pPr>
    </w:p>
    <w:p>
      <w:pPr>
        <w:ind w:left="440" w:hanging="438"/>
        <w:spacing w:after="0"/>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“HIF lighting systems” includes all HIF units sold under the brand name “Compact Modular” and its predecessor, “Illuminator.”</w:t>
      </w:r>
    </w:p>
    <w:p>
      <w:pPr>
        <w:spacing w:after="0" w:line="85" w:lineRule="exact"/>
        <w:rPr>
          <w:rFonts w:ascii="Arial" w:cs="Arial" w:eastAsia="Arial" w:hAnsi="Arial"/>
          <w:sz w:val="17"/>
          <w:szCs w:val="17"/>
          <w:color w:val="auto"/>
        </w:rPr>
      </w:pPr>
    </w:p>
    <w:p>
      <w:pPr>
        <w:ind w:left="440" w:hanging="438"/>
        <w:spacing w:after="0" w:line="291" w:lineRule="auto"/>
        <w:tabs>
          <w:tab w:leader="none" w:pos="4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3.0 million units).</w:t>
      </w:r>
    </w:p>
    <w:p>
      <w:pPr>
        <w:spacing w:after="0" w:line="37" w:lineRule="exact"/>
        <w:rPr>
          <w:rFonts w:ascii="Arial" w:cs="Arial" w:eastAsia="Arial" w:hAnsi="Arial"/>
          <w:sz w:val="15"/>
          <w:szCs w:val="15"/>
          <w:color w:val="auto"/>
        </w:rPr>
      </w:pPr>
    </w:p>
    <w:p>
      <w:pPr>
        <w:ind w:left="440" w:right="180" w:hanging="438"/>
        <w:spacing w:after="0" w:line="270"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calculate the number of kilowatt hours saved on a cumulative basis by assuming the demand (kW) reduction for each fixture and assuming that each such unit has averaged 7,500 annual operating hours since its installation.</w:t>
      </w:r>
    </w:p>
    <w:p>
      <w:pPr>
        <w:spacing w:after="0" w:line="45" w:lineRule="exact"/>
        <w:rPr>
          <w:rFonts w:ascii="Arial" w:cs="Arial" w:eastAsia="Arial" w:hAnsi="Arial"/>
          <w:sz w:val="17"/>
          <w:szCs w:val="17"/>
          <w:color w:val="auto"/>
        </w:rPr>
      </w:pPr>
    </w:p>
    <w:p>
      <w:pPr>
        <w:jc w:val="both"/>
        <w:ind w:left="440" w:right="120" w:hanging="438"/>
        <w:spacing w:after="0" w:line="260"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calculate our customers’ electricity costs saved by multiplying the cumulative total customer kilowatt hours saved indicated in the table by $0.077 per kilowatt hour. The national average rate for 2011, which is the most current full year for which this information is available, was $0.1002 per kilowatt hour according to the United States Energy Information Administration.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80"/>
          </w:cols>
          <w:pgMar w:left="240" w:top="267" w:right="279" w:bottom="1440" w:gutter="0" w:footer="0" w:header="0"/>
        </w:sectPr>
      </w:pPr>
    </w:p>
    <w:bookmarkStart w:id="34" w:name="page35"/>
    <w:bookmarkEnd w:id="34"/>
    <w:p>
      <w:pPr>
        <w:ind w:left="440" w:right="200" w:hanging="438"/>
        <w:spacing w:after="0" w:line="260"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5515" cy="36830"/>
                    </a:xfrm>
                    <a:prstGeom prst="rect">
                      <a:avLst/>
                    </a:prstGeom>
                    <a:noFill/>
                  </pic:spPr>
                </pic:pic>
              </a:graphicData>
            </a:graphic>
          </wp:anchor>
        </w:drawing>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53" w:lineRule="exact"/>
        <w:rPr>
          <w:rFonts w:ascii="Arial" w:cs="Arial" w:eastAsia="Arial" w:hAnsi="Arial"/>
          <w:sz w:val="17"/>
          <w:szCs w:val="17"/>
          <w:color w:val="auto"/>
        </w:rPr>
      </w:pPr>
    </w:p>
    <w:p>
      <w:pPr>
        <w:ind w:left="440" w:hanging="438"/>
        <w:spacing w:after="0" w:line="270"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3.0 million total units sold, which contain a total of approximately 15.0 million lamps. Each lamp illuminates approximately 75 square feet. The majority of our installed fixtures contain six lamps and typically illuminate approximately 450 square feet.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10400" w:type="dxa"/>
            <w:vAlign w:val="bottom"/>
          </w:tcPr>
          <w:p>
            <w:pPr>
              <w:ind w:left="260"/>
              <w:spacing w:after="0"/>
              <w:rPr>
                <w:sz w:val="20"/>
                <w:szCs w:val="20"/>
                <w:color w:val="auto"/>
              </w:rPr>
            </w:pPr>
            <w:r>
              <w:rPr>
                <w:rFonts w:ascii="Arial" w:cs="Arial" w:eastAsia="Arial" w:hAnsi="Arial"/>
                <w:sz w:val="17"/>
                <w:szCs w:val="17"/>
                <w:b w:val="1"/>
                <w:bCs w:val="1"/>
                <w:color w:val="auto"/>
              </w:rPr>
              <w:t>EXHIBITS</w:t>
            </w:r>
          </w:p>
        </w:tc>
      </w:tr>
      <w:tr>
        <w:trPr>
          <w:trHeight w:val="281"/>
        </w:trPr>
        <w:tc>
          <w:tcPr>
            <w:tcW w:w="760" w:type="dxa"/>
            <w:vAlign w:val="bottom"/>
          </w:tcPr>
          <w:p>
            <w:pPr>
              <w:ind w:left="440"/>
              <w:spacing w:after="0"/>
              <w:rPr>
                <w:sz w:val="20"/>
                <w:szCs w:val="20"/>
                <w:color w:val="auto"/>
              </w:rPr>
            </w:pPr>
            <w:r>
              <w:rPr>
                <w:rFonts w:ascii="Arial" w:cs="Arial" w:eastAsia="Arial" w:hAnsi="Arial"/>
                <w:sz w:val="17"/>
                <w:szCs w:val="17"/>
                <w:b w:val="1"/>
                <w:bCs w:val="1"/>
                <w:color w:val="auto"/>
              </w:rPr>
              <w:t>(a)</w:t>
            </w:r>
          </w:p>
        </w:tc>
        <w:tc>
          <w:tcPr>
            <w:tcW w:w="10400" w:type="dxa"/>
            <w:vAlign w:val="bottom"/>
          </w:tcPr>
          <w:p>
            <w:pPr>
              <w:ind w:left="140"/>
              <w:spacing w:after="0"/>
              <w:rPr>
                <w:sz w:val="20"/>
                <w:szCs w:val="20"/>
                <w:color w:val="auto"/>
              </w:rPr>
            </w:pPr>
            <w:r>
              <w:rPr>
                <w:rFonts w:ascii="Arial" w:cs="Arial" w:eastAsia="Arial" w:hAnsi="Arial"/>
                <w:sz w:val="17"/>
                <w:szCs w:val="17"/>
                <w:b w:val="1"/>
                <w:bCs w:val="1"/>
                <w:color w:val="auto"/>
              </w:rPr>
              <w:t>Exhibits</w:t>
            </w:r>
          </w:p>
        </w:tc>
      </w:tr>
      <w:tr>
        <w:trPr>
          <w:trHeight w:val="375"/>
        </w:trPr>
        <w:tc>
          <w:tcPr>
            <w:tcW w:w="760" w:type="dxa"/>
            <w:vAlign w:val="bottom"/>
          </w:tcPr>
          <w:p>
            <w:pPr>
              <w:spacing w:after="0"/>
              <w:rPr>
                <w:sz w:val="20"/>
                <w:szCs w:val="20"/>
                <w:color w:val="auto"/>
              </w:rPr>
            </w:pPr>
            <w:r>
              <w:rPr>
                <w:rFonts w:ascii="Arial" w:cs="Arial" w:eastAsia="Arial" w:hAnsi="Arial"/>
                <w:sz w:val="17"/>
                <w:szCs w:val="17"/>
                <w:color w:val="auto"/>
              </w:rPr>
              <w:t>31.1</w:t>
            </w:r>
          </w:p>
        </w:tc>
        <w:tc>
          <w:tcPr>
            <w:tcW w:w="10400" w:type="dxa"/>
            <w:vAlign w:val="bottom"/>
          </w:tcPr>
          <w:p>
            <w:pPr>
              <w:ind w:left="400"/>
              <w:spacing w:after="0"/>
              <w:rPr>
                <w:sz w:val="20"/>
                <w:szCs w:val="20"/>
                <w:color w:val="auto"/>
              </w:rPr>
            </w:pPr>
            <w:r>
              <w:rPr>
                <w:rFonts w:ascii="Arial" w:cs="Arial" w:eastAsia="Arial" w:hAnsi="Arial"/>
                <w:sz w:val="17"/>
                <w:szCs w:val="17"/>
                <w:color w:val="auto"/>
                <w:w w:val="89"/>
              </w:rPr>
              <w:t>Certification of Chief Executive Officer of Orion Energy Systems, Inc. pursuant to Rule 13a-14(a) or Rule 15d-14(a) promulgated under the Securities</w:t>
            </w:r>
          </w:p>
        </w:tc>
      </w:tr>
      <w:tr>
        <w:trPr>
          <w:trHeight w:val="212"/>
        </w:trPr>
        <w:tc>
          <w:tcPr>
            <w:tcW w:w="76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7"/>
                <w:szCs w:val="17"/>
                <w:color w:val="auto"/>
              </w:rPr>
              <w:t>Exchange Act of 1934, as amended.</w:t>
            </w:r>
          </w:p>
        </w:tc>
      </w:tr>
      <w:tr>
        <w:trPr>
          <w:trHeight w:val="299"/>
        </w:trPr>
        <w:tc>
          <w:tcPr>
            <w:tcW w:w="760" w:type="dxa"/>
            <w:vAlign w:val="bottom"/>
          </w:tcPr>
          <w:p>
            <w:pPr>
              <w:spacing w:after="0"/>
              <w:rPr>
                <w:sz w:val="20"/>
                <w:szCs w:val="20"/>
                <w:color w:val="auto"/>
              </w:rPr>
            </w:pPr>
            <w:r>
              <w:rPr>
                <w:rFonts w:ascii="Arial" w:cs="Arial" w:eastAsia="Arial" w:hAnsi="Arial"/>
                <w:sz w:val="17"/>
                <w:szCs w:val="17"/>
                <w:color w:val="auto"/>
              </w:rPr>
              <w:t>31.2</w:t>
            </w:r>
          </w:p>
        </w:tc>
        <w:tc>
          <w:tcPr>
            <w:tcW w:w="10400" w:type="dxa"/>
            <w:vAlign w:val="bottom"/>
          </w:tcPr>
          <w:p>
            <w:pPr>
              <w:ind w:left="400"/>
              <w:spacing w:after="0"/>
              <w:rPr>
                <w:sz w:val="20"/>
                <w:szCs w:val="20"/>
                <w:color w:val="auto"/>
              </w:rPr>
            </w:pPr>
            <w:r>
              <w:rPr>
                <w:rFonts w:ascii="Arial" w:cs="Arial" w:eastAsia="Arial" w:hAnsi="Arial"/>
                <w:sz w:val="17"/>
                <w:szCs w:val="17"/>
                <w:color w:val="auto"/>
                <w:w w:val="89"/>
              </w:rPr>
              <w:t>Certification of Chief Financial Officer of Orion Energy Systems, Inc. pursuant to Rule 13a-14(a) or Rule 15d-14(a) promulgated under the Securities</w:t>
            </w:r>
          </w:p>
        </w:tc>
      </w:tr>
      <w:tr>
        <w:trPr>
          <w:trHeight w:val="212"/>
        </w:trPr>
        <w:tc>
          <w:tcPr>
            <w:tcW w:w="76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7"/>
                <w:szCs w:val="17"/>
                <w:color w:val="auto"/>
              </w:rPr>
              <w:t>Exchange Act of 1934, as amended.</w:t>
            </w:r>
          </w:p>
        </w:tc>
      </w:tr>
      <w:tr>
        <w:trPr>
          <w:trHeight w:val="299"/>
        </w:trPr>
        <w:tc>
          <w:tcPr>
            <w:tcW w:w="760" w:type="dxa"/>
            <w:vAlign w:val="bottom"/>
          </w:tcPr>
          <w:p>
            <w:pPr>
              <w:spacing w:after="0"/>
              <w:rPr>
                <w:sz w:val="20"/>
                <w:szCs w:val="20"/>
                <w:color w:val="auto"/>
              </w:rPr>
            </w:pPr>
            <w:r>
              <w:rPr>
                <w:rFonts w:ascii="Arial" w:cs="Arial" w:eastAsia="Arial" w:hAnsi="Arial"/>
                <w:sz w:val="17"/>
                <w:szCs w:val="17"/>
                <w:color w:val="auto"/>
              </w:rPr>
              <w:t>32.1</w:t>
            </w:r>
          </w:p>
        </w:tc>
        <w:tc>
          <w:tcPr>
            <w:tcW w:w="10400" w:type="dxa"/>
            <w:vAlign w:val="bottom"/>
          </w:tcPr>
          <w:p>
            <w:pPr>
              <w:ind w:left="400"/>
              <w:spacing w:after="0"/>
              <w:rPr>
                <w:sz w:val="20"/>
                <w:szCs w:val="20"/>
                <w:color w:val="auto"/>
              </w:rPr>
            </w:pPr>
            <w:r>
              <w:rPr>
                <w:rFonts w:ascii="Arial" w:cs="Arial" w:eastAsia="Arial" w:hAnsi="Arial"/>
                <w:sz w:val="17"/>
                <w:szCs w:val="17"/>
                <w:color w:val="auto"/>
                <w:w w:val="90"/>
              </w:rPr>
              <w:t>Certification of Chief Executive Officer of Orion Energy Systems, Inc. pursuant to Rule 13a-14(b) promulgated under the Securities Exchange Act of</w:t>
            </w:r>
          </w:p>
        </w:tc>
      </w:tr>
      <w:tr>
        <w:trPr>
          <w:trHeight w:val="212"/>
        </w:trPr>
        <w:tc>
          <w:tcPr>
            <w:tcW w:w="76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7"/>
                <w:szCs w:val="17"/>
                <w:color w:val="auto"/>
              </w:rPr>
              <w:t>1934, as amended, and 18 U.S.C. Section 1350, as adopted pursuant to Section 906 of the Sarbanes-Oxley Act of 2002.</w:t>
            </w:r>
          </w:p>
        </w:tc>
      </w:tr>
      <w:tr>
        <w:trPr>
          <w:trHeight w:val="299"/>
        </w:trPr>
        <w:tc>
          <w:tcPr>
            <w:tcW w:w="760" w:type="dxa"/>
            <w:vAlign w:val="bottom"/>
          </w:tcPr>
          <w:p>
            <w:pPr>
              <w:spacing w:after="0"/>
              <w:rPr>
                <w:sz w:val="20"/>
                <w:szCs w:val="20"/>
                <w:color w:val="auto"/>
              </w:rPr>
            </w:pPr>
            <w:r>
              <w:rPr>
                <w:rFonts w:ascii="Arial" w:cs="Arial" w:eastAsia="Arial" w:hAnsi="Arial"/>
                <w:sz w:val="17"/>
                <w:szCs w:val="17"/>
                <w:color w:val="auto"/>
              </w:rPr>
              <w:t>32.2</w:t>
            </w:r>
          </w:p>
        </w:tc>
        <w:tc>
          <w:tcPr>
            <w:tcW w:w="10400" w:type="dxa"/>
            <w:vAlign w:val="bottom"/>
          </w:tcPr>
          <w:p>
            <w:pPr>
              <w:ind w:left="400"/>
              <w:spacing w:after="0"/>
              <w:rPr>
                <w:sz w:val="20"/>
                <w:szCs w:val="20"/>
                <w:color w:val="auto"/>
              </w:rPr>
            </w:pPr>
            <w:r>
              <w:rPr>
                <w:rFonts w:ascii="Arial" w:cs="Arial" w:eastAsia="Arial" w:hAnsi="Arial"/>
                <w:sz w:val="17"/>
                <w:szCs w:val="17"/>
                <w:color w:val="auto"/>
                <w:w w:val="90"/>
              </w:rPr>
              <w:t>Certification of Chief Financial Officer of Orion Energy Systems, Inc. pursuant to Rule 13a-14(b) promulgated under the Securities Exchange Act of</w:t>
            </w:r>
          </w:p>
        </w:tc>
      </w:tr>
      <w:tr>
        <w:trPr>
          <w:trHeight w:val="212"/>
        </w:trPr>
        <w:tc>
          <w:tcPr>
            <w:tcW w:w="76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7"/>
                <w:szCs w:val="17"/>
                <w:color w:val="auto"/>
              </w:rPr>
              <w:t>1934, as amended, and 18 U.S.C. Section 1350, as adopted pursuant to Section 906 of the Sarbanes-Oxley Act of 2002.</w:t>
            </w:r>
          </w:p>
        </w:tc>
      </w:tr>
      <w:tr>
        <w:trPr>
          <w:trHeight w:val="306"/>
        </w:trPr>
        <w:tc>
          <w:tcPr>
            <w:tcW w:w="760" w:type="dxa"/>
            <w:vAlign w:val="bottom"/>
          </w:tcPr>
          <w:p>
            <w:pPr>
              <w:spacing w:after="0"/>
              <w:rPr>
                <w:sz w:val="20"/>
                <w:szCs w:val="20"/>
                <w:color w:val="auto"/>
              </w:rPr>
            </w:pPr>
            <w:r>
              <w:rPr>
                <w:rFonts w:ascii="Arial" w:cs="Arial" w:eastAsia="Arial" w:hAnsi="Arial"/>
                <w:sz w:val="17"/>
                <w:szCs w:val="17"/>
                <w:color w:val="auto"/>
              </w:rPr>
              <w:t>101.INS</w:t>
            </w:r>
          </w:p>
        </w:tc>
        <w:tc>
          <w:tcPr>
            <w:tcW w:w="10400" w:type="dxa"/>
            <w:vAlign w:val="bottom"/>
          </w:tcPr>
          <w:p>
            <w:pPr>
              <w:ind w:left="400"/>
              <w:spacing w:after="0"/>
              <w:rPr>
                <w:sz w:val="20"/>
                <w:szCs w:val="20"/>
                <w:color w:val="auto"/>
              </w:rPr>
            </w:pPr>
            <w:r>
              <w:rPr>
                <w:rFonts w:ascii="Arial" w:cs="Arial" w:eastAsia="Arial" w:hAnsi="Arial"/>
                <w:sz w:val="17"/>
                <w:szCs w:val="17"/>
                <w:color w:val="auto"/>
              </w:rPr>
              <w:t>XBRL Instance Document</w:t>
            </w:r>
          </w:p>
        </w:tc>
      </w:tr>
      <w:tr>
        <w:trPr>
          <w:trHeight w:val="306"/>
        </w:trPr>
        <w:tc>
          <w:tcPr>
            <w:tcW w:w="760" w:type="dxa"/>
            <w:vAlign w:val="bottom"/>
          </w:tcPr>
          <w:p>
            <w:pPr>
              <w:spacing w:after="0"/>
              <w:rPr>
                <w:sz w:val="20"/>
                <w:szCs w:val="20"/>
                <w:color w:val="auto"/>
              </w:rPr>
            </w:pPr>
            <w:r>
              <w:rPr>
                <w:rFonts w:ascii="Arial" w:cs="Arial" w:eastAsia="Arial" w:hAnsi="Arial"/>
                <w:sz w:val="17"/>
                <w:szCs w:val="17"/>
                <w:color w:val="auto"/>
              </w:rPr>
              <w:t>101.SCH</w:t>
            </w:r>
          </w:p>
        </w:tc>
        <w:tc>
          <w:tcPr>
            <w:tcW w:w="10400" w:type="dxa"/>
            <w:vAlign w:val="bottom"/>
          </w:tcPr>
          <w:p>
            <w:pPr>
              <w:ind w:left="400"/>
              <w:spacing w:after="0"/>
              <w:rPr>
                <w:sz w:val="20"/>
                <w:szCs w:val="20"/>
                <w:color w:val="auto"/>
              </w:rPr>
            </w:pPr>
            <w:r>
              <w:rPr>
                <w:rFonts w:ascii="Arial" w:cs="Arial" w:eastAsia="Arial" w:hAnsi="Arial"/>
                <w:sz w:val="17"/>
                <w:szCs w:val="17"/>
                <w:color w:val="auto"/>
              </w:rPr>
              <w:t>Taxonomy extension schema document</w:t>
            </w:r>
          </w:p>
        </w:tc>
      </w:tr>
      <w:tr>
        <w:trPr>
          <w:trHeight w:val="306"/>
        </w:trPr>
        <w:tc>
          <w:tcPr>
            <w:tcW w:w="760" w:type="dxa"/>
            <w:vAlign w:val="bottom"/>
          </w:tcPr>
          <w:p>
            <w:pPr>
              <w:spacing w:after="0"/>
              <w:rPr>
                <w:sz w:val="20"/>
                <w:szCs w:val="20"/>
                <w:color w:val="auto"/>
              </w:rPr>
            </w:pPr>
            <w:r>
              <w:rPr>
                <w:rFonts w:ascii="Arial" w:cs="Arial" w:eastAsia="Arial" w:hAnsi="Arial"/>
                <w:sz w:val="17"/>
                <w:szCs w:val="17"/>
                <w:color w:val="auto"/>
              </w:rPr>
              <w:t>101.CAL</w:t>
            </w:r>
          </w:p>
        </w:tc>
        <w:tc>
          <w:tcPr>
            <w:tcW w:w="10400" w:type="dxa"/>
            <w:vAlign w:val="bottom"/>
          </w:tcPr>
          <w:p>
            <w:pPr>
              <w:ind w:left="400"/>
              <w:spacing w:after="0"/>
              <w:rPr>
                <w:sz w:val="20"/>
                <w:szCs w:val="20"/>
                <w:color w:val="auto"/>
              </w:rPr>
            </w:pPr>
            <w:r>
              <w:rPr>
                <w:rFonts w:ascii="Arial" w:cs="Arial" w:eastAsia="Arial" w:hAnsi="Arial"/>
                <w:sz w:val="17"/>
                <w:szCs w:val="17"/>
                <w:color w:val="auto"/>
              </w:rPr>
              <w:t>Taxonomy extension calculation linkbase document</w:t>
            </w:r>
          </w:p>
        </w:tc>
      </w:tr>
      <w:tr>
        <w:trPr>
          <w:trHeight w:val="306"/>
        </w:trPr>
        <w:tc>
          <w:tcPr>
            <w:tcW w:w="760" w:type="dxa"/>
            <w:vAlign w:val="bottom"/>
          </w:tcPr>
          <w:p>
            <w:pPr>
              <w:spacing w:after="0"/>
              <w:rPr>
                <w:sz w:val="20"/>
                <w:szCs w:val="20"/>
                <w:color w:val="auto"/>
              </w:rPr>
            </w:pPr>
            <w:r>
              <w:rPr>
                <w:rFonts w:ascii="Arial" w:cs="Arial" w:eastAsia="Arial" w:hAnsi="Arial"/>
                <w:sz w:val="17"/>
                <w:szCs w:val="17"/>
                <w:color w:val="auto"/>
              </w:rPr>
              <w:t>101.LAB</w:t>
            </w:r>
          </w:p>
        </w:tc>
        <w:tc>
          <w:tcPr>
            <w:tcW w:w="10400" w:type="dxa"/>
            <w:vAlign w:val="bottom"/>
          </w:tcPr>
          <w:p>
            <w:pPr>
              <w:ind w:left="400"/>
              <w:spacing w:after="0"/>
              <w:rPr>
                <w:sz w:val="20"/>
                <w:szCs w:val="20"/>
                <w:color w:val="auto"/>
              </w:rPr>
            </w:pPr>
            <w:r>
              <w:rPr>
                <w:rFonts w:ascii="Arial" w:cs="Arial" w:eastAsia="Arial" w:hAnsi="Arial"/>
                <w:sz w:val="17"/>
                <w:szCs w:val="17"/>
                <w:color w:val="auto"/>
              </w:rPr>
              <w:t>Taxonomy extension label linkbase document</w:t>
            </w:r>
          </w:p>
        </w:tc>
      </w:tr>
      <w:tr>
        <w:trPr>
          <w:trHeight w:val="306"/>
        </w:trPr>
        <w:tc>
          <w:tcPr>
            <w:tcW w:w="760" w:type="dxa"/>
            <w:vAlign w:val="bottom"/>
          </w:tcPr>
          <w:p>
            <w:pPr>
              <w:spacing w:after="0"/>
              <w:rPr>
                <w:sz w:val="20"/>
                <w:szCs w:val="20"/>
                <w:color w:val="auto"/>
              </w:rPr>
            </w:pPr>
            <w:r>
              <w:rPr>
                <w:rFonts w:ascii="Arial" w:cs="Arial" w:eastAsia="Arial" w:hAnsi="Arial"/>
                <w:sz w:val="17"/>
                <w:szCs w:val="17"/>
                <w:color w:val="auto"/>
              </w:rPr>
              <w:t>101.PRE</w:t>
            </w:r>
          </w:p>
        </w:tc>
        <w:tc>
          <w:tcPr>
            <w:tcW w:w="10400" w:type="dxa"/>
            <w:vAlign w:val="bottom"/>
          </w:tcPr>
          <w:p>
            <w:pPr>
              <w:ind w:left="400"/>
              <w:spacing w:after="0"/>
              <w:rPr>
                <w:sz w:val="20"/>
                <w:szCs w:val="20"/>
                <w:color w:val="auto"/>
              </w:rPr>
            </w:pPr>
            <w:r>
              <w:rPr>
                <w:rFonts w:ascii="Arial" w:cs="Arial" w:eastAsia="Arial" w:hAnsi="Arial"/>
                <w:sz w:val="17"/>
                <w:szCs w:val="17"/>
                <w:color w:val="auto"/>
              </w:rPr>
              <w:t>Taxonomy extension presentation linkbase document</w:t>
            </w:r>
          </w:p>
        </w:tc>
      </w:tr>
      <w:tr>
        <w:trPr>
          <w:trHeight w:val="345"/>
        </w:trPr>
        <w:tc>
          <w:tcPr>
            <w:tcW w:w="760" w:type="dxa"/>
            <w:vAlign w:val="bottom"/>
          </w:tcPr>
          <w:p>
            <w:pPr>
              <w:spacing w:after="0"/>
              <w:rPr>
                <w:sz w:val="24"/>
                <w:szCs w:val="24"/>
                <w:color w:val="auto"/>
              </w:rPr>
            </w:pPr>
          </w:p>
        </w:tc>
        <w:tc>
          <w:tcPr>
            <w:tcW w:w="10400" w:type="dxa"/>
            <w:vAlign w:val="bottom"/>
          </w:tcPr>
          <w:p>
            <w:pPr>
              <w:ind w:left="4880"/>
              <w:spacing w:after="0"/>
              <w:rPr>
                <w:sz w:val="20"/>
                <w:szCs w:val="20"/>
                <w:color w:val="auto"/>
              </w:rPr>
            </w:pPr>
            <w:r>
              <w:rPr>
                <w:rFonts w:ascii="Arial" w:cs="Arial" w:eastAsia="Arial" w:hAnsi="Arial"/>
                <w:sz w:val="17"/>
                <w:szCs w:val="17"/>
                <w:color w:val="auto"/>
              </w:rPr>
              <w:t>35</w:t>
            </w:r>
          </w:p>
        </w:tc>
      </w:tr>
    </w:tbl>
    <w:p>
      <w:pPr>
        <w:sectPr>
          <w:pgSz w:w="11900" w:h="16838" w:orient="portrait"/>
          <w:cols w:equalWidth="0" w:num="1">
            <w:col w:w="11280"/>
          </w:cols>
          <w:pgMar w:left="240" w:top="271" w:right="37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SIGNATURE</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on June 14, 2012.</w:t>
      </w:r>
    </w:p>
    <w:p>
      <w:pPr>
        <w:spacing w:after="0" w:line="160"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ORION ENERGY SYSTEMS, INC.</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Registrant</w:t>
      </w:r>
    </w:p>
    <w:p>
      <w:pPr>
        <w:spacing w:after="0" w:line="21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10795</wp:posOffset>
            </wp:positionV>
            <wp:extent cx="3322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2955" cy="8255"/>
                    </a:xfrm>
                    <a:prstGeom prst="rect">
                      <a:avLst/>
                    </a:prstGeom>
                    <a:noFill/>
                  </pic:spPr>
                </pic:pic>
              </a:graphicData>
            </a:graphic>
          </wp:anchor>
        </w:drawing>
      </w:r>
    </w:p>
    <w:p>
      <w:pPr>
        <w:spacing w:after="0" w:line="2"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Scott R. Jensen</w:t>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(Principal Financial Officer and Authorized Signatory)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80"/>
          </w:cols>
          <w:pgMar w:left="240" w:top="267" w:right="2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8"/>
              </w:rPr>
              <w:t>Exhibit Index to Form 10-Q for the Period Ended December 31, 2011</w:t>
            </w:r>
          </w:p>
        </w:tc>
        <w:tc>
          <w:tcPr>
            <w:tcW w:w="3000" w:type="dxa"/>
            <w:vAlign w:val="bottom"/>
          </w:tcPr>
          <w:p>
            <w:pPr>
              <w:spacing w:after="0"/>
              <w:rPr>
                <w:sz w:val="16"/>
                <w:szCs w:val="16"/>
                <w:color w:val="auto"/>
              </w:rPr>
            </w:pPr>
          </w:p>
        </w:tc>
      </w:tr>
      <w:tr>
        <w:trPr>
          <w:trHeight w:val="393"/>
        </w:trPr>
        <w:tc>
          <w:tcPr>
            <w:tcW w:w="880" w:type="dxa"/>
            <w:vAlign w:val="bottom"/>
          </w:tcPr>
          <w:p>
            <w:pPr>
              <w:spacing w:after="0"/>
              <w:rPr>
                <w:sz w:val="20"/>
                <w:szCs w:val="20"/>
                <w:color w:val="auto"/>
              </w:rPr>
            </w:pPr>
            <w:r>
              <w:rPr>
                <w:rFonts w:ascii="Arial" w:cs="Arial" w:eastAsia="Arial" w:hAnsi="Arial"/>
                <w:sz w:val="17"/>
                <w:szCs w:val="17"/>
                <w:color w:val="auto"/>
              </w:rPr>
              <w:t>31.1</w:t>
            </w: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w w:val="89"/>
              </w:rPr>
              <w:t>Certification of Chief Executive Officer of Orion Energy Systems, Inc. pursuant to Rule 13a-14(a) or Rule 15d-14(a) promulgated under the Securities</w:t>
            </w:r>
          </w:p>
        </w:tc>
      </w:tr>
      <w:tr>
        <w:trPr>
          <w:trHeight w:val="212"/>
        </w:trPr>
        <w:tc>
          <w:tcPr>
            <w:tcW w:w="880" w:type="dxa"/>
            <w:vAlign w:val="bottom"/>
          </w:tcPr>
          <w:p>
            <w:pPr>
              <w:spacing w:after="0"/>
              <w:rPr>
                <w:sz w:val="18"/>
                <w:szCs w:val="18"/>
                <w:color w:val="auto"/>
              </w:rPr>
            </w:pP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rPr>
              <w:t>Exchange Act of 1934, as amended.</w:t>
            </w:r>
          </w:p>
        </w:tc>
      </w:tr>
      <w:tr>
        <w:trPr>
          <w:trHeight w:val="299"/>
        </w:trPr>
        <w:tc>
          <w:tcPr>
            <w:tcW w:w="880" w:type="dxa"/>
            <w:vAlign w:val="bottom"/>
          </w:tcPr>
          <w:p>
            <w:pPr>
              <w:spacing w:after="0"/>
              <w:rPr>
                <w:sz w:val="20"/>
                <w:szCs w:val="20"/>
                <w:color w:val="auto"/>
              </w:rPr>
            </w:pPr>
            <w:r>
              <w:rPr>
                <w:rFonts w:ascii="Arial" w:cs="Arial" w:eastAsia="Arial" w:hAnsi="Arial"/>
                <w:sz w:val="17"/>
                <w:szCs w:val="17"/>
                <w:color w:val="auto"/>
              </w:rPr>
              <w:t>31.2</w:t>
            </w: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w w:val="89"/>
              </w:rPr>
              <w:t>Certification of Chief Financial Officer of Orion Energy Systems, Inc. pursuant to Rule 13a-14(a) or Rule 15d-14(a) promulgated under the Securities</w:t>
            </w:r>
          </w:p>
        </w:tc>
      </w:tr>
      <w:tr>
        <w:trPr>
          <w:trHeight w:val="212"/>
        </w:trPr>
        <w:tc>
          <w:tcPr>
            <w:tcW w:w="880" w:type="dxa"/>
            <w:vAlign w:val="bottom"/>
          </w:tcPr>
          <w:p>
            <w:pPr>
              <w:spacing w:after="0"/>
              <w:rPr>
                <w:sz w:val="18"/>
                <w:szCs w:val="18"/>
                <w:color w:val="auto"/>
              </w:rPr>
            </w:pP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rPr>
              <w:t>Exchange Act of 1934, as amended.</w:t>
            </w:r>
          </w:p>
        </w:tc>
      </w:tr>
      <w:tr>
        <w:trPr>
          <w:trHeight w:val="299"/>
        </w:trPr>
        <w:tc>
          <w:tcPr>
            <w:tcW w:w="880" w:type="dxa"/>
            <w:vAlign w:val="bottom"/>
          </w:tcPr>
          <w:p>
            <w:pPr>
              <w:spacing w:after="0"/>
              <w:rPr>
                <w:sz w:val="20"/>
                <w:szCs w:val="20"/>
                <w:color w:val="auto"/>
              </w:rPr>
            </w:pPr>
            <w:r>
              <w:rPr>
                <w:rFonts w:ascii="Arial" w:cs="Arial" w:eastAsia="Arial" w:hAnsi="Arial"/>
                <w:sz w:val="17"/>
                <w:szCs w:val="17"/>
                <w:color w:val="auto"/>
              </w:rPr>
              <w:t>32.1</w:t>
            </w: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w w:val="90"/>
              </w:rPr>
              <w:t>Certification of Chief Executive Officer of Orion Energy Systems, Inc. pursuant to Rule 13a-14(b) promulgated under the Securities Exchange Act of</w:t>
            </w:r>
          </w:p>
        </w:tc>
      </w:tr>
      <w:tr>
        <w:trPr>
          <w:trHeight w:val="212"/>
        </w:trPr>
        <w:tc>
          <w:tcPr>
            <w:tcW w:w="880" w:type="dxa"/>
            <w:vAlign w:val="bottom"/>
          </w:tcPr>
          <w:p>
            <w:pPr>
              <w:spacing w:after="0"/>
              <w:rPr>
                <w:sz w:val="18"/>
                <w:szCs w:val="18"/>
                <w:color w:val="auto"/>
              </w:rPr>
            </w:pP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rPr>
              <w:t>1934, as amended, and 18 U.S.C. Section 1350, as adopted pursuant to Section 906 of the Sarbanes-Oxley Act of 2002.</w:t>
            </w:r>
          </w:p>
        </w:tc>
      </w:tr>
      <w:tr>
        <w:trPr>
          <w:trHeight w:val="299"/>
        </w:trPr>
        <w:tc>
          <w:tcPr>
            <w:tcW w:w="880" w:type="dxa"/>
            <w:vAlign w:val="bottom"/>
          </w:tcPr>
          <w:p>
            <w:pPr>
              <w:spacing w:after="0"/>
              <w:rPr>
                <w:sz w:val="20"/>
                <w:szCs w:val="20"/>
                <w:color w:val="auto"/>
              </w:rPr>
            </w:pPr>
            <w:r>
              <w:rPr>
                <w:rFonts w:ascii="Arial" w:cs="Arial" w:eastAsia="Arial" w:hAnsi="Arial"/>
                <w:sz w:val="17"/>
                <w:szCs w:val="17"/>
                <w:color w:val="auto"/>
              </w:rPr>
              <w:t>32.2</w:t>
            </w: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w w:val="90"/>
              </w:rPr>
              <w:t>Certification of Chief Financial Officer of Orion Energy Systems, Inc. pursuant to Rule 13a-14(b) promulgated under the Securities Exchange Act of</w:t>
            </w:r>
          </w:p>
        </w:tc>
      </w:tr>
      <w:tr>
        <w:trPr>
          <w:trHeight w:val="212"/>
        </w:trPr>
        <w:tc>
          <w:tcPr>
            <w:tcW w:w="880" w:type="dxa"/>
            <w:vAlign w:val="bottom"/>
          </w:tcPr>
          <w:p>
            <w:pPr>
              <w:spacing w:after="0"/>
              <w:rPr>
                <w:sz w:val="18"/>
                <w:szCs w:val="18"/>
                <w:color w:val="auto"/>
              </w:rPr>
            </w:pP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rPr>
              <w:t>1934, as amended, and 18 U.S.C. Section 1350, as adopted pursuant to Section 906 of the Sarbanes-Oxley Act of 2002.</w:t>
            </w:r>
          </w:p>
        </w:tc>
      </w:tr>
      <w:tr>
        <w:trPr>
          <w:trHeight w:val="306"/>
        </w:trPr>
        <w:tc>
          <w:tcPr>
            <w:tcW w:w="880" w:type="dxa"/>
            <w:vAlign w:val="bottom"/>
          </w:tcPr>
          <w:p>
            <w:pPr>
              <w:spacing w:after="0"/>
              <w:rPr>
                <w:sz w:val="20"/>
                <w:szCs w:val="20"/>
                <w:color w:val="auto"/>
              </w:rPr>
            </w:pPr>
            <w:r>
              <w:rPr>
                <w:rFonts w:ascii="Arial" w:cs="Arial" w:eastAsia="Arial" w:hAnsi="Arial"/>
                <w:sz w:val="17"/>
                <w:szCs w:val="17"/>
                <w:color w:val="auto"/>
              </w:rPr>
              <w:t>101.INS</w:t>
            </w: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rPr>
              <w:t>XBRL Instance Document</w:t>
            </w:r>
          </w:p>
        </w:tc>
      </w:tr>
      <w:tr>
        <w:trPr>
          <w:trHeight w:val="306"/>
        </w:trPr>
        <w:tc>
          <w:tcPr>
            <w:tcW w:w="880" w:type="dxa"/>
            <w:vAlign w:val="bottom"/>
          </w:tcPr>
          <w:p>
            <w:pPr>
              <w:spacing w:after="0"/>
              <w:rPr>
                <w:sz w:val="20"/>
                <w:szCs w:val="20"/>
                <w:color w:val="auto"/>
              </w:rPr>
            </w:pPr>
            <w:r>
              <w:rPr>
                <w:rFonts w:ascii="Arial" w:cs="Arial" w:eastAsia="Arial" w:hAnsi="Arial"/>
                <w:sz w:val="17"/>
                <w:szCs w:val="17"/>
                <w:color w:val="auto"/>
              </w:rPr>
              <w:t>101.SCH</w:t>
            </w: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rPr>
              <w:t>Taxonomy extension schema document</w:t>
            </w:r>
          </w:p>
        </w:tc>
      </w:tr>
      <w:tr>
        <w:trPr>
          <w:trHeight w:val="306"/>
        </w:trPr>
        <w:tc>
          <w:tcPr>
            <w:tcW w:w="880" w:type="dxa"/>
            <w:vAlign w:val="bottom"/>
          </w:tcPr>
          <w:p>
            <w:pPr>
              <w:spacing w:after="0"/>
              <w:rPr>
                <w:sz w:val="20"/>
                <w:szCs w:val="20"/>
                <w:color w:val="auto"/>
              </w:rPr>
            </w:pPr>
            <w:r>
              <w:rPr>
                <w:rFonts w:ascii="Arial" w:cs="Arial" w:eastAsia="Arial" w:hAnsi="Arial"/>
                <w:sz w:val="17"/>
                <w:szCs w:val="17"/>
                <w:color w:val="auto"/>
              </w:rPr>
              <w:t>101.CAL</w:t>
            </w: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rPr>
              <w:t>Taxonomy extension calculation linkbase document</w:t>
            </w:r>
          </w:p>
        </w:tc>
      </w:tr>
      <w:tr>
        <w:trPr>
          <w:trHeight w:val="306"/>
        </w:trPr>
        <w:tc>
          <w:tcPr>
            <w:tcW w:w="880" w:type="dxa"/>
            <w:vAlign w:val="bottom"/>
          </w:tcPr>
          <w:p>
            <w:pPr>
              <w:spacing w:after="0"/>
              <w:rPr>
                <w:sz w:val="20"/>
                <w:szCs w:val="20"/>
                <w:color w:val="auto"/>
              </w:rPr>
            </w:pPr>
            <w:r>
              <w:rPr>
                <w:rFonts w:ascii="Arial" w:cs="Arial" w:eastAsia="Arial" w:hAnsi="Arial"/>
                <w:sz w:val="17"/>
                <w:szCs w:val="17"/>
                <w:color w:val="auto"/>
              </w:rPr>
              <w:t>101.LAB</w:t>
            </w: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rPr>
              <w:t>Taxonomy extension label linkbase document</w:t>
            </w:r>
          </w:p>
        </w:tc>
      </w:tr>
      <w:tr>
        <w:trPr>
          <w:trHeight w:val="306"/>
        </w:trPr>
        <w:tc>
          <w:tcPr>
            <w:tcW w:w="880" w:type="dxa"/>
            <w:vAlign w:val="bottom"/>
          </w:tcPr>
          <w:p>
            <w:pPr>
              <w:spacing w:after="0"/>
              <w:rPr>
                <w:sz w:val="20"/>
                <w:szCs w:val="20"/>
                <w:color w:val="auto"/>
              </w:rPr>
            </w:pPr>
            <w:r>
              <w:rPr>
                <w:rFonts w:ascii="Arial" w:cs="Arial" w:eastAsia="Arial" w:hAnsi="Arial"/>
                <w:sz w:val="17"/>
                <w:szCs w:val="17"/>
                <w:color w:val="auto"/>
              </w:rPr>
              <w:t>101.PRE</w:t>
            </w:r>
          </w:p>
        </w:tc>
        <w:tc>
          <w:tcPr>
            <w:tcW w:w="10280" w:type="dxa"/>
            <w:vAlign w:val="bottom"/>
            <w:gridSpan w:val="3"/>
          </w:tcPr>
          <w:p>
            <w:pPr>
              <w:ind w:left="280"/>
              <w:spacing w:after="0"/>
              <w:rPr>
                <w:sz w:val="20"/>
                <w:szCs w:val="20"/>
                <w:color w:val="auto"/>
              </w:rPr>
            </w:pPr>
            <w:r>
              <w:rPr>
                <w:rFonts w:ascii="Arial" w:cs="Arial" w:eastAsia="Arial" w:hAnsi="Arial"/>
                <w:sz w:val="17"/>
                <w:szCs w:val="17"/>
                <w:color w:val="auto"/>
              </w:rPr>
              <w:t>Taxonomy extension presentation linkbase document</w:t>
            </w:r>
          </w:p>
        </w:tc>
      </w:tr>
      <w:tr>
        <w:trPr>
          <w:trHeight w:val="345"/>
        </w:trPr>
        <w:tc>
          <w:tcPr>
            <w:tcW w:w="880" w:type="dxa"/>
            <w:vAlign w:val="bottom"/>
          </w:tcPr>
          <w:p>
            <w:pPr>
              <w:spacing w:after="0"/>
              <w:rPr>
                <w:sz w:val="24"/>
                <w:szCs w:val="24"/>
                <w:color w:val="auto"/>
              </w:rPr>
            </w:pPr>
          </w:p>
        </w:tc>
        <w:tc>
          <w:tcPr>
            <w:tcW w:w="7280" w:type="dxa"/>
            <w:vAlign w:val="bottom"/>
            <w:gridSpan w:val="2"/>
          </w:tcPr>
          <w:p>
            <w:pPr>
              <w:ind w:left="4760"/>
              <w:spacing w:after="0"/>
              <w:rPr>
                <w:sz w:val="20"/>
                <w:szCs w:val="20"/>
                <w:color w:val="auto"/>
              </w:rPr>
            </w:pPr>
            <w:r>
              <w:rPr>
                <w:rFonts w:ascii="Arial" w:cs="Arial" w:eastAsia="Arial" w:hAnsi="Arial"/>
                <w:sz w:val="17"/>
                <w:szCs w:val="17"/>
                <w:color w:val="auto"/>
              </w:rPr>
              <w:t>37</w:t>
            </w:r>
          </w:p>
        </w:tc>
        <w:tc>
          <w:tcPr>
            <w:tcW w:w="3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60"/>
          </w:cols>
          <w:pgMar w:left="240" w:top="250" w:right="499" w:bottom="1440" w:gutter="0" w:footer="0" w:header="0"/>
        </w:sect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31.1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I, Neal R. Verfuerth, certify that:</w:t>
      </w:r>
    </w:p>
    <w:p>
      <w:pPr>
        <w:spacing w:after="0" w:line="149" w:lineRule="exact"/>
        <w:rPr>
          <w:sz w:val="20"/>
          <w:szCs w:val="20"/>
          <w:color w:val="auto"/>
        </w:rPr>
      </w:pPr>
    </w:p>
    <w:p>
      <w:pPr>
        <w:ind w:left="440" w:hanging="438"/>
        <w:spacing w:after="0"/>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Orion Energy Systems, Inc.;</w:t>
      </w:r>
    </w:p>
    <w:p>
      <w:pPr>
        <w:spacing w:after="0" w:line="149" w:lineRule="exact"/>
        <w:rPr>
          <w:rFonts w:ascii="Arial" w:cs="Arial" w:eastAsia="Arial" w:hAnsi="Arial"/>
          <w:sz w:val="17"/>
          <w:szCs w:val="17"/>
          <w:color w:val="auto"/>
        </w:rPr>
      </w:pPr>
    </w:p>
    <w:p>
      <w:pPr>
        <w:ind w:left="440" w:hanging="438"/>
        <w:spacing w:after="0" w:line="302"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left="440" w:hanging="438"/>
        <w:spacing w:after="0" w:line="270"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7"/>
          <w:szCs w:val="17"/>
          <w:color w:val="auto"/>
        </w:rPr>
      </w:pPr>
    </w:p>
    <w:p>
      <w:pPr>
        <w:ind w:left="440" w:hanging="438"/>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9"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4" w:lineRule="exact"/>
        <w:rPr>
          <w:rFonts w:ascii="Arial" w:cs="Arial" w:eastAsia="Arial" w:hAnsi="Arial"/>
          <w:sz w:val="15"/>
          <w:szCs w:val="15"/>
          <w:color w:val="auto"/>
        </w:rPr>
      </w:pPr>
    </w:p>
    <w:p>
      <w:pPr>
        <w:jc w:val="both"/>
        <w:ind w:left="900" w:hanging="451"/>
        <w:spacing w:after="0" w:line="260"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7"/>
          <w:szCs w:val="17"/>
          <w:color w:val="auto"/>
        </w:rPr>
      </w:pPr>
    </w:p>
    <w:p>
      <w:pPr>
        <w:jc w:val="both"/>
        <w:ind w:left="900" w:hanging="451"/>
        <w:spacing w:after="0" w:line="260"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7"/>
          <w:szCs w:val="17"/>
          <w:color w:val="auto"/>
        </w:rPr>
      </w:pPr>
    </w:p>
    <w:p>
      <w:pPr>
        <w:ind w:left="900" w:hanging="451"/>
        <w:spacing w:after="0" w:line="270"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7"/>
          <w:szCs w:val="17"/>
          <w:color w:val="auto"/>
        </w:rPr>
      </w:pPr>
    </w:p>
    <w:p>
      <w:pPr>
        <w:jc w:val="both"/>
        <w:ind w:left="900" w:hanging="451"/>
        <w:spacing w:after="0" w:line="260"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7"/>
          <w:szCs w:val="17"/>
          <w:color w:val="auto"/>
        </w:rPr>
      </w:pPr>
    </w:p>
    <w:p>
      <w:pPr>
        <w:ind w:left="440" w:hanging="438"/>
        <w:spacing w:after="0" w:line="270"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7"/>
          <w:szCs w:val="17"/>
          <w:color w:val="auto"/>
        </w:rPr>
      </w:pPr>
    </w:p>
    <w:p>
      <w:pPr>
        <w:ind w:left="900" w:hanging="451"/>
        <w:spacing w:after="0" w:line="270"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7"/>
          <w:szCs w:val="17"/>
          <w:color w:val="auto"/>
        </w:rPr>
      </w:pPr>
    </w:p>
    <w:p>
      <w:pPr>
        <w:ind w:left="900" w:hanging="451"/>
        <w:spacing w:after="0" w:line="270"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Date: June 14, 2012</w:t>
      </w:r>
    </w:p>
    <w:p>
      <w:pPr>
        <w:spacing w:after="0" w:line="35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10795</wp:posOffset>
            </wp:positionV>
            <wp:extent cx="29019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01950" cy="825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Neal R. Verfuerth</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I, Scott R. Jensen, certify that:</w:t>
      </w:r>
    </w:p>
    <w:p>
      <w:pPr>
        <w:spacing w:after="0" w:line="136" w:lineRule="exact"/>
        <w:rPr>
          <w:sz w:val="20"/>
          <w:szCs w:val="20"/>
          <w:color w:val="auto"/>
        </w:rPr>
      </w:pPr>
    </w:p>
    <w:p>
      <w:pPr>
        <w:ind w:left="160" w:hanging="158"/>
        <w:spacing w:after="0"/>
        <w:tabs>
          <w:tab w:leader="none" w:pos="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Orion Energy Systems, Inc.;</w:t>
      </w:r>
    </w:p>
    <w:p>
      <w:pPr>
        <w:spacing w:after="0" w:line="149" w:lineRule="exact"/>
        <w:rPr>
          <w:rFonts w:ascii="Arial" w:cs="Arial" w:eastAsia="Arial" w:hAnsi="Arial"/>
          <w:sz w:val="17"/>
          <w:szCs w:val="17"/>
          <w:color w:val="auto"/>
        </w:rPr>
      </w:pPr>
    </w:p>
    <w:p>
      <w:pPr>
        <w:ind w:left="440" w:hanging="438"/>
        <w:spacing w:after="0" w:line="30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left="440" w:hanging="438"/>
        <w:spacing w:after="0" w:line="270"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7"/>
          <w:szCs w:val="17"/>
          <w:color w:val="auto"/>
        </w:rPr>
      </w:pPr>
    </w:p>
    <w:p>
      <w:pPr>
        <w:ind w:left="440" w:hanging="438"/>
        <w:spacing w:after="0"/>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9"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4" w:lineRule="exact"/>
        <w:rPr>
          <w:rFonts w:ascii="Arial" w:cs="Arial" w:eastAsia="Arial" w:hAnsi="Arial"/>
          <w:sz w:val="15"/>
          <w:szCs w:val="15"/>
          <w:color w:val="auto"/>
        </w:rPr>
      </w:pPr>
    </w:p>
    <w:p>
      <w:pPr>
        <w:jc w:val="both"/>
        <w:ind w:left="900" w:hanging="451"/>
        <w:spacing w:after="0" w:line="260"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7"/>
          <w:szCs w:val="17"/>
          <w:color w:val="auto"/>
        </w:rPr>
      </w:pPr>
    </w:p>
    <w:p>
      <w:pPr>
        <w:jc w:val="both"/>
        <w:ind w:left="900" w:hanging="451"/>
        <w:spacing w:after="0" w:line="260"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7"/>
          <w:szCs w:val="17"/>
          <w:color w:val="auto"/>
        </w:rPr>
      </w:pPr>
    </w:p>
    <w:p>
      <w:pPr>
        <w:ind w:left="900" w:hanging="451"/>
        <w:spacing w:after="0" w:line="270"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7"/>
          <w:szCs w:val="17"/>
          <w:color w:val="auto"/>
        </w:rPr>
      </w:pPr>
    </w:p>
    <w:p>
      <w:pPr>
        <w:jc w:val="both"/>
        <w:ind w:left="900" w:hanging="451"/>
        <w:spacing w:after="0" w:line="260"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7"/>
          <w:szCs w:val="17"/>
          <w:color w:val="auto"/>
        </w:rPr>
      </w:pPr>
    </w:p>
    <w:p>
      <w:pPr>
        <w:ind w:left="440" w:hanging="438"/>
        <w:spacing w:after="0" w:line="270"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7"/>
          <w:szCs w:val="17"/>
          <w:color w:val="auto"/>
        </w:rPr>
      </w:pPr>
    </w:p>
    <w:p>
      <w:pPr>
        <w:ind w:left="900" w:hanging="451"/>
        <w:spacing w:after="0" w:line="270"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7"/>
          <w:szCs w:val="17"/>
          <w:color w:val="auto"/>
        </w:rPr>
      </w:pPr>
    </w:p>
    <w:p>
      <w:pPr>
        <w:ind w:left="900" w:hanging="451"/>
        <w:spacing w:after="0" w:line="270"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Date: June 14, 2012</w:t>
      </w:r>
    </w:p>
    <w:p>
      <w:pPr>
        <w:spacing w:after="0" w:line="35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10795</wp:posOffset>
            </wp:positionV>
            <wp:extent cx="29019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1950" cy="825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Scott R. Jensen</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7" w:right="239" w:bottom="1440" w:gutter="0" w:footer="0" w:header="0"/>
        </w:sectPr>
      </w:pPr>
    </w:p>
    <w:bookmarkStart w:id="39" w:name="page40"/>
    <w:bookmarkEnd w:id="39"/>
    <w:p>
      <w:pPr>
        <w:ind w:left="10560"/>
        <w:spacing w:after="0"/>
        <w:rPr>
          <w:sz w:val="20"/>
          <w:szCs w:val="20"/>
          <w:color w:val="auto"/>
        </w:rPr>
      </w:pPr>
      <w:r>
        <w:rPr>
          <w:rFonts w:ascii="Arial" w:cs="Arial" w:eastAsia="Arial" w:hAnsi="Arial"/>
          <w:sz w:val="15"/>
          <w:szCs w:val="15"/>
          <w:b w:val="1"/>
          <w:bCs w:val="1"/>
          <w:color w:val="auto"/>
        </w:rPr>
        <w:t>Exhibit 32.1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Pursuant To</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2011,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100" w:lineRule="exact"/>
        <w:rPr>
          <w:sz w:val="20"/>
          <w:szCs w:val="20"/>
          <w:color w:val="auto"/>
        </w:rPr>
      </w:pPr>
    </w:p>
    <w:p>
      <w:pPr>
        <w:ind w:left="900" w:hanging="451"/>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 w:lineRule="exact"/>
        <w:rPr>
          <w:rFonts w:ascii="Arial" w:cs="Arial" w:eastAsia="Arial" w:hAnsi="Arial"/>
          <w:sz w:val="17"/>
          <w:szCs w:val="17"/>
          <w:color w:val="auto"/>
        </w:rPr>
      </w:pPr>
    </w:p>
    <w:p>
      <w:pPr>
        <w:ind w:left="900" w:hanging="451"/>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Date: June 14, 2012</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10795</wp:posOffset>
            </wp:positionV>
            <wp:extent cx="29019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01950" cy="825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Neal R. Verfuerth</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CFO Pursuant To</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2011,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00" w:lineRule="exact"/>
        <w:rPr>
          <w:sz w:val="20"/>
          <w:szCs w:val="20"/>
          <w:color w:val="auto"/>
        </w:rPr>
      </w:pPr>
    </w:p>
    <w:p>
      <w:pPr>
        <w:ind w:left="900" w:hanging="451"/>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 w:lineRule="exact"/>
        <w:rPr>
          <w:rFonts w:ascii="Arial" w:cs="Arial" w:eastAsia="Arial" w:hAnsi="Arial"/>
          <w:sz w:val="17"/>
          <w:szCs w:val="17"/>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Date: June 14, 2012</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10795</wp:posOffset>
            </wp:positionV>
            <wp:extent cx="2901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1950" cy="825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Scott R. Jensen</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pacing w:after="0" w:line="2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Roman"/>
      <w:start w:val="8"/>
    </w:lvl>
  </w:abstractNum>
  <w:abstractNum w:abstractNumId="4">
    <w:nsid w:val="1190CDE7"/>
    <w:multiLevelType w:val="hybridMultilevel"/>
    <w:lvl w:ilvl="0">
      <w:lvlJc w:val="left"/>
      <w:lvlText w:val="(%1)"/>
      <w:numFmt w:val="lowerRoman"/>
      <w:start w:val="8"/>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3"/>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5"/>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2019-12-09T19:45:30Z</dcterms:created>
  <dcterms:modified xsi:type="dcterms:W3CDTF">2019-12-09T19:45:30Z</dcterms:modified>
</cp:coreProperties>
</file>