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98425</wp:posOffset>
            </wp:positionV>
            <wp:extent cx="1840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121920</wp:posOffset>
            </wp:positionV>
            <wp:extent cx="1840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275" w:lineRule="exact"/>
        <w:rPr>
          <w:sz w:val="24"/>
          <w:szCs w:val="24"/>
          <w:color w:val="auto"/>
        </w:rPr>
      </w:pPr>
    </w:p>
    <w:p>
      <w:pPr>
        <w:ind w:left="520" w:right="20" w:hanging="512"/>
        <w:spacing w:after="0" w:line="261" w:lineRule="auto"/>
        <w:tabs>
          <w:tab w:leader="none" w:pos="456"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2023</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20" w:right="20" w:hanging="512"/>
        <w:spacing w:after="0" w:line="261" w:lineRule="auto"/>
        <w:tabs>
          <w:tab w:leader="none" w:pos="442"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113665</wp:posOffset>
            </wp:positionV>
            <wp:extent cx="1840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Orion Energy Systems,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107315</wp:posOffset>
            </wp:positionV>
            <wp:extent cx="1840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80" w:type="dxa"/>
            <w:vAlign w:val="bottom"/>
            <w:gridSpan w:val="3"/>
          </w:tcPr>
          <w:p>
            <w:pPr>
              <w:jc w:val="center"/>
              <w:ind w:left="68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760" w:type="dxa"/>
            <w:vAlign w:val="bottom"/>
          </w:tcPr>
          <w:p>
            <w:pPr>
              <w:spacing w:after="0"/>
              <w:rPr>
                <w:sz w:val="20"/>
                <w:szCs w:val="20"/>
                <w:color w:val="auto"/>
              </w:rPr>
            </w:pPr>
          </w:p>
        </w:tc>
        <w:tc>
          <w:tcPr>
            <w:tcW w:w="3700" w:type="dxa"/>
            <w:vAlign w:val="bottom"/>
            <w:gridSpan w:val="2"/>
          </w:tcPr>
          <w:p>
            <w:pPr>
              <w:jc w:val="right"/>
              <w:ind w:right="2248"/>
              <w:spacing w:after="0"/>
              <w:rPr>
                <w:sz w:val="20"/>
                <w:szCs w:val="20"/>
                <w:color w:val="auto"/>
              </w:rPr>
            </w:pPr>
            <w:r>
              <w:rPr>
                <w:rFonts w:ascii="Times New Roman" w:cs="Times New Roman" w:eastAsia="Times New Roman" w:hAnsi="Times New Roman"/>
                <w:sz w:val="18"/>
                <w:szCs w:val="18"/>
                <w:b w:val="1"/>
                <w:bCs w:val="1"/>
                <w:color w:val="auto"/>
              </w:rPr>
              <w:t>39-1847269</w:t>
            </w:r>
          </w:p>
        </w:tc>
        <w:tc>
          <w:tcPr>
            <w:tcW w:w="0" w:type="dxa"/>
            <w:vAlign w:val="bottom"/>
          </w:tcPr>
          <w:p>
            <w:pPr>
              <w:spacing w:after="0"/>
              <w:rPr>
                <w:sz w:val="1"/>
                <w:szCs w:val="1"/>
                <w:color w:val="auto"/>
              </w:rPr>
            </w:pPr>
          </w:p>
        </w:tc>
      </w:tr>
      <w:tr>
        <w:trPr>
          <w:trHeight w:val="151"/>
        </w:trPr>
        <w:tc>
          <w:tcPr>
            <w:tcW w:w="4780" w:type="dxa"/>
            <w:vAlign w:val="bottom"/>
            <w:gridSpan w:val="3"/>
          </w:tcPr>
          <w:p>
            <w:pPr>
              <w:jc w:val="center"/>
              <w:ind w:left="660"/>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80" w:type="dxa"/>
            <w:vAlign w:val="bottom"/>
          </w:tcPr>
          <w:p>
            <w:pPr>
              <w:jc w:val="center"/>
              <w:ind w:right="1848"/>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8"/>
        </w:trPr>
        <w:tc>
          <w:tcPr>
            <w:tcW w:w="4780" w:type="dxa"/>
            <w:vAlign w:val="bottom"/>
            <w:gridSpan w:val="3"/>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jc w:val="center"/>
              <w:ind w:right="186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349"/>
        </w:trPr>
        <w:tc>
          <w:tcPr>
            <w:tcW w:w="4780" w:type="dxa"/>
            <w:vAlign w:val="bottom"/>
            <w:gridSpan w:val="3"/>
          </w:tcPr>
          <w:p>
            <w:pPr>
              <w:jc w:val="center"/>
              <w:ind w:left="680"/>
              <w:spacing w:after="0"/>
              <w:rPr>
                <w:sz w:val="20"/>
                <w:szCs w:val="20"/>
                <w:color w:val="auto"/>
              </w:rPr>
            </w:pPr>
            <w:r>
              <w:rPr>
                <w:rFonts w:ascii="Times New Roman" w:cs="Times New Roman" w:eastAsia="Times New Roman" w:hAnsi="Times New Roman"/>
                <w:sz w:val="18"/>
                <w:szCs w:val="18"/>
                <w:b w:val="1"/>
                <w:bCs w:val="1"/>
                <w:color w:val="auto"/>
                <w:w w:val="99"/>
              </w:rPr>
              <w:t>2210 Woodland Drive, Manitowoc, Wisconsin</w:t>
            </w:r>
          </w:p>
        </w:tc>
        <w:tc>
          <w:tcPr>
            <w:tcW w:w="2760" w:type="dxa"/>
            <w:vAlign w:val="bottom"/>
          </w:tcPr>
          <w:p>
            <w:pPr>
              <w:spacing w:after="0"/>
              <w:rPr>
                <w:sz w:val="24"/>
                <w:szCs w:val="24"/>
                <w:color w:val="auto"/>
              </w:rPr>
            </w:pPr>
          </w:p>
        </w:tc>
        <w:tc>
          <w:tcPr>
            <w:tcW w:w="3700" w:type="dxa"/>
            <w:vAlign w:val="bottom"/>
            <w:gridSpan w:val="2"/>
          </w:tcPr>
          <w:p>
            <w:pPr>
              <w:jc w:val="right"/>
              <w:ind w:right="2448"/>
              <w:spacing w:after="0"/>
              <w:rPr>
                <w:sz w:val="20"/>
                <w:szCs w:val="20"/>
                <w:color w:val="auto"/>
              </w:rPr>
            </w:pPr>
            <w:r>
              <w:rPr>
                <w:rFonts w:ascii="Times New Roman" w:cs="Times New Roman" w:eastAsia="Times New Roman" w:hAnsi="Times New Roman"/>
                <w:sz w:val="18"/>
                <w:szCs w:val="18"/>
                <w:b w:val="1"/>
                <w:bCs w:val="1"/>
                <w:color w:val="auto"/>
              </w:rPr>
              <w:t>54220</w:t>
            </w:r>
          </w:p>
        </w:tc>
        <w:tc>
          <w:tcPr>
            <w:tcW w:w="0" w:type="dxa"/>
            <w:vAlign w:val="bottom"/>
          </w:tcPr>
          <w:p>
            <w:pPr>
              <w:spacing w:after="0"/>
              <w:rPr>
                <w:sz w:val="1"/>
                <w:szCs w:val="1"/>
                <w:color w:val="auto"/>
              </w:rPr>
            </w:pPr>
          </w:p>
        </w:tc>
      </w:tr>
      <w:tr>
        <w:trPr>
          <w:trHeight w:val="217"/>
        </w:trPr>
        <w:tc>
          <w:tcPr>
            <w:tcW w:w="4780" w:type="dxa"/>
            <w:vAlign w:val="bottom"/>
            <w:gridSpan w:val="3"/>
          </w:tcPr>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jc w:val="center"/>
              <w:ind w:right="184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63"/>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(920) 892-9340</w:t>
            </w:r>
          </w:p>
        </w:tc>
        <w:tc>
          <w:tcPr>
            <w:tcW w:w="0" w:type="dxa"/>
            <w:vAlign w:val="bottom"/>
          </w:tcPr>
          <w:p>
            <w:pPr>
              <w:spacing w:after="0"/>
              <w:rPr>
                <w:sz w:val="1"/>
                <w:szCs w:val="1"/>
                <w:color w:val="auto"/>
              </w:rPr>
            </w:pPr>
          </w:p>
        </w:tc>
      </w:tr>
      <w:tr>
        <w:trPr>
          <w:trHeight w:val="499"/>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56"/>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120" w:type="dxa"/>
            <w:vAlign w:val="bottom"/>
          </w:tcPr>
          <w:p>
            <w:pPr>
              <w:spacing w:after="0"/>
              <w:rPr>
                <w:sz w:val="22"/>
                <w:szCs w:val="22"/>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33"/>
        </w:trPr>
        <w:tc>
          <w:tcPr>
            <w:tcW w:w="4780" w:type="dxa"/>
            <w:vAlign w:val="bottom"/>
            <w:gridSpan w:val="3"/>
            <w:vMerge w:val="restart"/>
          </w:tcPr>
          <w:p>
            <w:pPr>
              <w:jc w:val="center"/>
              <w:ind w:right="1160"/>
              <w:spacing w:after="0"/>
              <w:rPr>
                <w:sz w:val="20"/>
                <w:szCs w:val="20"/>
                <w:color w:val="auto"/>
              </w:rPr>
            </w:pPr>
            <w:r>
              <w:rPr>
                <w:rFonts w:ascii="Times New Roman" w:cs="Times New Roman" w:eastAsia="Times New Roman" w:hAnsi="Times New Roman"/>
                <w:sz w:val="14"/>
                <w:szCs w:val="14"/>
                <w:color w:val="auto"/>
              </w:rPr>
              <w:t>Common stock, no par value</w:t>
            </w:r>
          </w:p>
        </w:tc>
        <w:tc>
          <w:tcPr>
            <w:tcW w:w="2760" w:type="dxa"/>
            <w:vAlign w:val="bottom"/>
            <w:vMerge w:val="restart"/>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OESX</w:t>
            </w:r>
          </w:p>
        </w:tc>
        <w:tc>
          <w:tcPr>
            <w:tcW w:w="120" w:type="dxa"/>
            <w:vAlign w:val="bottom"/>
          </w:tcPr>
          <w:p>
            <w:pPr>
              <w:spacing w:after="0"/>
              <w:rPr>
                <w:sz w:val="11"/>
                <w:szCs w:val="11"/>
                <w:color w:val="auto"/>
              </w:rPr>
            </w:pPr>
          </w:p>
        </w:tc>
        <w:tc>
          <w:tcPr>
            <w:tcW w:w="35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6"/>
        </w:trPr>
        <w:tc>
          <w:tcPr>
            <w:tcW w:w="4780" w:type="dxa"/>
            <w:vAlign w:val="bottom"/>
            <w:gridSpan w:val="3"/>
            <w:vMerge w:val="continue"/>
          </w:tcPr>
          <w:p>
            <w:pPr>
              <w:spacing w:after="0"/>
              <w:rPr>
                <w:sz w:val="16"/>
                <w:szCs w:val="16"/>
                <w:color w:val="auto"/>
              </w:rPr>
            </w:pPr>
          </w:p>
        </w:tc>
        <w:tc>
          <w:tcPr>
            <w:tcW w:w="2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bl>
    <w:p>
      <w:pPr>
        <w:spacing w:after="0" w:line="299"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Accelerated filer</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10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4"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2" w:lineRule="exact"/>
        <w:rPr>
          <w:sz w:val="24"/>
          <w:szCs w:val="24"/>
          <w:color w:val="auto"/>
        </w:rPr>
      </w:pPr>
    </w:p>
    <w:p>
      <w:pPr>
        <w:ind w:right="3580"/>
        <w:spacing w:after="0" w:line="24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There were 32,561,601 shares of the Registrant’s common stock outstanding on January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1" w:name="page2"/>
    <w:bookmarkEnd w:id="1"/>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ORION ENERGY SYSTEMS, INC.</w:t>
      </w:r>
    </w:p>
    <w:p>
      <w:pPr>
        <w:spacing w:after="0" w:line="103"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FOR THE QUARTER ENDED DECEMBER 31, 2023</w:t>
      </w:r>
    </w:p>
    <w:p>
      <w:pPr>
        <w:spacing w:after="0" w:line="103"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1798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98955" cy="825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December 31, 2023 and March 31, 2023</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December 31, 2023 and December 31,</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FF"/>
                <w:w w:val="88"/>
              </w:rPr>
              <w:t>2022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and Nine Months Ended December 31, 2023 and</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8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December 31, 2022</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December 31, 2023 and December 31, 2022</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90"/>
        </w:trPr>
        <w:tc>
          <w:tcPr>
            <w:tcW w:w="10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r>
      <w:tr>
        <w:trPr>
          <w:trHeight w:val="290"/>
        </w:trPr>
        <w:tc>
          <w:tcPr>
            <w:tcW w:w="11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14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60" w:type="dxa"/>
            <w:vAlign w:val="bottom"/>
            <w:gridSpan w:val="9"/>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Risk Factors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6"/>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80" w:type="dxa"/>
            <w:vAlign w:val="bottom"/>
            <w:gridSpan w:val="10"/>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w:t>
            </w:r>
          </w:p>
        </w:tc>
      </w:tr>
      <w:tr>
        <w:trPr>
          <w:trHeight w:val="290"/>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SIGNATURE</w:t>
            </w:r>
          </w:p>
        </w:tc>
        <w:tc>
          <w:tcPr>
            <w:tcW w:w="20" w:type="dxa"/>
            <w:vAlign w:val="bottom"/>
            <w:tcBorders>
              <w:bottom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41910</wp:posOffset>
            </wp:positionV>
            <wp:extent cx="462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2280" cy="8255"/>
                    </a:xfrm>
                    <a:prstGeom prst="rect">
                      <a:avLst/>
                    </a:prstGeom>
                    <a:noFill/>
                  </pic:spPr>
                </pic:pic>
              </a:graphicData>
            </a:graphic>
          </wp:anchor>
        </w:drawing>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2">
            <w:col w:w="10380" w:space="260"/>
            <w:col w:w="560"/>
          </w:cols>
          <w:pgMar w:left="340" w:top="33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7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6"/>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15,714</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18,205</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20"/>
                <w:szCs w:val="20"/>
                <w:color w:val="auto"/>
              </w:rPr>
            </w:pPr>
          </w:p>
        </w:tc>
      </w:tr>
      <w:tr>
        <w:trPr>
          <w:trHeight w:val="240"/>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45,688</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50,361</w:t>
            </w:r>
          </w:p>
        </w:tc>
        <w:tc>
          <w:tcPr>
            <w:tcW w:w="100" w:type="dxa"/>
            <w:vAlign w:val="bottom"/>
            <w:shd w:val="clear" w:color="auto" w:fill="CFF0FC"/>
          </w:tcPr>
          <w:p>
            <w:pPr>
              <w:spacing w:after="0"/>
              <w:rPr>
                <w:sz w:val="20"/>
                <w:szCs w:val="20"/>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tcPr>
          <w:p>
            <w:pPr>
              <w:spacing w:after="0"/>
              <w:rPr>
                <w:sz w:val="20"/>
                <w:szCs w:val="20"/>
                <w:color w:val="auto"/>
              </w:rPr>
            </w:pPr>
          </w:p>
        </w:tc>
      </w:tr>
      <w:tr>
        <w:trPr>
          <w:trHeight w:val="243"/>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65,410</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71,579</w:t>
            </w:r>
          </w:p>
        </w:tc>
        <w:tc>
          <w:tcPr>
            <w:tcW w:w="100" w:type="dxa"/>
            <w:vAlign w:val="bottom"/>
          </w:tcPr>
          <w:p>
            <w:pPr>
              <w:spacing w:after="0"/>
              <w:rPr>
                <w:sz w:val="20"/>
                <w:szCs w:val="20"/>
                <w:color w:val="auto"/>
              </w:rPr>
            </w:pPr>
          </w:p>
        </w:tc>
      </w:tr>
      <w:tr>
        <w:trPr>
          <w:trHeight w:val="20"/>
        </w:trPr>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18,866</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r>
      <w:tr>
        <w:trPr>
          <w:trHeight w:val="243"/>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40" w:type="dxa"/>
            <w:vAlign w:val="bottom"/>
          </w:tcPr>
          <w:p>
            <w:pPr>
              <w:spacing w:after="0"/>
              <w:rPr>
                <w:sz w:val="20"/>
                <w:szCs w:val="20"/>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FF0FC"/>
          </w:tcPr>
          <w:p>
            <w:pPr>
              <w:spacing w:after="0"/>
              <w:rPr>
                <w:sz w:val="21"/>
                <w:szCs w:val="2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20"/>
                <w:szCs w:val="20"/>
                <w:color w:val="auto"/>
              </w:rPr>
            </w:pPr>
          </w:p>
        </w:tc>
      </w:tr>
      <w:tr>
        <w:trPr>
          <w:trHeight w:val="236"/>
        </w:trPr>
        <w:tc>
          <w:tcPr>
            <w:tcW w:w="7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44,752</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Shares authorized: 30,000,000 at</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2023 and March 31, 2023; no shares issued and outstanding</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December 31, 2023 and March 31, 2023</w:t>
            </w:r>
          </w:p>
        </w:tc>
        <w:tc>
          <w:tcPr>
            <w:tcW w:w="240" w:type="dxa"/>
            <w:vAlign w:val="bottom"/>
          </w:tcPr>
          <w:p>
            <w:pPr>
              <w:spacing w:after="0"/>
              <w:rPr>
                <w:sz w:val="20"/>
                <w:szCs w:val="20"/>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no par value: Shares authorized: 200,000,000 at</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2023 and March 31, 2023; shares issued: 42,021,341 at</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2023 and 41,767,092 at March 31, 2023; shares outstanding:</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32,551,737 at December 31, 2023 and 32,295,408 at March 31, 2023</w:t>
            </w:r>
          </w:p>
        </w:tc>
        <w:tc>
          <w:tcPr>
            <w:tcW w:w="24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161,594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160,907</w:t>
            </w:r>
          </w:p>
        </w:tc>
        <w:tc>
          <w:tcPr>
            <w:tcW w:w="100" w:type="dxa"/>
            <w:vAlign w:val="bottom"/>
          </w:tcPr>
          <w:p>
            <w:pPr>
              <w:spacing w:after="0"/>
              <w:rPr>
                <w:sz w:val="20"/>
                <w:szCs w:val="20"/>
                <w:color w:val="auto"/>
              </w:rPr>
            </w:pPr>
          </w:p>
        </w:tc>
      </w:tr>
      <w:tr>
        <w:trPr>
          <w:trHeight w:val="215"/>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stock, common shares: 9,469,604 at December 31, 2023</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9,471,684 at March 31, 2023</w:t>
            </w:r>
          </w:p>
        </w:tc>
        <w:tc>
          <w:tcPr>
            <w:tcW w:w="24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(36,234 )</w:t>
            </w: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(36,237 )</w:t>
            </w: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deficit</w:t>
            </w:r>
          </w:p>
        </w:tc>
        <w:tc>
          <w:tcPr>
            <w:tcW w:w="24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(104,702 )</w:t>
            </w:r>
          </w:p>
        </w:tc>
        <w:tc>
          <w:tcPr>
            <w:tcW w:w="28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(91,421 )</w:t>
            </w:r>
          </w:p>
        </w:tc>
      </w:tr>
      <w:tr>
        <w:trPr>
          <w:trHeight w:val="236"/>
        </w:trPr>
        <w:tc>
          <w:tcPr>
            <w:tcW w:w="7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20,658</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65,410</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71,579</w:t>
            </w:r>
          </w:p>
        </w:tc>
        <w:tc>
          <w:tcPr>
            <w:tcW w:w="100" w:type="dxa"/>
            <w:vAlign w:val="bottom"/>
          </w:tcPr>
          <w:p>
            <w:pPr>
              <w:spacing w:after="0"/>
              <w:rPr>
                <w:sz w:val="20"/>
                <w:szCs w:val="20"/>
                <w:color w:val="auto"/>
              </w:rPr>
            </w:pPr>
          </w:p>
        </w:tc>
      </w:tr>
      <w:tr>
        <w:trPr>
          <w:trHeight w:val="20"/>
        </w:trPr>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-4160520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-4160520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-3201670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-3201670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-2259965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-2259965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-187960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OPERATIONS (in thousands, except share and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40" w:type="dxa"/>
            <w:vAlign w:val="bottom"/>
          </w:tcPr>
          <w:p>
            <w:pPr>
              <w:spacing w:after="0"/>
              <w:rPr>
                <w:sz w:val="16"/>
                <w:szCs w:val="16"/>
                <w:color w:val="auto"/>
              </w:rPr>
            </w:pPr>
          </w:p>
        </w:tc>
        <w:tc>
          <w:tcPr>
            <w:tcW w:w="27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r>
      <w:tr>
        <w:trPr>
          <w:trHeight w:val="169"/>
        </w:trPr>
        <w:tc>
          <w:tcPr>
            <w:tcW w:w="50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10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41,715</w:t>
            </w:r>
          </w:p>
        </w:tc>
        <w:tc>
          <w:tcPr>
            <w:tcW w:w="100" w:type="dxa"/>
            <w:vAlign w:val="bottom"/>
            <w:shd w:val="clear" w:color="auto" w:fill="CFF0FC"/>
          </w:tcPr>
          <w:p>
            <w:pPr>
              <w:spacing w:after="0"/>
              <w:rPr>
                <w:sz w:val="20"/>
                <w:szCs w:val="20"/>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100" w:type="dxa"/>
            <w:vAlign w:val="bottom"/>
          </w:tcPr>
          <w:p>
            <w:pPr>
              <w:spacing w:after="0"/>
              <w:rPr>
                <w:sz w:val="20"/>
                <w:szCs w:val="20"/>
                <w:color w:val="auto"/>
              </w:rPr>
            </w:pPr>
          </w:p>
        </w:tc>
      </w:tr>
      <w:tr>
        <w:trPr>
          <w:trHeight w:val="240"/>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64,170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55,754</w:t>
            </w:r>
          </w:p>
        </w:tc>
        <w:tc>
          <w:tcPr>
            <w:tcW w:w="100" w:type="dxa"/>
            <w:vAlign w:val="bottom"/>
            <w:shd w:val="clear" w:color="auto" w:fill="CFF0FC"/>
          </w:tcPr>
          <w:p>
            <w:pPr>
              <w:spacing w:after="0"/>
              <w:rPr>
                <w:sz w:val="20"/>
                <w:szCs w:val="20"/>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31,152</w:t>
            </w:r>
          </w:p>
        </w:tc>
        <w:tc>
          <w:tcPr>
            <w:tcW w:w="100" w:type="dxa"/>
            <w:vAlign w:val="bottom"/>
          </w:tcPr>
          <w:p>
            <w:pPr>
              <w:spacing w:after="0"/>
              <w:rPr>
                <w:sz w:val="20"/>
                <w:szCs w:val="20"/>
                <w:color w:val="auto"/>
              </w:rPr>
            </w:pPr>
          </w:p>
        </w:tc>
      </w:tr>
      <w:tr>
        <w:trPr>
          <w:trHeight w:val="243"/>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42,984</w:t>
            </w:r>
          </w:p>
        </w:tc>
        <w:tc>
          <w:tcPr>
            <w:tcW w:w="100" w:type="dxa"/>
            <w:vAlign w:val="bottom"/>
          </w:tcPr>
          <w:p>
            <w:pPr>
              <w:spacing w:after="0"/>
              <w:rPr>
                <w:sz w:val="20"/>
                <w:szCs w:val="20"/>
                <w:color w:val="auto"/>
              </w:rPr>
            </w:pPr>
          </w:p>
        </w:tc>
      </w:tr>
      <w:tr>
        <w:trPr>
          <w:trHeight w:val="240"/>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12,770</w:t>
            </w:r>
          </w:p>
        </w:tc>
        <w:tc>
          <w:tcPr>
            <w:tcW w:w="100" w:type="dxa"/>
            <w:vAlign w:val="bottom"/>
            <w:shd w:val="clear" w:color="auto" w:fill="CFF0FC"/>
          </w:tcPr>
          <w:p>
            <w:pPr>
              <w:spacing w:after="0"/>
              <w:rPr>
                <w:sz w:val="20"/>
                <w:szCs w:val="20"/>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100" w:type="dxa"/>
            <w:vAlign w:val="bottom"/>
            <w:shd w:val="clear" w:color="auto" w:fill="CFF0FC"/>
          </w:tcPr>
          <w:p>
            <w:pPr>
              <w:spacing w:after="0"/>
              <w:rPr>
                <w:sz w:val="21"/>
                <w:szCs w:val="21"/>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24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0"/>
                <w:szCs w:val="20"/>
                <w:color w:val="auto"/>
              </w:rPr>
            </w:pPr>
          </w:p>
        </w:tc>
      </w:tr>
      <w:tr>
        <w:trPr>
          <w:trHeight w:val="24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shd w:val="clear" w:color="auto" w:fill="CFF0FC"/>
          </w:tcPr>
          <w:p>
            <w:pPr>
              <w:spacing w:after="0"/>
              <w:rPr>
                <w:sz w:val="21"/>
                <w:szCs w:val="21"/>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20"/>
                <w:szCs w:val="20"/>
                <w:color w:val="auto"/>
              </w:rPr>
            </w:pPr>
          </w:p>
        </w:tc>
      </w:tr>
      <w:tr>
        <w:trPr>
          <w:trHeight w:val="236"/>
        </w:trPr>
        <w:tc>
          <w:tcPr>
            <w:tcW w:w="5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(2,062 )</w:t>
            </w:r>
          </w:p>
        </w:tc>
        <w:tc>
          <w:tcPr>
            <w:tcW w:w="3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(4,588 )</w:t>
            </w:r>
          </w:p>
        </w:tc>
        <w:tc>
          <w:tcPr>
            <w:tcW w:w="2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(12,627 )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(11,148 )</w:t>
            </w:r>
          </w:p>
        </w:tc>
      </w:tr>
      <w:tr>
        <w:trPr>
          <w:trHeight w:val="24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(193 )</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(64 )</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(561 )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(97 )</w:t>
            </w: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2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(25 )</w:t>
            </w:r>
          </w:p>
        </w:tc>
        <w:tc>
          <w:tcPr>
            <w:tcW w:w="3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(16 )</w:t>
            </w:r>
          </w:p>
        </w:tc>
        <w:tc>
          <w:tcPr>
            <w:tcW w:w="2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r>
      <w:tr>
        <w:trPr>
          <w:trHeight w:val="243"/>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(193 )</w:t>
            </w:r>
          </w:p>
        </w:tc>
        <w:tc>
          <w:tcPr>
            <w:tcW w:w="3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(80 )</w:t>
            </w:r>
          </w:p>
        </w:tc>
        <w:tc>
          <w:tcPr>
            <w:tcW w:w="2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(144 )</w:t>
            </w:r>
          </w:p>
        </w:tc>
      </w:tr>
      <w:tr>
        <w:trPr>
          <w:trHeight w:val="20"/>
        </w:trPr>
        <w:tc>
          <w:tcPr>
            <w:tcW w:w="5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w:t>
            </w:r>
          </w:p>
        </w:tc>
        <w:tc>
          <w:tcPr>
            <w:tcW w:w="2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(2,255 )</w:t>
            </w: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(4,668 )</w:t>
            </w: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(13,223 )</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(11,292 )</w:t>
            </w: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17,933</w:t>
            </w:r>
          </w:p>
        </w:tc>
        <w:tc>
          <w:tcPr>
            <w:tcW w:w="100" w:type="dxa"/>
            <w:vAlign w:val="bottom"/>
          </w:tcPr>
          <w:p>
            <w:pPr>
              <w:spacing w:after="0"/>
              <w:rPr>
                <w:sz w:val="20"/>
                <w:szCs w:val="20"/>
                <w:color w:val="auto"/>
              </w:rPr>
            </w:pPr>
          </w:p>
        </w:tc>
      </w:tr>
      <w:tr>
        <w:trPr>
          <w:trHeight w:val="276"/>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(2,256 )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(24,059 )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(13,281 )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(29,225 )</w:t>
            </w:r>
          </w:p>
        </w:tc>
      </w:tr>
      <w:tr>
        <w:trPr>
          <w:trHeight w:val="196"/>
        </w:trPr>
        <w:tc>
          <w:tcPr>
            <w:tcW w:w="5060" w:type="dxa"/>
            <w:vAlign w:val="bottom"/>
            <w:tcBorders>
              <w:top w:val="single" w:sz="8" w:color="CFF0FC"/>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Basic net loss per share attributable to</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41"/>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shareholders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(0.07 )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(0.41 )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(0.93 )</w:t>
            </w:r>
          </w:p>
        </w:tc>
      </w:tr>
      <w:tr>
        <w:trPr>
          <w:trHeight w:val="249"/>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32,531,563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32,047,755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32,460,398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31,510,547</w:t>
            </w:r>
          </w:p>
        </w:tc>
        <w:tc>
          <w:tcPr>
            <w:tcW w:w="100" w:type="dxa"/>
            <w:vAlign w:val="bottom"/>
            <w:shd w:val="clear" w:color="auto" w:fill="CFF0FC"/>
          </w:tcPr>
          <w:p>
            <w:pPr>
              <w:spacing w:after="0"/>
              <w:rPr>
                <w:sz w:val="21"/>
                <w:szCs w:val="21"/>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(0.07 )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(0.41 )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(0.93 )</w:t>
            </w:r>
          </w:p>
        </w:tc>
      </w:tr>
      <w:tr>
        <w:trPr>
          <w:trHeight w:val="215"/>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and share</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equivalents outstanding</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32,531,563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32,047,755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32,460,398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31,510,547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-3749675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-3749675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-3749675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-3749675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-2491105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-2491105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-2491105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-2491105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-1557655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-1557655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-1557655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-1557655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-915670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-898525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-915670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-898525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-915670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-898525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SHAREHOLDERS’ EQUITY (in thousands, except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1"/>
                <w:szCs w:val="11"/>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96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1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32,295,408</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160,907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(36,237 )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(91,421 )</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206,451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(6,637 )</w:t>
            </w: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(6,637 )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32,502,558</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161,095</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(36,236 )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(98,058 )</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(4,388 )</w:t>
            </w: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(4,388 )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September 30,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32,503,320</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161,321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(36,235 )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(102,446 )</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(2,256 )</w:t>
            </w: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(2,256 )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32,551,737</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161,594</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(36,234 )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(104,702 )</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-2011680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-2011680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-2011680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-2011680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-2011680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-1240790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-1240790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-1240790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-1240790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-1240790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SHAREHOLDERS’ EQUITY (in thousands, except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1"/>
                <w:szCs w:val="11"/>
                <w:color w:val="auto"/>
              </w:rPr>
            </w:pPr>
          </w:p>
        </w:tc>
        <w:tc>
          <w:tcPr>
            <w:tcW w:w="112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96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4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92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112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31,097,872</w:t>
            </w:r>
          </w:p>
        </w:tc>
        <w:tc>
          <w:tcPr>
            <w:tcW w:w="2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158,419</w:t>
            </w:r>
          </w:p>
        </w:tc>
        <w:tc>
          <w:tcPr>
            <w:tcW w:w="2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(57,080</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 for cash</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125,744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(634 )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5"/>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(2,835 )</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(2,835 )</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31,250,071</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158,727</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(36,240 )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(59,915 )</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105,192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(2,331 )</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(2,331 )</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31,355,911</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159,460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(36,239 )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(62,246 )</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for acquisition</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620,067</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304,686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(287 )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(24,059 )</w:t>
            </w: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(24,059 )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32,291,974</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160,696</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(36,238 )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(86,305 )</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-2328545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-2328545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-2328545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-2328545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-2328545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-1557655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-1557655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-1557655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-1557655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-1557655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-24765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-7620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left="340" w:right="2340"/>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CASH FLOWS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(13,281 )</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(29,225 )</w:t>
            </w: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(2,156 )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(372 )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(2,963 )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(1,189 )</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(566 )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 current and long-term</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(10,267 )</w:t>
            </w: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(5,248 )</w:t>
            </w: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to fund acquisition, net of cash received</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(5,508 )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(868 )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to patents and licenses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(750 )</w:t>
            </w: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(6,090 )</w:t>
            </w: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long-term debt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revolving credit facility</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to settle employee tax withholdings on stock-based compensation</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financing costs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employee equity exercises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r>
      <w:tr>
        <w:trPr>
          <w:trHeight w:val="23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shd w:val="clear" w:color="auto" w:fill="CFF0FC"/>
          </w:tcPr>
          <w:p>
            <w:pPr>
              <w:spacing w:after="0"/>
              <w:rPr>
                <w:sz w:val="20"/>
                <w:szCs w:val="20"/>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(11,025 )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(6,324 )</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280" w:type="dxa"/>
            <w:vAlign w:val="bottom"/>
          </w:tcPr>
          <w:p>
            <w:pPr>
              <w:spacing w:after="0"/>
              <w:rPr>
                <w:sz w:val="20"/>
                <w:szCs w:val="20"/>
                <w:color w:val="auto"/>
              </w:rPr>
            </w:pP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assets obtained in exchange for new operating lease liabilities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tcPr>
          <w:p>
            <w:pPr>
              <w:spacing w:after="0"/>
              <w:rPr>
                <w:sz w:val="20"/>
                <w:szCs w:val="20"/>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in connection with acquisition</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-967105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-650240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175"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8"/>
          <w:szCs w:val="18"/>
          <w:color w:val="auto"/>
        </w:rPr>
        <w:t>Orion includes Orion Energy Systems, Inc., a Wisconsin corporation, and all consolidated subsidiaries. Orion provides light emitting diode lighting systems, wireless Internet of Things enabled control solutions, project engineering, energy project management design, maintenance services and turnkey electric vehicle charging station installation services to commercial and industrial businesses, and federal and local governments, predominantly in North America.</w:t>
      </w:r>
    </w:p>
    <w:p>
      <w:pPr>
        <w:spacing w:after="0" w:line="128" w:lineRule="exact"/>
        <w:rPr>
          <w:sz w:val="20"/>
          <w:szCs w:val="20"/>
          <w:color w:val="auto"/>
        </w:rPr>
      </w:pPr>
    </w:p>
    <w:p>
      <w:pPr>
        <w:jc w:val="both"/>
        <w:ind w:right="20" w:firstLine="464"/>
        <w:spacing w:after="0" w:line="281" w:lineRule="auto"/>
        <w:rPr>
          <w:sz w:val="20"/>
          <w:szCs w:val="20"/>
          <w:color w:val="auto"/>
        </w:rPr>
      </w:pPr>
      <w:r>
        <w:rPr>
          <w:rFonts w:ascii="Times New Roman" w:cs="Times New Roman" w:eastAsia="Times New Roman" w:hAnsi="Times New Roman"/>
          <w:sz w:val="18"/>
          <w:szCs w:val="18"/>
          <w:color w:val="auto"/>
        </w:rPr>
        <w:t>Orion’s corporate offices and leased primary manufacturing operations are located in Manitowoc, Wisconsin. Orion also leases office space in Jacksonville, Florida, Lawrence, Massachusetts and Pewaukee, Wisconsin.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jc w:val="both"/>
        <w:ind w:firstLine="469"/>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Orion and its wholly-owned subsidiaries. All significant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statement have been included. Interim results are not necessarily indicative of results that may be expected for the fiscal year ending March 31, 2024 or other interim periods.</w:t>
      </w:r>
    </w:p>
    <w:p>
      <w:pPr>
        <w:spacing w:after="0" w:line="128" w:lineRule="exact"/>
        <w:rPr>
          <w:sz w:val="20"/>
          <w:szCs w:val="20"/>
          <w:color w:val="auto"/>
        </w:rPr>
      </w:pPr>
    </w:p>
    <w:p>
      <w:pPr>
        <w:jc w:val="both"/>
        <w:ind w:right="20" w:firstLine="469"/>
        <w:spacing w:after="0" w:line="281" w:lineRule="auto"/>
        <w:rPr>
          <w:sz w:val="20"/>
          <w:szCs w:val="20"/>
          <w:color w:val="auto"/>
        </w:rPr>
      </w:pPr>
      <w:r>
        <w:rPr>
          <w:rFonts w:ascii="Times New Roman" w:cs="Times New Roman" w:eastAsia="Times New Roman" w:hAnsi="Times New Roman"/>
          <w:sz w:val="18"/>
          <w:szCs w:val="18"/>
          <w:color w:val="auto"/>
        </w:rPr>
        <w:t>The Condensed Consolidated Balance Sheet as of March 31, 2023 has been derived from the audited consolidated financial statements at that date but does not include all of the information required by GAAP for complete financial statements.</w:t>
      </w:r>
    </w:p>
    <w:p>
      <w:pPr>
        <w:spacing w:after="0" w:line="109" w:lineRule="exact"/>
        <w:rPr>
          <w:sz w:val="20"/>
          <w:szCs w:val="20"/>
          <w:color w:val="auto"/>
        </w:rPr>
      </w:pPr>
    </w:p>
    <w:p>
      <w:pPr>
        <w:jc w:val="both"/>
        <w:ind w:firstLine="469"/>
        <w:spacing w:after="0" w:line="26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2023 filed with the SEC on June 12, 2023. Certain reclassifications were made to prior year amounts to conform to the current year presentation.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ind w:firstLine="469"/>
        <w:spacing w:after="0" w:line="260" w:lineRule="auto"/>
        <w:rPr>
          <w:sz w:val="20"/>
          <w:szCs w:val="20"/>
          <w:color w:val="auto"/>
        </w:rPr>
      </w:pPr>
      <w:r>
        <w:rPr>
          <w:rFonts w:ascii="Times New Roman" w:cs="Times New Roman" w:eastAsia="Times New Roman" w:hAnsi="Times New Roman"/>
          <w:sz w:val="18"/>
          <w:szCs w:val="18"/>
          <w:color w:val="auto"/>
        </w:rPr>
        <w:t>Orion performs ongoing evaluations of its customers and continuously monitors collections and payments. Orion estimates an allowance for credit losses based upon the historical collectability based on past due status and makes judgments about the creditworthiness of customers based on ongoing credit evaluations. We also consider customer-specific information, current market conditions, and reasonable and supportable forecasts of future economic conditions.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credit losses, accruals for warranty and loss contingencies, earn-out, income taxes, impairment analyses, and certain equity transactions. Accordingly, actual results could differ from those estimates.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jc w:val="both"/>
        <w:ind w:firstLine="469"/>
        <w:spacing w:after="0" w:line="265" w:lineRule="auto"/>
        <w:rPr>
          <w:sz w:val="20"/>
          <w:szCs w:val="20"/>
          <w:color w:val="auto"/>
        </w:rPr>
      </w:pPr>
      <w:r>
        <w:rPr>
          <w:rFonts w:ascii="Times New Roman" w:cs="Times New Roman" w:eastAsia="Times New Roman" w:hAnsi="Times New Roman"/>
          <w:sz w:val="18"/>
          <w:szCs w:val="18"/>
          <w:color w:val="auto"/>
        </w:rPr>
        <w:t>Orion's cash is primarily deposited with one financial institution. At times, deposits in this institution exceeds the amount of insurance provided on such deposits. Orion has not experienced any losses in such accounts and believes that it is not exposed to any significant financial institution viability risk on these balances.</w:t>
      </w:r>
    </w:p>
    <w:p>
      <w:pPr>
        <w:spacing w:after="0" w:line="123" w:lineRule="exact"/>
        <w:rPr>
          <w:sz w:val="20"/>
          <w:szCs w:val="20"/>
          <w:color w:val="auto"/>
        </w:rPr>
      </w:pPr>
    </w:p>
    <w:p>
      <w:pPr>
        <w:jc w:val="both"/>
        <w:ind w:firstLine="469"/>
        <w:spacing w:after="0" w:line="260" w:lineRule="auto"/>
        <w:rPr>
          <w:sz w:val="20"/>
          <w:szCs w:val="20"/>
          <w:color w:val="auto"/>
        </w:rPr>
      </w:pPr>
      <w:r>
        <w:rPr>
          <w:rFonts w:ascii="Times New Roman" w:cs="Times New Roman" w:eastAsia="Times New Roman" w:hAnsi="Times New Roman"/>
          <w:sz w:val="18"/>
          <w:szCs w:val="18"/>
          <w:color w:val="auto"/>
        </w:rPr>
        <w:t>Orion purchases components necessary for its lighting products, including lamps and LED components, from multiple suppliers. For the three months ended December 31, 2023, one supplier accounted for 12.6% of total cost of revenue. For the three months ended December 31, 2022, one supplier accounted for 13.3% of total cost of revenue. For each of the nine months ended December 31, 2023 and 2022, no suppliers accounted for more than 10.0% of total cost of revenue.</w:t>
      </w:r>
    </w:p>
    <w:p>
      <w:pPr>
        <w:spacing w:after="0" w:line="128" w:lineRule="exact"/>
        <w:rPr>
          <w:sz w:val="20"/>
          <w:szCs w:val="20"/>
          <w:color w:val="auto"/>
        </w:rPr>
      </w:pPr>
    </w:p>
    <w:p>
      <w:pPr>
        <w:jc w:val="both"/>
        <w:ind w:firstLine="469"/>
        <w:spacing w:after="0" w:line="281" w:lineRule="auto"/>
        <w:rPr>
          <w:sz w:val="20"/>
          <w:szCs w:val="20"/>
          <w:color w:val="auto"/>
        </w:rPr>
      </w:pPr>
      <w:r>
        <w:rPr>
          <w:rFonts w:ascii="Times New Roman" w:cs="Times New Roman" w:eastAsia="Times New Roman" w:hAnsi="Times New Roman"/>
          <w:sz w:val="18"/>
          <w:szCs w:val="18"/>
          <w:color w:val="auto"/>
        </w:rPr>
        <w:t>For the three and nine months ended December 31, 2023, one customer accounted for 27.1% and 22.4% of total revenue, respectively. For the three and nine months ended December 31, 2022, one customer accounted for 18.2% and 16.1% of total revenue, respectively.</w:t>
      </w:r>
    </w:p>
    <w:p>
      <w:pPr>
        <w:spacing w:after="0" w:line="109"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As of December 31, 2023, two customers accounted for 25.2% and 11.4% of accounts receivable, respectively. As of March 31, 2023, one customer accounted for 10.8% of accounts receivable.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Continued Listing Standards of the Nasdaq Capital Market (“Nasdaq”)</w:t>
      </w:r>
    </w:p>
    <w:p>
      <w:pPr>
        <w:spacing w:after="0" w:line="175"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On December 21, 2023, Orion received a deficiency notice from Nasdaq that Orion was not in compliance with Rule 5450(a)(1) of the listing requirements (the “Minimum Bid Price Requirement”) because the per share closing bid price had been below $1.00 for thirty consecutive business days. On January 26, 2024, Orion received notice from Nasdaq Capital Market that Orion had regained compliance with Nasdaq's minimum price requirement.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jc w:val="both"/>
        <w:ind w:right="20" w:firstLine="464"/>
        <w:spacing w:after="0" w:line="281" w:lineRule="auto"/>
        <w:rPr>
          <w:sz w:val="20"/>
          <w:szCs w:val="20"/>
          <w:color w:val="auto"/>
        </w:rPr>
      </w:pPr>
      <w:r>
        <w:rPr>
          <w:rFonts w:ascii="Times New Roman" w:cs="Times New Roman" w:eastAsia="Times New Roman" w:hAnsi="Times New Roman"/>
          <w:sz w:val="18"/>
          <w:szCs w:val="18"/>
          <w:color w:val="auto"/>
        </w:rPr>
        <w:t>Changes to U.S. GAAP are typically established by the Financial Accounting Standards Board (“FASB”) in the form of accounting standards updates (“ASUs”) to the FASB’s Accounting Standards Codification (“ASC”). Orion considers the applicability and impact of all ASUs.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Standards</w:t>
      </w:r>
    </w:p>
    <w:p>
      <w:pPr>
        <w:spacing w:after="0" w:line="175"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were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adopted ASU 2016-13 effective April 1, 2023. The effect of adoption was immaterial.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Issued: Not Yet Adopted</w:t>
      </w:r>
    </w:p>
    <w:p>
      <w:pPr>
        <w:spacing w:after="0" w:line="175"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modifies the disclosure and presentation requirements of reportable segments. The amendments in the update require the disclosure of significant segment expenses that are regularly provided to the chief operating decision maker (the “CODM”) and included within each reported measure of segment profit and loss. The amendments also require disclosure of all other segment items by reportable segment and a description of its composition. Additionally, the amendments require disclosure of the title and position of the CODM and an explanation of how the CODM uses the reported measure(s) of segment profit or loss in assessing segment performance and deciding how to allocate resources. This update is effective for annual periods beginning after December 15, 2023, and interim periods within fiscal years beginning after December 15, 2024, Early adoption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9" w:name="page10"/>
    <w:bookmarkEnd w:id="9"/>
    <w:p>
      <w:pPr>
        <w:jc w:val="both"/>
        <w:spacing w:after="0" w:line="281" w:lineRule="auto"/>
        <w:rPr>
          <w:sz w:val="20"/>
          <w:szCs w:val="20"/>
          <w:color w:val="auto"/>
        </w:rPr>
      </w:pPr>
      <w:r>
        <w:rPr>
          <w:rFonts w:ascii="Times New Roman" w:cs="Times New Roman" w:eastAsia="Times New Roman" w:hAnsi="Times New Roman"/>
          <w:sz w:val="18"/>
          <w:szCs w:val="18"/>
          <w:color w:val="auto"/>
        </w:rPr>
        <w:t>is permitted. Orion is currently evaluating the impact that this guidance will have on the presentation of its consolidated financial statements and accompanying notes.</w:t>
      </w:r>
    </w:p>
    <w:p>
      <w:pPr>
        <w:spacing w:after="0" w:line="109"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2025. Orion is currently evaluating the impact that this guidance will have on the presentation of its consolidated financial statements and accompanying notes.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75"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Orion generates revenue primarily by selling manufactured or sourced commercial lighting fixtures and components, sourced electric vehicle chargers and related products, installing these products in customer’s facilities, and providing maintenance services including repairs and replacements for the lighting and related electrical components. Orion recognizes revenue in accordance with the guidance in “Revenue from Contracts with Customers” (Topic 606) when control of the goods or services being provided (which we refer to as a performance obligation) is transferred to a customer at an amount that reflects the consideration Orion expects to receive in exchange for those goods or services.</w:t>
      </w:r>
    </w:p>
    <w:p>
      <w:pPr>
        <w:spacing w:after="0" w:line="128"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During the third quarter of fiscal 2023, Orion acquired Voltrek LLC ("Voltrek"), which sells and installs sourced electric vehicle charging stations and related software subscriptions and renewals. The results of Voltrek are included in the Orion Electric Vehicle Charging segment ("EV") and complement Orion’s existing turnkey installation model.</w:t>
      </w:r>
    </w:p>
    <w:p>
      <w:pPr>
        <w:spacing w:after="0" w:line="123"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The sale of charging stations and related software subscriptions and renewals is presented in Product revenue. Orion is the principal in the sales of charging stations as it has control of the physical products prior to transfer to the customer. Accordingly, revenue is recognized on a gross basis. For certain sales, primarily software subscriptions and renewals, Orion is the sales agent providing access to the content and recognize commission revenue net of amounts due to third parties who fulfill the performance obligation. For these sales, control passes at the point in time upon providing access of the content to the customer.</w:t>
      </w:r>
    </w:p>
    <w:p>
      <w:pPr>
        <w:spacing w:after="0" w:line="128"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Condensed Consolidated Statement of Operations.</w:t>
      </w:r>
    </w:p>
    <w:p>
      <w:pPr>
        <w:spacing w:after="0" w:line="123"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Revenue from the lighting and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Condensed Consolidated Statement of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 w:name="page11"/>
    <w:bookmarkEnd w:id="10"/>
    <w:p>
      <w:pPr>
        <w:jc w:val="both"/>
        <w:ind w:right="20" w:firstLine="469"/>
        <w:spacing w:after="0" w:line="260" w:lineRule="auto"/>
        <w:rPr>
          <w:sz w:val="20"/>
          <w:szCs w:val="20"/>
          <w:color w:val="auto"/>
        </w:rPr>
      </w:pPr>
      <w:r>
        <w:rPr>
          <w:rFonts w:ascii="Times New Roman" w:cs="Times New Roman" w:eastAsia="Times New Roman" w:hAnsi="Times New Roman"/>
          <w:sz w:val="18"/>
          <w:szCs w:val="18"/>
          <w:color w:val="auto"/>
        </w:rPr>
        <w:t>The following tables provide detail of Orion’s total revenue for the three and nine months ended December 31, 2023 and December 31, 2022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40" w:type="dxa"/>
            <w:vAlign w:val="bottom"/>
            <w:gridSpan w:val="7"/>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Three Months Ended December 31, 2023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December 31, 2023</w:t>
            </w:r>
          </w:p>
        </w:tc>
      </w:tr>
      <w:tr>
        <w:trPr>
          <w:trHeight w:val="169"/>
        </w:trPr>
        <w:tc>
          <w:tcPr>
            <w:tcW w:w="46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Lighting product and installation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44,676</w:t>
            </w:r>
          </w:p>
        </w:tc>
        <w:tc>
          <w:tcPr>
            <w:tcW w:w="100" w:type="dxa"/>
            <w:vAlign w:val="bottom"/>
          </w:tcPr>
          <w:p>
            <w:pPr>
              <w:spacing w:after="0"/>
              <w:rPr>
                <w:sz w:val="20"/>
                <w:szCs w:val="20"/>
                <w:color w:val="auto"/>
              </w:rPr>
            </w:pPr>
          </w:p>
        </w:tc>
      </w:tr>
      <w:tr>
        <w:trPr>
          <w:trHeight w:val="247"/>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Maintenance services</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00" w:type="dxa"/>
            <w:vAlign w:val="bottom"/>
            <w:shd w:val="clear" w:color="auto" w:fill="CFF0FC"/>
          </w:tcPr>
          <w:p>
            <w:pPr>
              <w:spacing w:after="0"/>
              <w:rPr>
                <w:sz w:val="21"/>
                <w:szCs w:val="21"/>
                <w:color w:val="auto"/>
              </w:rPr>
            </w:pPr>
          </w:p>
        </w:tc>
      </w:tr>
      <w:tr>
        <w:trPr>
          <w:trHeight w:val="238"/>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Electric vehicle charging</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00" w:type="dxa"/>
            <w:vAlign w:val="bottom"/>
          </w:tcPr>
          <w:p>
            <w:pPr>
              <w:spacing w:after="0"/>
              <w:rPr>
                <w:sz w:val="20"/>
                <w:szCs w:val="20"/>
                <w:color w:val="auto"/>
              </w:rPr>
            </w:pPr>
          </w:p>
        </w:tc>
      </w:tr>
      <w:tr>
        <w:trPr>
          <w:trHeight w:val="243"/>
        </w:trPr>
        <w:tc>
          <w:tcPr>
            <w:tcW w:w="4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Solar energy related revenues</w:t>
            </w:r>
          </w:p>
        </w:tc>
        <w:tc>
          <w:tcPr>
            <w:tcW w:w="1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64,127</w:t>
            </w:r>
          </w:p>
        </w:tc>
        <w:tc>
          <w:tcPr>
            <w:tcW w:w="100" w:type="dxa"/>
            <w:vAlign w:val="bottom"/>
          </w:tcPr>
          <w:p>
            <w:pPr>
              <w:spacing w:after="0"/>
              <w:rPr>
                <w:sz w:val="20"/>
                <w:szCs w:val="20"/>
                <w:color w:val="auto"/>
              </w:rPr>
            </w:pPr>
          </w:p>
        </w:tc>
      </w:tr>
      <w:tr>
        <w:trPr>
          <w:trHeight w:val="236"/>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accounted for under other guidance</w:t>
            </w: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17,007</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17,904</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64,170</w:t>
            </w:r>
          </w:p>
        </w:tc>
        <w:tc>
          <w:tcPr>
            <w:tcW w:w="100" w:type="dxa"/>
            <w:vAlign w:val="bottom"/>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3"/>
        </w:trPr>
        <w:tc>
          <w:tcPr>
            <w:tcW w:w="4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Three Months Ended December 31, 2022</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Nine Months Ended December 31, 2022</w:t>
            </w:r>
          </w:p>
        </w:tc>
        <w:tc>
          <w:tcPr>
            <w:tcW w:w="100" w:type="dxa"/>
            <w:vAlign w:val="bottom"/>
          </w:tcPr>
          <w:p>
            <w:pPr>
              <w:spacing w:after="0"/>
              <w:rPr>
                <w:sz w:val="24"/>
                <w:szCs w:val="24"/>
                <w:color w:val="auto"/>
              </w:rPr>
            </w:pPr>
          </w:p>
        </w:tc>
      </w:tr>
      <w:tr>
        <w:trPr>
          <w:trHeight w:val="182"/>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6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Lighting product and installation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41,079</w:t>
            </w:r>
          </w:p>
        </w:tc>
        <w:tc>
          <w:tcPr>
            <w:tcW w:w="100" w:type="dxa"/>
            <w:vAlign w:val="bottom"/>
          </w:tcPr>
          <w:p>
            <w:pPr>
              <w:spacing w:after="0"/>
              <w:rPr>
                <w:sz w:val="20"/>
                <w:szCs w:val="20"/>
                <w:color w:val="auto"/>
              </w:rPr>
            </w:pPr>
          </w:p>
        </w:tc>
      </w:tr>
      <w:tr>
        <w:trPr>
          <w:trHeight w:val="247"/>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Maintenance services</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100" w:type="dxa"/>
            <w:vAlign w:val="bottom"/>
            <w:shd w:val="clear" w:color="auto" w:fill="CFF0FC"/>
          </w:tcPr>
          <w:p>
            <w:pPr>
              <w:spacing w:after="0"/>
              <w:rPr>
                <w:sz w:val="21"/>
                <w:szCs w:val="21"/>
                <w:color w:val="auto"/>
              </w:rPr>
            </w:pPr>
          </w:p>
        </w:tc>
      </w:tr>
      <w:tr>
        <w:trPr>
          <w:trHeight w:val="238"/>
        </w:trPr>
        <w:tc>
          <w:tcPr>
            <w:tcW w:w="46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Electric vehicle charging</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Borders>
              <w:bottom w:val="single" w:sz="8" w:color="CFF0FC"/>
            </w:tcBorders>
          </w:tcPr>
          <w:p>
            <w:pPr>
              <w:spacing w:after="0"/>
              <w:rPr>
                <w:sz w:val="20"/>
                <w:szCs w:val="20"/>
                <w:color w:val="auto"/>
              </w:rPr>
            </w:pPr>
          </w:p>
        </w:tc>
      </w:tr>
      <w:tr>
        <w:trPr>
          <w:trHeight w:val="236"/>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40,676</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accounted for under other guidance</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20"/>
                <w:szCs w:val="20"/>
                <w:color w:val="auto"/>
              </w:rPr>
            </w:pPr>
          </w:p>
        </w:tc>
      </w:tr>
      <w:tr>
        <w:trPr>
          <w:trHeight w:val="276"/>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41,715</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-2071370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-2071370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-2071370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-2071370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-2071370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-2071370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-1746250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-1746250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-1746250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-1746250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-1746250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-1746250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-525780</wp:posOffset>
            </wp:positionV>
            <wp:extent cx="102235" cy="196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-525780</wp:posOffset>
            </wp:positionV>
            <wp:extent cx="102235" cy="196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4975860</wp:posOffset>
            </wp:positionH>
            <wp:positionV relativeFrom="paragraph">
              <wp:posOffset>-525780</wp:posOffset>
            </wp:positionV>
            <wp:extent cx="93980" cy="196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-525780</wp:posOffset>
            </wp:positionV>
            <wp:extent cx="93980" cy="196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6362700</wp:posOffset>
            </wp:positionH>
            <wp:positionV relativeFrom="paragraph">
              <wp:posOffset>-525780</wp:posOffset>
            </wp:positionV>
            <wp:extent cx="93980" cy="196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-525780</wp:posOffset>
            </wp:positionV>
            <wp:extent cx="93980" cy="196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-24765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-7620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-24765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-7620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chart shows the balance of Orion’s receivables arising from contracts with customers, contract assets and contract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March 31, 2023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15,714</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8"/>
          <w:szCs w:val="18"/>
          <w:color w:val="auto"/>
        </w:rPr>
        <w:t>There were no significant changes in the contract assets outside of standard reclassifications to accounts receivable, net upon billing. Deferred revenue, current as of December 31, 2023 and March 31, 2023, includes $0.1 million and $0.5 million, respectively, of contract liabilities which represent consideration received from a customer contract on which installation has not yet begun and Orion has not fulfilled the promises included. Of the $0.5 million outstanding as of March 31, 2023, $0.5 million has subsequently been recognized as revenue.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ACCOUNTS RECEIVABLE, NET</w:t>
      </w:r>
    </w:p>
    <w:p>
      <w:pPr>
        <w:spacing w:after="0" w:line="175" w:lineRule="exact"/>
        <w:rPr>
          <w:sz w:val="20"/>
          <w:szCs w:val="20"/>
          <w:color w:val="auto"/>
        </w:rPr>
      </w:pPr>
    </w:p>
    <w:p>
      <w:pPr>
        <w:jc w:val="both"/>
        <w:ind w:firstLine="469"/>
        <w:spacing w:after="0" w:line="281" w:lineRule="auto"/>
        <w:rPr>
          <w:sz w:val="20"/>
          <w:szCs w:val="20"/>
          <w:color w:val="auto"/>
        </w:rPr>
      </w:pPr>
      <w:r>
        <w:rPr>
          <w:rFonts w:ascii="Times New Roman" w:cs="Times New Roman" w:eastAsia="Times New Roman" w:hAnsi="Times New Roman"/>
          <w:sz w:val="18"/>
          <w:szCs w:val="18"/>
          <w:color w:val="auto"/>
        </w:rPr>
        <w:t>As of December 31, 2023 and March 31, 2023, Orion's accounts receivable and allowance for credit losses balances were as follows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37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42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00" w:type="dxa"/>
            <w:vAlign w:val="bottom"/>
            <w:shd w:val="clear" w:color="auto" w:fill="CFF0FC"/>
          </w:tcPr>
          <w:p>
            <w:pPr>
              <w:spacing w:after="0"/>
              <w:rPr>
                <w:sz w:val="20"/>
                <w:szCs w:val="20"/>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(252 )</w:t>
            </w:r>
          </w:p>
        </w:tc>
        <w:tc>
          <w:tcPr>
            <w:tcW w:w="2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r>
      <w:tr>
        <w:trPr>
          <w:trHeight w:val="276"/>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9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15,714</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2"/>
        </w:trPr>
        <w:tc>
          <w:tcPr>
            <w:tcW w:w="3760" w:type="dxa"/>
            <w:vAlign w:val="bottom"/>
          </w:tcPr>
          <w:p>
            <w:pPr>
              <w:spacing w:after="0"/>
              <w:rPr>
                <w:sz w:val="24"/>
                <w:szCs w:val="24"/>
                <w:color w:val="auto"/>
              </w:rPr>
            </w:pPr>
          </w:p>
        </w:tc>
        <w:tc>
          <w:tcPr>
            <w:tcW w:w="398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4"/>
        </w:trPr>
        <w:tc>
          <w:tcPr>
            <w:tcW w:w="37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-864235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-847090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 w:name="page12"/>
    <w:bookmarkEnd w:id="11"/>
    <w:p>
      <w:pPr>
        <w:ind w:left="480"/>
        <w:spacing w:after="0"/>
        <w:rPr>
          <w:sz w:val="20"/>
          <w:szCs w:val="20"/>
          <w:color w:val="auto"/>
        </w:rPr>
      </w:pPr>
      <w:r>
        <w:rPr>
          <w:rFonts w:ascii="Times New Roman" w:cs="Times New Roman" w:eastAsia="Times New Roman" w:hAnsi="Times New Roman"/>
          <w:sz w:val="18"/>
          <w:szCs w:val="18"/>
          <w:color w:val="auto"/>
        </w:rPr>
        <w:t>Changes in Orion’s allowance for credit losses were as follows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7"/>
        </w:trPr>
        <w:tc>
          <w:tcPr>
            <w:tcW w:w="58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(272 )</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adjustment</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76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(190 )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w:t>
            </w: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(252 )</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INVENTORIES, NET</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2023 and March 31, 2023, Orion's inventory balances were as follows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Obsolescence</w:t>
            </w:r>
          </w:p>
        </w:tc>
        <w:tc>
          <w:tcPr>
            <w:tcW w:w="320" w:type="dxa"/>
            <w:vAlign w:val="bottom"/>
          </w:tcPr>
          <w:p>
            <w:pPr>
              <w:spacing w:after="0"/>
              <w:rPr>
                <w:sz w:val="12"/>
                <w:szCs w:val="12"/>
                <w:color w:val="auto"/>
              </w:rPr>
            </w:pP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3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820" w:type="dxa"/>
            <w:vAlign w:val="bottom"/>
            <w:tcBorders>
              <w:top w:val="single" w:sz="8" w:color="auto"/>
              <w:bottom w:val="single" w:sz="8" w:color="CFF0FC"/>
            </w:tcBorders>
            <w:shd w:val="clear" w:color="auto" w:fill="CFF0FC"/>
          </w:tcPr>
          <w:p>
            <w:pPr>
              <w:spacing w:after="0"/>
              <w:rPr>
                <w:sz w:val="21"/>
                <w:szCs w:val="21"/>
                <w:color w:val="auto"/>
              </w:rPr>
            </w:pPr>
          </w:p>
        </w:tc>
        <w:tc>
          <w:tcPr>
            <w:tcW w:w="520" w:type="dxa"/>
            <w:vAlign w:val="bottom"/>
            <w:tcBorders>
              <w:top w:val="single" w:sz="8" w:color="auto"/>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82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(1,142 )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Work in process</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(136 )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Finished goods</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(675 )</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FF0FC"/>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22,796</w:t>
            </w:r>
          </w:p>
        </w:tc>
        <w:tc>
          <w:tcPr>
            <w:tcW w:w="28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(1,953 )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620" w:type="dxa"/>
            <w:vAlign w:val="bottom"/>
            <w:tcBorders>
              <w:top w:val="single" w:sz="8" w:color="CFF0FC"/>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of March 31, 2023</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82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Work in process</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(135 )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Finished goods</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(560 )</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FF0FC"/>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(1,789 )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-984250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-967105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-984250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-967105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PREPAID EXPENSES AND OTHER CURRENT ASSETS</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Prepaid expenses consists primarily of prepaid insurance premiums, debt issue costs, prepaid subscription fees and sales tax receivable.</w:t>
      </w:r>
    </w:p>
    <w:p>
      <w:pPr>
        <w:spacing w:after="0" w:line="225"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Other current assets as of December 31, 2023 and March 31, 2023 consists primarily of $1.6 million and $0, respectively, of prepaid software and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2023 and March 31, 2023, property and equipment, net, included the following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42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7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FF0FC"/>
          </w:tcPr>
          <w:p>
            <w:pPr>
              <w:spacing w:after="0"/>
              <w:rPr>
                <w:sz w:val="20"/>
                <w:szCs w:val="20"/>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shd w:val="clear" w:color="auto" w:fill="CFF0FC"/>
          </w:tcPr>
          <w:p>
            <w:pPr>
              <w:spacing w:after="0"/>
              <w:rPr>
                <w:sz w:val="21"/>
                <w:szCs w:val="21"/>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leased to customers</w:t>
            </w:r>
          </w:p>
        </w:tc>
        <w:tc>
          <w:tcPr>
            <w:tcW w:w="3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shd w:val="clear" w:color="auto" w:fill="CFF0FC"/>
          </w:tcPr>
          <w:p>
            <w:pPr>
              <w:spacing w:after="0"/>
              <w:rPr>
                <w:sz w:val="21"/>
                <w:szCs w:val="21"/>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equipment</w:t>
            </w: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11,234</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3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FF0FC"/>
          </w:tcPr>
          <w:p>
            <w:pPr>
              <w:spacing w:after="0"/>
              <w:rPr>
                <w:sz w:val="21"/>
                <w:szCs w:val="21"/>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r>
      <w:tr>
        <w:trPr>
          <w:trHeight w:val="240"/>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3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35,618</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35,234</w:t>
            </w:r>
          </w:p>
        </w:tc>
        <w:tc>
          <w:tcPr>
            <w:tcW w:w="100" w:type="dxa"/>
            <w:vAlign w:val="bottom"/>
            <w:shd w:val="clear" w:color="auto" w:fill="CFF0FC"/>
          </w:tcPr>
          <w:p>
            <w:pPr>
              <w:spacing w:after="0"/>
              <w:rPr>
                <w:sz w:val="20"/>
                <w:szCs w:val="20"/>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(25,592 )</w:t>
            </w:r>
          </w:p>
        </w:tc>
        <w:tc>
          <w:tcPr>
            <w:tcW w:w="2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(24,764 )</w:t>
            </w:r>
          </w:p>
        </w:tc>
      </w:tr>
      <w:tr>
        <w:trPr>
          <w:trHeight w:val="276"/>
        </w:trPr>
        <w:tc>
          <w:tcPr>
            <w:tcW w:w="4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5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2"/>
        </w:trPr>
        <w:tc>
          <w:tcPr>
            <w:tcW w:w="4220" w:type="dxa"/>
            <w:vAlign w:val="bottom"/>
          </w:tcPr>
          <w:p>
            <w:pPr>
              <w:spacing w:after="0"/>
              <w:rPr>
                <w:sz w:val="24"/>
                <w:szCs w:val="24"/>
                <w:color w:val="auto"/>
              </w:rPr>
            </w:pPr>
          </w:p>
        </w:tc>
        <w:tc>
          <w:tcPr>
            <w:tcW w:w="352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4"/>
        </w:trPr>
        <w:tc>
          <w:tcPr>
            <w:tcW w:w="42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-864235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-847090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From time to time, Orion leases assets from third parties. Orion also leases certain assets to third parties.</w:t>
      </w:r>
    </w:p>
    <w:p>
      <w:pPr>
        <w:spacing w:after="0" w:line="171"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Orion accounts for leases in accordance with ASC 842. Under ASC 842, both finance and operating lease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Orion’s assets leased from third parties follows (dollars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long-term assets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jc w:val="center"/>
              <w:ind w:right="1150"/>
              <w:spacing w:after="0"/>
              <w:rPr>
                <w:sz w:val="20"/>
                <w:szCs w:val="20"/>
                <w:color w:val="auto"/>
              </w:rPr>
            </w:pPr>
            <w:r>
              <w:rPr>
                <w:rFonts w:ascii="Times New Roman" w:cs="Times New Roman" w:eastAsia="Times New Roman" w:hAnsi="Times New Roman"/>
                <w:sz w:val="18"/>
                <w:szCs w:val="18"/>
                <w:color w:val="auto"/>
                <w:w w:val="99"/>
              </w:rPr>
              <w:t>Operating lease liabilities</w:t>
            </w:r>
          </w:p>
        </w:tc>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FF0FC"/>
          </w:tcPr>
          <w:p>
            <w:pPr>
              <w:spacing w:after="0"/>
              <w:rPr>
                <w:sz w:val="21"/>
                <w:szCs w:val="21"/>
                <w:color w:val="auto"/>
              </w:rPr>
            </w:pPr>
          </w:p>
        </w:tc>
      </w:tr>
      <w:tr>
        <w:trPr>
          <w:trHeight w:val="23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480" w:type="dxa"/>
            <w:vAlign w:val="bottom"/>
            <w:tcBorders>
              <w:bottom w:val="single" w:sz="8" w:color="CFF0FC"/>
            </w:tcBorders>
            <w:shd w:val="clear" w:color="auto" w:fill="CFF0FC"/>
          </w:tcPr>
          <w:p>
            <w:pPr>
              <w:jc w:val="center"/>
              <w:ind w:right="1150"/>
              <w:spacing w:after="0"/>
              <w:rPr>
                <w:sz w:val="20"/>
                <w:szCs w:val="20"/>
                <w:color w:val="auto"/>
              </w:rPr>
            </w:pPr>
            <w:r>
              <w:rPr>
                <w:rFonts w:ascii="Times New Roman" w:cs="Times New Roman" w:eastAsia="Times New Roman" w:hAnsi="Times New Roman"/>
                <w:sz w:val="18"/>
                <w:szCs w:val="18"/>
                <w:color w:val="auto"/>
                <w:w w:val="99"/>
              </w:rPr>
              <w:t>Operating lease liabilities</w:t>
            </w:r>
          </w:p>
        </w:tc>
        <w:tc>
          <w:tcPr>
            <w:tcW w:w="34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348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8"/>
              </w:rPr>
              <w:t>Total lease liabilities</w:t>
            </w:r>
          </w:p>
        </w:tc>
        <w:tc>
          <w:tcPr>
            <w:tcW w:w="340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20"/>
                <w:szCs w:val="20"/>
                <w:color w:val="auto"/>
              </w:rPr>
            </w:pPr>
          </w:p>
        </w:tc>
      </w:tr>
      <w:tr>
        <w:trPr>
          <w:trHeight w:val="20"/>
        </w:trPr>
        <w:tc>
          <w:tcPr>
            <w:tcW w:w="34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-187960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9"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8"/>
          <w:szCs w:val="18"/>
          <w:color w:val="auto"/>
        </w:rPr>
        <w:t>Orion had operating lease costs of $0.5 million and $1.5 million for the three and nine months ended December 31, 2023, respectively. Orion had operating lease costs of $0.4 million and $1.2 million for the three and nine months ended December 31, 2022, respectively.</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estimated maturity of lease liabilities for each of the next five years is shown below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2024 (period remaining)</w:t>
            </w: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14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9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tcBorders>
              <w:top w:val="single" w:sz="8" w:color="CFF0FC"/>
            </w:tcBorders>
          </w:tcPr>
          <w:p>
            <w:pPr>
              <w:spacing w:after="0"/>
              <w:rPr>
                <w:sz w:val="20"/>
                <w:szCs w:val="20"/>
                <w:color w:val="auto"/>
              </w:rPr>
            </w:pPr>
          </w:p>
        </w:tc>
      </w:tr>
      <w:tr>
        <w:trPr>
          <w:trHeight w:val="236"/>
        </w:trPr>
        <w:tc>
          <w:tcPr>
            <w:tcW w:w="9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Interest</w:t>
            </w:r>
          </w:p>
        </w:tc>
        <w:tc>
          <w:tcPr>
            <w:tcW w:w="14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(165 )</w:t>
            </w:r>
          </w:p>
        </w:tc>
      </w:tr>
      <w:tr>
        <w:trPr>
          <w:trHeight w:val="236"/>
        </w:trPr>
        <w:tc>
          <w:tcPr>
            <w:tcW w:w="9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Borders>
              <w:top w:val="single" w:sz="8" w:color="CFF0FC"/>
            </w:tcBorders>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 AND OTHER INTANGIBLE ASSETS, NET</w:t>
      </w:r>
    </w:p>
    <w:p>
      <w:pPr>
        <w:spacing w:after="0" w:line="175"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Orion had $0.9 million of goodwill related to its purchase of Voltrek in the third quarter of fiscal 2023, which has an indefinite life, and is assigned to the EV Charging operating segment.</w:t>
      </w:r>
    </w:p>
    <w:p>
      <w:pPr>
        <w:spacing w:after="0" w:line="109"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Orion had $0.6 million of goodwill related to its purchase of Stay-Light Lighting during fiscal year 2022, which has an indefinite life, and is assigned to the Maintenance operating segment.</w:t>
      </w:r>
    </w:p>
    <w:p>
      <w:pPr>
        <w:spacing w:after="0" w:line="1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18 – Acquisition for further discussion of the Voltrek acquisition.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3" w:name="page14"/>
    <w:bookmarkEnd w:id="13"/>
    <w:p>
      <w:pPr>
        <w:ind w:firstLine="464"/>
        <w:spacing w:after="0" w:line="281" w:lineRule="auto"/>
        <w:rPr>
          <w:sz w:val="20"/>
          <w:szCs w:val="20"/>
          <w:color w:val="auto"/>
        </w:rPr>
      </w:pPr>
      <w:r>
        <w:rPr>
          <w:rFonts w:ascii="Times New Roman" w:cs="Times New Roman" w:eastAsia="Times New Roman" w:hAnsi="Times New Roman"/>
          <w:sz w:val="18"/>
          <w:szCs w:val="18"/>
          <w:color w:val="auto"/>
        </w:rPr>
        <w:t>As of December 31, 2023 and March 31, 2023, the components of, and changes in, the carrying amount of other intangible assets, net, were as follows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1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1"/>
                <w:szCs w:val="11"/>
                <w:color w:val="auto"/>
              </w:rPr>
            </w:pPr>
          </w:p>
        </w:tc>
        <w:tc>
          <w:tcPr>
            <w:tcW w:w="11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4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Amortized Intangible Assets</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Patents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5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(2,005 )</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5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(1,930 )</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4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Licenses</w:t>
            </w: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(58 )</w:t>
            </w:r>
          </w:p>
        </w:tc>
        <w:tc>
          <w:tcPr>
            <w:tcW w:w="2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(58 )</w:t>
            </w:r>
          </w:p>
        </w:tc>
        <w:tc>
          <w:tcPr>
            <w:tcW w:w="2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Trade name and trademarks</w:t>
            </w:r>
          </w:p>
        </w:tc>
        <w:tc>
          <w:tcPr>
            <w:tcW w:w="1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(140 )</w:t>
            </w:r>
          </w:p>
        </w:tc>
        <w:tc>
          <w:tcPr>
            <w:tcW w:w="2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(73 )</w:t>
            </w:r>
          </w:p>
        </w:tc>
        <w:tc>
          <w:tcPr>
            <w:tcW w:w="2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3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Customer relationships</w:t>
            </w: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(4,307 )</w:t>
            </w:r>
          </w:p>
        </w:tc>
        <w:tc>
          <w:tcPr>
            <w:tcW w:w="2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1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5,509</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(3,914 )</w:t>
            </w:r>
          </w:p>
        </w:tc>
        <w:tc>
          <w:tcPr>
            <w:tcW w:w="2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Vendor relationships</w:t>
            </w:r>
          </w:p>
        </w:tc>
        <w:tc>
          <w:tcPr>
            <w:tcW w:w="1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(461 )</w:t>
            </w:r>
          </w:p>
        </w:tc>
        <w:tc>
          <w:tcPr>
            <w:tcW w:w="2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(183 )</w:t>
            </w:r>
          </w:p>
        </w:tc>
        <w:tc>
          <w:tcPr>
            <w:tcW w:w="2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3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Developed technology</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(900 )</w:t>
            </w:r>
          </w:p>
        </w:tc>
        <w:tc>
          <w:tcPr>
            <w:tcW w:w="2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(900 )</w:t>
            </w: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Amortized Intangible Assets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12,052</w:t>
            </w:r>
          </w:p>
        </w:tc>
        <w:tc>
          <w:tcPr>
            <w:tcW w:w="240" w:type="dxa"/>
            <w:vAlign w:val="bottom"/>
            <w:vMerge w:val="restart"/>
          </w:tcPr>
          <w:p>
            <w:pPr>
              <w:spacing w:after="0"/>
              <w:rPr>
                <w:sz w:val="15"/>
                <w:szCs w:val="15"/>
                <w:color w:val="auto"/>
              </w:rPr>
            </w:pP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(7,871 )</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4,181</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12,052</w:t>
            </w:r>
          </w:p>
        </w:tc>
        <w:tc>
          <w:tcPr>
            <w:tcW w:w="5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(7,058 )</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34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Indefinite-lived Intangible Assets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3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Trade name and trademarks</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240" w:type="dxa"/>
            <w:vAlign w:val="bottom"/>
            <w:vMerge w:val="restart"/>
            <w:shd w:val="clear" w:color="auto" w:fill="CFF0FC"/>
          </w:tcPr>
          <w:p>
            <w:pPr>
              <w:spacing w:after="0"/>
              <w:rPr>
                <w:sz w:val="16"/>
                <w:szCs w:val="16"/>
                <w:color w:val="auto"/>
              </w:rPr>
            </w:pPr>
          </w:p>
        </w:tc>
        <w:tc>
          <w:tcPr>
            <w:tcW w:w="26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FF0FC"/>
          </w:tcPr>
          <w:p>
            <w:pPr>
              <w:spacing w:after="0"/>
              <w:rPr>
                <w:sz w:val="16"/>
                <w:szCs w:val="16"/>
                <w:color w:val="auto"/>
              </w:rPr>
            </w:pP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220" w:type="dxa"/>
            <w:vAlign w:val="bottom"/>
            <w:vMerge w:val="restart"/>
            <w:shd w:val="clear" w:color="auto" w:fill="CFF0FC"/>
          </w:tcPr>
          <w:p>
            <w:pPr>
              <w:spacing w:after="0"/>
              <w:rPr>
                <w:sz w:val="16"/>
                <w:szCs w:val="16"/>
                <w:color w:val="auto"/>
              </w:rPr>
            </w:pPr>
          </w:p>
        </w:tc>
        <w:tc>
          <w:tcPr>
            <w:tcW w:w="300" w:type="dxa"/>
            <w:vAlign w:val="bottom"/>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6"/>
                <w:szCs w:val="16"/>
                <w:color w:val="auto"/>
              </w:rPr>
            </w:pP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3400" w:type="dxa"/>
            <w:vAlign w:val="bottom"/>
            <w:tcBorders>
              <w:bottom w:val="single" w:sz="8" w:color="CFF0FC"/>
            </w:tcBorders>
            <w:shd w:val="clear" w:color="auto" w:fill="CFF0FC"/>
          </w:tcPr>
          <w:p>
            <w:pPr>
              <w:spacing w:after="0"/>
              <w:rPr>
                <w:sz w:val="3"/>
                <w:szCs w:val="3"/>
                <w:color w:val="auto"/>
              </w:rPr>
            </w:pPr>
          </w:p>
        </w:tc>
        <w:tc>
          <w:tcPr>
            <w:tcW w:w="140" w:type="dxa"/>
            <w:vAlign w:val="bottom"/>
            <w:tcBorders>
              <w:bottom w:val="single" w:sz="8" w:color="auto"/>
            </w:tcBorders>
            <w:vMerge w:val="continue"/>
            <w:shd w:val="clear" w:color="auto" w:fill="CFF0FC"/>
          </w:tcPr>
          <w:p>
            <w:pPr>
              <w:spacing w:after="0"/>
              <w:rPr>
                <w:sz w:val="3"/>
                <w:szCs w:val="3"/>
                <w:color w:val="auto"/>
              </w:rPr>
            </w:pPr>
          </w:p>
        </w:tc>
        <w:tc>
          <w:tcPr>
            <w:tcW w:w="800" w:type="dxa"/>
            <w:vAlign w:val="bottom"/>
            <w:tcBorders>
              <w:bottom w:val="single" w:sz="8" w:color="auto"/>
            </w:tcBorders>
            <w:vMerge w:val="continue"/>
            <w:shd w:val="clear" w:color="auto" w:fill="CFF0FC"/>
          </w:tcPr>
          <w:p>
            <w:pPr>
              <w:spacing w:after="0"/>
              <w:rPr>
                <w:sz w:val="3"/>
                <w:szCs w:val="3"/>
                <w:color w:val="auto"/>
              </w:rPr>
            </w:pPr>
          </w:p>
        </w:tc>
        <w:tc>
          <w:tcPr>
            <w:tcW w:w="240" w:type="dxa"/>
            <w:vAlign w:val="bottom"/>
            <w:tcBorders>
              <w:bottom w:val="single" w:sz="8" w:color="CFF0FC"/>
            </w:tcBorders>
            <w:vMerge w:val="continue"/>
            <w:shd w:val="clear" w:color="auto" w:fill="CFF0FC"/>
          </w:tcPr>
          <w:p>
            <w:pPr>
              <w:spacing w:after="0"/>
              <w:rPr>
                <w:sz w:val="3"/>
                <w:szCs w:val="3"/>
                <w:color w:val="auto"/>
              </w:rPr>
            </w:pPr>
          </w:p>
        </w:tc>
        <w:tc>
          <w:tcPr>
            <w:tcW w:w="260" w:type="dxa"/>
            <w:vAlign w:val="bottom"/>
            <w:tcBorders>
              <w:bottom w:val="single" w:sz="8" w:color="auto"/>
            </w:tcBorders>
            <w:vMerge w:val="continue"/>
            <w:shd w:val="clear" w:color="auto" w:fill="CFF0FC"/>
          </w:tcPr>
          <w:p>
            <w:pPr>
              <w:spacing w:after="0"/>
              <w:rPr>
                <w:sz w:val="3"/>
                <w:szCs w:val="3"/>
                <w:color w:val="auto"/>
              </w:rPr>
            </w:pPr>
          </w:p>
        </w:tc>
        <w:tc>
          <w:tcPr>
            <w:tcW w:w="660" w:type="dxa"/>
            <w:vAlign w:val="bottom"/>
            <w:tcBorders>
              <w:bottom w:val="single" w:sz="8" w:color="auto"/>
            </w:tcBorders>
            <w:vMerge w:val="continue"/>
            <w:shd w:val="clear" w:color="auto" w:fill="CFF0FC"/>
          </w:tcPr>
          <w:p>
            <w:pPr>
              <w:spacing w:after="0"/>
              <w:rPr>
                <w:sz w:val="3"/>
                <w:szCs w:val="3"/>
                <w:color w:val="auto"/>
              </w:rPr>
            </w:pPr>
          </w:p>
        </w:tc>
        <w:tc>
          <w:tcPr>
            <w:tcW w:w="260" w:type="dxa"/>
            <w:vAlign w:val="bottom"/>
            <w:tcBorders>
              <w:bottom w:val="single" w:sz="8" w:color="CFF0FC"/>
            </w:tcBorders>
            <w:vMerge w:val="continue"/>
            <w:shd w:val="clear" w:color="auto" w:fill="CFF0FC"/>
          </w:tcPr>
          <w:p>
            <w:pPr>
              <w:spacing w:after="0"/>
              <w:rPr>
                <w:sz w:val="3"/>
                <w:szCs w:val="3"/>
                <w:color w:val="auto"/>
              </w:rPr>
            </w:pPr>
          </w:p>
        </w:tc>
        <w:tc>
          <w:tcPr>
            <w:tcW w:w="200" w:type="dxa"/>
            <w:vAlign w:val="bottom"/>
            <w:tcBorders>
              <w:bottom w:val="single" w:sz="8" w:color="auto"/>
            </w:tcBorders>
            <w:vMerge w:val="continue"/>
            <w:shd w:val="clear" w:color="auto" w:fill="CFF0FC"/>
          </w:tcPr>
          <w:p>
            <w:pPr>
              <w:spacing w:after="0"/>
              <w:rPr>
                <w:sz w:val="3"/>
                <w:szCs w:val="3"/>
                <w:color w:val="auto"/>
              </w:rPr>
            </w:pPr>
          </w:p>
        </w:tc>
        <w:tc>
          <w:tcPr>
            <w:tcW w:w="640" w:type="dxa"/>
            <w:vAlign w:val="bottom"/>
            <w:tcBorders>
              <w:bottom w:val="single" w:sz="8" w:color="auto"/>
            </w:tcBorders>
            <w:vMerge w:val="continue"/>
            <w:shd w:val="clear" w:color="auto" w:fill="CFF0FC"/>
          </w:tcPr>
          <w:p>
            <w:pPr>
              <w:spacing w:after="0"/>
              <w:rPr>
                <w:sz w:val="3"/>
                <w:szCs w:val="3"/>
                <w:color w:val="auto"/>
              </w:rPr>
            </w:pPr>
          </w:p>
        </w:tc>
        <w:tc>
          <w:tcPr>
            <w:tcW w:w="220" w:type="dxa"/>
            <w:vAlign w:val="bottom"/>
            <w:tcBorders>
              <w:bottom w:val="single" w:sz="8" w:color="CFF0FC"/>
            </w:tcBorders>
            <w:shd w:val="clear" w:color="auto" w:fill="CFF0FC"/>
          </w:tcPr>
          <w:p>
            <w:pPr>
              <w:spacing w:after="0"/>
              <w:rPr>
                <w:sz w:val="3"/>
                <w:szCs w:val="3"/>
                <w:color w:val="auto"/>
              </w:rPr>
            </w:pPr>
          </w:p>
        </w:tc>
        <w:tc>
          <w:tcPr>
            <w:tcW w:w="940" w:type="dxa"/>
            <w:vAlign w:val="bottom"/>
            <w:tcBorders>
              <w:bottom w:val="single" w:sz="8" w:color="CFF0FC"/>
            </w:tcBorders>
            <w:shd w:val="clear" w:color="auto" w:fill="CFF0FC"/>
          </w:tcPr>
          <w:p>
            <w:pPr>
              <w:spacing w:after="0"/>
              <w:rPr>
                <w:sz w:val="3"/>
                <w:szCs w:val="3"/>
                <w:color w:val="auto"/>
              </w:rPr>
            </w:pPr>
          </w:p>
        </w:tc>
        <w:tc>
          <w:tcPr>
            <w:tcW w:w="220" w:type="dxa"/>
            <w:vAlign w:val="bottom"/>
            <w:tcBorders>
              <w:bottom w:val="single" w:sz="8" w:color="CFF0FC"/>
            </w:tcBorders>
            <w:vMerge w:val="continue"/>
            <w:shd w:val="clear" w:color="auto" w:fill="CFF0FC"/>
          </w:tcPr>
          <w:p>
            <w:pPr>
              <w:spacing w:after="0"/>
              <w:rPr>
                <w:sz w:val="3"/>
                <w:szCs w:val="3"/>
                <w:color w:val="auto"/>
              </w:rPr>
            </w:pPr>
          </w:p>
        </w:tc>
        <w:tc>
          <w:tcPr>
            <w:tcW w:w="120" w:type="dxa"/>
            <w:vAlign w:val="bottom"/>
            <w:tcBorders>
              <w:bottom w:val="single" w:sz="8" w:color="auto"/>
            </w:tcBorders>
            <w:vMerge w:val="continue"/>
            <w:shd w:val="clear" w:color="auto" w:fill="CFF0FC"/>
          </w:tcPr>
          <w:p>
            <w:pPr>
              <w:spacing w:after="0"/>
              <w:rPr>
                <w:sz w:val="3"/>
                <w:szCs w:val="3"/>
                <w:color w:val="auto"/>
              </w:rPr>
            </w:pPr>
          </w:p>
        </w:tc>
        <w:tc>
          <w:tcPr>
            <w:tcW w:w="780" w:type="dxa"/>
            <w:vAlign w:val="bottom"/>
            <w:tcBorders>
              <w:bottom w:val="single" w:sz="8" w:color="auto"/>
            </w:tcBorders>
            <w:vMerge w:val="continue"/>
            <w:shd w:val="clear" w:color="auto" w:fill="CFF0FC"/>
          </w:tcPr>
          <w:p>
            <w:pPr>
              <w:spacing w:after="0"/>
              <w:rPr>
                <w:sz w:val="3"/>
                <w:szCs w:val="3"/>
                <w:color w:val="auto"/>
              </w:rPr>
            </w:pPr>
          </w:p>
        </w:tc>
        <w:tc>
          <w:tcPr>
            <w:tcW w:w="220" w:type="dxa"/>
            <w:vAlign w:val="bottom"/>
            <w:tcBorders>
              <w:bottom w:val="single" w:sz="8" w:color="CFF0FC"/>
            </w:tcBorders>
            <w:vMerge w:val="continue"/>
            <w:shd w:val="clear" w:color="auto" w:fill="CFF0FC"/>
          </w:tcPr>
          <w:p>
            <w:pPr>
              <w:spacing w:after="0"/>
              <w:rPr>
                <w:sz w:val="3"/>
                <w:szCs w:val="3"/>
                <w:color w:val="auto"/>
              </w:rPr>
            </w:pPr>
          </w:p>
        </w:tc>
        <w:tc>
          <w:tcPr>
            <w:tcW w:w="300" w:type="dxa"/>
            <w:vAlign w:val="bottom"/>
            <w:tcBorders>
              <w:bottom w:val="single" w:sz="8" w:color="auto"/>
            </w:tcBorders>
            <w:vMerge w:val="continue"/>
            <w:shd w:val="clear" w:color="auto" w:fill="CFF0FC"/>
          </w:tcPr>
          <w:p>
            <w:pPr>
              <w:spacing w:after="0"/>
              <w:rPr>
                <w:sz w:val="3"/>
                <w:szCs w:val="3"/>
                <w:color w:val="auto"/>
              </w:rPr>
            </w:pPr>
          </w:p>
        </w:tc>
        <w:tc>
          <w:tcPr>
            <w:tcW w:w="600" w:type="dxa"/>
            <w:vAlign w:val="bottom"/>
            <w:tcBorders>
              <w:bottom w:val="single" w:sz="8" w:color="auto"/>
            </w:tcBorders>
            <w:vMerge w:val="continue"/>
            <w:shd w:val="clear" w:color="auto" w:fill="CFF0FC"/>
          </w:tcPr>
          <w:p>
            <w:pPr>
              <w:spacing w:after="0"/>
              <w:rPr>
                <w:sz w:val="3"/>
                <w:szCs w:val="3"/>
                <w:color w:val="auto"/>
              </w:rPr>
            </w:pPr>
          </w:p>
        </w:tc>
        <w:tc>
          <w:tcPr>
            <w:tcW w:w="220" w:type="dxa"/>
            <w:vAlign w:val="bottom"/>
            <w:tcBorders>
              <w:bottom w:val="single" w:sz="8" w:color="CFF0FC"/>
            </w:tcBorders>
            <w:vMerge w:val="continue"/>
            <w:shd w:val="clear" w:color="auto" w:fill="CFF0FC"/>
          </w:tcPr>
          <w:p>
            <w:pPr>
              <w:spacing w:after="0"/>
              <w:rPr>
                <w:sz w:val="3"/>
                <w:szCs w:val="3"/>
                <w:color w:val="auto"/>
              </w:rPr>
            </w:pPr>
          </w:p>
        </w:tc>
        <w:tc>
          <w:tcPr>
            <w:tcW w:w="220" w:type="dxa"/>
            <w:vAlign w:val="bottom"/>
            <w:tcBorders>
              <w:bottom w:val="single" w:sz="8" w:color="auto"/>
            </w:tcBorders>
            <w:vMerge w:val="continue"/>
            <w:shd w:val="clear" w:color="auto" w:fill="CFF0FC"/>
          </w:tcPr>
          <w:p>
            <w:pPr>
              <w:spacing w:after="0"/>
              <w:rPr>
                <w:sz w:val="3"/>
                <w:szCs w:val="3"/>
                <w:color w:val="auto"/>
              </w:rPr>
            </w:pPr>
          </w:p>
        </w:tc>
        <w:tc>
          <w:tcPr>
            <w:tcW w:w="700" w:type="dxa"/>
            <w:vAlign w:val="bottom"/>
            <w:tcBorders>
              <w:bottom w:val="single" w:sz="8" w:color="auto"/>
            </w:tcBorders>
            <w:vMerge w:val="continue"/>
            <w:shd w:val="clear" w:color="auto" w:fill="CFF0FC"/>
          </w:tcPr>
          <w:p>
            <w:pPr>
              <w:spacing w:after="0"/>
              <w:rPr>
                <w:sz w:val="3"/>
                <w:szCs w:val="3"/>
                <w:color w:val="auto"/>
              </w:rPr>
            </w:pPr>
          </w:p>
        </w:tc>
        <w:tc>
          <w:tcPr>
            <w:tcW w:w="100" w:type="dxa"/>
            <w:vAlign w:val="bottom"/>
            <w:tcBorders>
              <w:bottom w:val="single" w:sz="8" w:color="CFF0FC"/>
            </w:tcBorders>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Non-Amortized Intangible Assets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5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5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34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-779780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-779780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-779780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-779780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-779780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-779780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-163195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-163195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-163195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-163195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-163195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-163195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Amortization expense on intangible assets was $0.3 million and $0.8 million for the three and nine months ended December 31, 2023, respectively.</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Amortization expense on intangible assets was $0.3 million and $0.4 million for the three and nine months ended December 31, 2022, respectively.</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estimated amortization expense for the remainder of fiscal 2024, the next five fiscal years and beyond is shown below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2024 (period remaining)</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7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7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0"/>
                <w:szCs w:val="20"/>
                <w:color w:val="auto"/>
              </w:rPr>
            </w:pPr>
          </w:p>
        </w:tc>
      </w:tr>
      <w:tr>
        <w:trPr>
          <w:trHeight w:val="243"/>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ACCRUED EXPENSES AND OTHER</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2023 and March 31, 2023, accrued expenses and other included the following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acquisition earn-out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project costs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accruals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Credits due to customers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tax</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returns reserve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power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supplies, LED modules, chips and drivers, control devices, and other fixture related items, which are significant components in Orion's lighting products.</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Changes in Orion’s warranty accrual (both current and long-term) were as follows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7"/>
        </w:trPr>
        <w:tc>
          <w:tcPr>
            <w:tcW w:w="58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Warranty claims (net of vendor reimbursements)</w:t>
            </w:r>
          </w:p>
        </w:tc>
        <w:tc>
          <w:tcPr>
            <w:tcW w:w="76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(125 )</w:t>
            </w:r>
          </w:p>
        </w:tc>
        <w:tc>
          <w:tcPr>
            <w:tcW w:w="7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6"/>
              </w:rPr>
              <w:t>(149 )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(241 )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(507 )</w:t>
            </w:r>
          </w:p>
        </w:tc>
      </w:tr>
      <w:tr>
        <w:trPr>
          <w:trHeight w:val="236"/>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60" w:type="dxa"/>
            <w:vAlign w:val="bottom"/>
            <w:tcBorders>
              <w:top w:val="single" w:sz="8" w:color="CFF0FC"/>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top w:val="single" w:sz="8" w:color="CFF0FC"/>
            </w:tcBorders>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NET LOSS PER COMMON SHARE</w:t>
      </w:r>
    </w:p>
    <w:p>
      <w:pPr>
        <w:spacing w:after="0" w:line="175" w:lineRule="exact"/>
        <w:rPr>
          <w:sz w:val="20"/>
          <w:szCs w:val="20"/>
          <w:color w:val="auto"/>
        </w:rPr>
      </w:pPr>
    </w:p>
    <w:p>
      <w:pPr>
        <w:jc w:val="both"/>
        <w:ind w:firstLine="469"/>
        <w:spacing w:after="0" w:line="281"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income attributable to common shareholders by the weighted-average number of common shares outstanding for the period and does not consider common stock equivalents.</w:t>
      </w:r>
    </w:p>
    <w:p>
      <w:pPr>
        <w:spacing w:after="0" w:line="109" w:lineRule="exact"/>
        <w:rPr>
          <w:sz w:val="20"/>
          <w:szCs w:val="20"/>
          <w:color w:val="auto"/>
        </w:rPr>
      </w:pPr>
    </w:p>
    <w:p>
      <w:pPr>
        <w:jc w:val="both"/>
        <w:ind w:firstLine="469"/>
        <w:spacing w:after="0" w:line="280" w:lineRule="auto"/>
        <w:rPr>
          <w:sz w:val="20"/>
          <w:szCs w:val="20"/>
          <w:color w:val="auto"/>
        </w:rPr>
      </w:pPr>
      <w:r>
        <w:rPr>
          <w:rFonts w:ascii="Times New Roman" w:cs="Times New Roman" w:eastAsia="Times New Roman" w:hAnsi="Times New Roman"/>
          <w:sz w:val="17"/>
          <w:szCs w:val="17"/>
          <w:color w:val="auto"/>
        </w:rPr>
        <w:t>Diluted net loss per common share reflects the dilution that would occur if stock options were exercised and restricted shares vested. In the computation of diluted net income per common share, Orion uses the treasury stock method for outstanding options and restricted shares. For the three and nine months ended December 31, 2023 and 2022, Orion was in a net loss position; therefore, the Basic and Diluted weighted-average shares outstanding are equal because any increase to the basic shares would be anti-dilutive. Net (loss) income per common share is calculated based upon the following shares: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3"/>
                <w:szCs w:val="13"/>
                <w:color w:val="auto"/>
              </w:rPr>
            </w:pPr>
          </w:p>
        </w:tc>
        <w:tc>
          <w:tcPr>
            <w:tcW w:w="24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 thousands)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(2,256 )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(24,059 )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(13,281 )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(29,225 )</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32,531,563</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32,047,755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32,460,398</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31,510,547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and common share</w:t>
            </w:r>
          </w:p>
        </w:tc>
        <w:tc>
          <w:tcPr>
            <w:tcW w:w="22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32,531,563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32,047,755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32,460,398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31,510,547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equivalents outstanding</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(0.07 )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(0.75 )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(0.41 )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(0.93 )</w:t>
            </w: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(0.07 )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(0.75 )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(0.41 )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-481965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-464820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-481965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-464820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-481965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-464820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-481965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-464820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2" w:lineRule="exact"/>
        <w:rPr>
          <w:sz w:val="20"/>
          <w:szCs w:val="20"/>
          <w:color w:val="auto"/>
        </w:rPr>
      </w:pPr>
    </w:p>
    <w:p>
      <w:pPr>
        <w:jc w:val="both"/>
        <w:ind w:right="20" w:firstLine="464"/>
        <w:spacing w:after="0" w:line="281" w:lineRule="auto"/>
        <w:rPr>
          <w:sz w:val="20"/>
          <w:szCs w:val="20"/>
          <w:color w:val="auto"/>
        </w:rPr>
      </w:pPr>
      <w:r>
        <w:rPr>
          <w:rFonts w:ascii="Times New Roman" w:cs="Times New Roman" w:eastAsia="Times New Roman" w:hAnsi="Times New Roman"/>
          <w:sz w:val="18"/>
          <w:szCs w:val="18"/>
          <w:color w:val="auto"/>
        </w:rPr>
        <w:t>The following table indicates the number of potentially dilutive securities excluded from the calculation of Diluted net income per common share because their inclusion would have been anti-dilutive. The number of shares is as of the end of each period: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3"/>
                <w:szCs w:val="13"/>
                <w:color w:val="auto"/>
              </w:rPr>
            </w:pPr>
          </w:p>
        </w:tc>
        <w:tc>
          <w:tcPr>
            <w:tcW w:w="26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1640" w:type="dxa"/>
            <w:vAlign w:val="bottom"/>
            <w:shd w:val="clear" w:color="auto" w:fill="CFF0FC"/>
          </w:tcPr>
          <w:p>
            <w:pPr>
              <w:spacing w:after="0"/>
              <w:rPr>
                <w:sz w:val="20"/>
                <w:szCs w:val="20"/>
                <w:color w:val="auto"/>
              </w:rPr>
            </w:pPr>
          </w:p>
        </w:tc>
        <w:tc>
          <w:tcPr>
            <w:tcW w:w="1800" w:type="dxa"/>
            <w:vAlign w:val="bottom"/>
            <w:gridSpan w:val="3"/>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85,136</w:t>
            </w:r>
          </w:p>
        </w:tc>
        <w:tc>
          <w:tcPr>
            <w:tcW w:w="220" w:type="dxa"/>
            <w:vAlign w:val="bottom"/>
            <w:shd w:val="clear" w:color="auto" w:fill="CFF0FC"/>
          </w:tcPr>
          <w:p>
            <w:pPr>
              <w:spacing w:after="0"/>
              <w:rPr>
                <w:sz w:val="20"/>
                <w:szCs w:val="20"/>
                <w:color w:val="auto"/>
              </w:rPr>
            </w:pPr>
          </w:p>
        </w:tc>
        <w:tc>
          <w:tcPr>
            <w:tcW w:w="1760" w:type="dxa"/>
            <w:vAlign w:val="bottom"/>
            <w:gridSpan w:val="3"/>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Time-Based Restricted shares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881,870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519,785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881,870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shares</w:t>
            </w:r>
          </w:p>
        </w:tc>
        <w:tc>
          <w:tcPr>
            <w:tcW w:w="16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708,377</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178,669</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708,377</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178,669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1,590,247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783,590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1,590,247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4"/>
        </w:trPr>
        <w:tc>
          <w:tcPr>
            <w:tcW w:w="4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-1026795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-1026795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-1026795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consisted of the following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debt obligations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2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75"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On December 29, 2020, Orion entered into a $25 million Loan and Security Agreement with Bank of America, N.A., as lender (the “Credit Agreement”). The Credit Agreement replaced Orion’s prior $20.15 million secured revolving credit and security agreement (the “Prior Credit Agreement”).</w:t>
      </w:r>
    </w:p>
    <w:p>
      <w:pPr>
        <w:spacing w:after="0" w:line="109"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The replacement of the Prior Credit Agreement with the Credit Agreement provides Orion with increased financing capacity and liquidity to fund its operations and implement its strategic plans.</w:t>
      </w:r>
    </w:p>
    <w:p>
      <w:pPr>
        <w:spacing w:after="0" w:line="109"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8"/>
          <w:szCs w:val="18"/>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December 31, 2023, the borrowing base of the Credit Facility supported $22.5 million of availability, with $12.5 million of remaining availability net of $10.0 million borrowed.</w:t>
      </w:r>
    </w:p>
    <w:p>
      <w:pPr>
        <w:spacing w:after="0" w:line="128"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8"/>
          <w:szCs w:val="18"/>
          <w:color w:val="auto"/>
        </w:rPr>
        <w:t>Effective November 4, 2022, Orion, with Bank of America, N.A. as lender, executed Amendment No. 1 to its Credit Agreement. The primary purpose of the amendment was to include the assets of the acquired subsidiaries, Stay-Lite Lighting, Inc. ("Stay-Lite Lighting") and Voltrek, as secured collateral under the Credit Agreement. Accordingly, eligible assets of Stay-Lite and Voltrek are now included in the borrowing base calculation for the purpose of establishing the monthly borrowing availability under the Credit Agreement. The amendment also clarified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2023, Orion was in compliance with all debt covenants.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Debt Obligations</w:t>
      </w:r>
    </w:p>
    <w:p>
      <w:pPr>
        <w:spacing w:after="0" w:line="175" w:lineRule="exact"/>
        <w:rPr>
          <w:sz w:val="20"/>
          <w:szCs w:val="20"/>
          <w:color w:val="auto"/>
        </w:rPr>
      </w:pPr>
    </w:p>
    <w:p>
      <w:pPr>
        <w:jc w:val="both"/>
        <w:ind w:right="20" w:firstLine="469"/>
        <w:spacing w:after="0" w:line="265" w:lineRule="auto"/>
        <w:rPr>
          <w:sz w:val="20"/>
          <w:szCs w:val="20"/>
          <w:color w:val="auto"/>
        </w:rPr>
      </w:pPr>
      <w:r>
        <w:rPr>
          <w:rFonts w:ascii="Times New Roman" w:cs="Times New Roman" w:eastAsia="Times New Roman" w:hAnsi="Times New Roman"/>
          <w:sz w:val="18"/>
          <w:szCs w:val="18"/>
          <w:color w:val="auto"/>
        </w:rPr>
        <w:t>In February 2019, Orion entered into additional debt agreements with a financing company in the principal amount of $44 thousand and $30 thousand to fund the purchase of certain equipment. The debts are secured by the related equipment. The debts bear interest at a rate of 6.43% and 8.77% per annum, respectively, and both debts mature in January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175"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Orion’s income tax provision was determined by applying an estimated annual effective tax rate, based upon the facts and circumstances known, to book income (loss) before income tax, adjusting for discrete items. Orion’s actual effective tax rate is adjusted each interim period, as appropriate, for changes in facts and circumstances. For the three months ended December 31, 2023 and 2022, Orion recorded income tax expense of $0 and $19.4 million, respectively, using this methodology. For the nine months ended December 31, 2023 and 2022, Orion recorded income tax expense of $0.1 million and $17.9 million, respectively, using this methodology. The decrease in Orion's tax expense, in both periods ended December 31, 2023, relates primarily to a 2022 non-cash charge of $17.8 million in relation to recording a valuation allowance associated with Orion’s domestic federal and state deferred tax assets.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6" w:name="page17"/>
    <w:bookmarkEnd w:id="16"/>
    <w:p>
      <w:pPr>
        <w:jc w:val="both"/>
        <w:ind w:firstLine="464"/>
        <w:spacing w:after="0" w:line="260" w:lineRule="auto"/>
        <w:rPr>
          <w:sz w:val="20"/>
          <w:szCs w:val="20"/>
          <w:color w:val="auto"/>
        </w:rPr>
      </w:pPr>
      <w:r>
        <w:rPr>
          <w:rFonts w:ascii="Times New Roman" w:cs="Times New Roman" w:eastAsia="Times New Roman" w:hAnsi="Times New Roman"/>
          <w:sz w:val="18"/>
          <w:szCs w:val="18"/>
          <w:color w:val="auto"/>
        </w:rPr>
        <w:t>As of December 31, 2023 and March 31, 2023, Orion had a full valuation allowance against its net deferred tax asset balance.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spacing w:after="0" w:line="128"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8"/>
          <w:szCs w:val="18"/>
          <w:color w:val="auto"/>
        </w:rPr>
        <w:t>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Orion’s provision for income taxes.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As of December 31, 2023, Orion’s balance of gross unrecognized tax benefits was approximately $0.2 million, all of which would reduce Orion’s effective tax rate if recognized.</w:t>
      </w:r>
    </w:p>
    <w:p>
      <w:pPr>
        <w:spacing w:after="0" w:line="109"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(benefit) expense. Penalties and interest are included in the unrecognized tax benefits.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jc w:val="both"/>
        <w:ind w:firstLine="469"/>
        <w:spacing w:after="0" w:line="281" w:lineRule="auto"/>
        <w:rPr>
          <w:sz w:val="20"/>
          <w:szCs w:val="20"/>
          <w:color w:val="auto"/>
        </w:rPr>
      </w:pPr>
      <w:r>
        <w:rPr>
          <w:rFonts w:ascii="Times New Roman" w:cs="Times New Roman" w:eastAsia="Times New Roman" w:hAnsi="Times New Roman"/>
          <w:sz w:val="18"/>
          <w:szCs w:val="18"/>
          <w:color w:val="auto"/>
        </w:rPr>
        <w:t>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SHAREHOLDERS’ EQUITY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In August 2010, Orion’s Board of Directors approved a non-compensatory employee stock purchase plan, or “ESPP”. In the three months ended December 31, 2023, Orion issued 672 shares under the ESPP plan at a closing market price of $0.87. In the three months ended December 31, 2022, Orion issued 621 shares under the ESPP plan at a closing market price of $1.82.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shares</w:t>
      </w:r>
    </w:p>
    <w:p>
      <w:pPr>
        <w:spacing w:after="0" w:line="121"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8"/>
          <w:szCs w:val="18"/>
          <w:color w:val="auto"/>
        </w:rPr>
        <w:t>In March 2023, Orion filed a universal shelf registration statement with the Securities and Exchange Commission. Under the shelf registration statement, Orion currently has the flexibility to publicly offer and sell from time to time up to $100 million of debt and/or 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spacing w:after="0" w:line="128"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In March 2021, Orion entered into an At Market Issuance Sales Agreement to undertake an “at the market” (ATM) public equity capital raising program pursuant to which Orion may offer and sell shares of common stock from time to time, having an aggregate offering price of up to $50 million. No share sales have been effected pursuant to the ATM program through December 31,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STOCK OPTIONS AND RESTRICTED SHARES</w:t>
      </w:r>
    </w:p>
    <w:p>
      <w:pPr>
        <w:spacing w:after="0" w:line="175" w:lineRule="exact"/>
        <w:rPr>
          <w:sz w:val="20"/>
          <w:szCs w:val="20"/>
          <w:color w:val="auto"/>
        </w:rPr>
      </w:pPr>
    </w:p>
    <w:p>
      <w:pPr>
        <w:jc w:val="both"/>
        <w:ind w:firstLine="469"/>
        <w:spacing w:after="0" w:line="281" w:lineRule="auto"/>
        <w:rPr>
          <w:sz w:val="20"/>
          <w:szCs w:val="20"/>
          <w:color w:val="auto"/>
        </w:rPr>
      </w:pPr>
      <w:r>
        <w:rPr>
          <w:rFonts w:ascii="Times New Roman" w:cs="Times New Roman" w:eastAsia="Times New Roman" w:hAnsi="Times New Roman"/>
          <w:sz w:val="18"/>
          <w:szCs w:val="18"/>
          <w:color w:val="auto"/>
        </w:rPr>
        <w:t>At Orion's 2023 annual meeting of shareholders (the “2023 Annual Meeting”) held on August 10, 2023, Orion's shareholders approved the Orion Energy Systems, Inc. 2016 Omnibus Incentive Plan, as amended and restated (the "Amended 2016 Plan").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7" w:name="page18"/>
    <w:bookmarkEnd w:id="17"/>
    <w:p>
      <w:pPr>
        <w:jc w:val="both"/>
        <w:spacing w:after="0" w:line="265" w:lineRule="auto"/>
        <w:rPr>
          <w:sz w:val="20"/>
          <w:szCs w:val="20"/>
          <w:color w:val="auto"/>
        </w:rPr>
      </w:pPr>
      <w:r>
        <w:rPr>
          <w:rFonts w:ascii="Times New Roman" w:cs="Times New Roman" w:eastAsia="Times New Roman" w:hAnsi="Times New Roman"/>
          <w:sz w:val="18"/>
          <w:szCs w:val="18"/>
          <w:color w:val="auto"/>
        </w:rPr>
        <w:t>The Amended 2016 Plan increased the number of shares of Orion's common stock available for issuance under the Amended 2016 Plan from 3,500,000 shares to 6,000,000 shares (an increase of 2,500,000 shares) and extended the term of the Amended 2016 Plan to the tenth anniversary of the date of the 2023 Annual Meeting.</w:t>
      </w:r>
    </w:p>
    <w:p>
      <w:pPr>
        <w:spacing w:after="0" w:line="123" w:lineRule="exact"/>
        <w:rPr>
          <w:sz w:val="20"/>
          <w:szCs w:val="20"/>
          <w:color w:val="auto"/>
        </w:rPr>
      </w:pPr>
    </w:p>
    <w:p>
      <w:pPr>
        <w:jc w:val="both"/>
        <w:ind w:firstLine="469"/>
        <w:spacing w:after="0" w:line="265" w:lineRule="auto"/>
        <w:rPr>
          <w:sz w:val="20"/>
          <w:szCs w:val="20"/>
          <w:color w:val="auto"/>
        </w:rPr>
      </w:pPr>
      <w:r>
        <w:rPr>
          <w:rFonts w:ascii="Times New Roman" w:cs="Times New Roman" w:eastAsia="Times New Roman" w:hAnsi="Times New Roman"/>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23"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Prior to the 2016 Omnibus Incentive Plan, Orion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 The Amended 2016 Plan and the 2004 Plan also permit accelerated vesting in the event of certain changes of control of Orion as well as under other special circumstances.</w:t>
      </w:r>
    </w:p>
    <w:p>
      <w:pPr>
        <w:spacing w:after="0" w:line="128"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Certain non-employee directors have from time to time elected to receive stock awards in lieu of cash compensation pursuant to elections made under Orion’s non-employee director compensation program.</w:t>
      </w:r>
    </w:p>
    <w:p>
      <w:pPr>
        <w:spacing w:after="0" w:line="109" w:lineRule="exact"/>
        <w:rPr>
          <w:sz w:val="20"/>
          <w:szCs w:val="20"/>
          <w:color w:val="auto"/>
        </w:rPr>
      </w:pPr>
    </w:p>
    <w:p>
      <w:pPr>
        <w:jc w:val="both"/>
        <w:ind w:right="20" w:firstLine="469"/>
        <w:spacing w:after="0" w:line="281" w:lineRule="auto"/>
        <w:rPr>
          <w:sz w:val="20"/>
          <w:szCs w:val="20"/>
          <w:color w:val="auto"/>
        </w:rPr>
      </w:pPr>
      <w:r>
        <w:rPr>
          <w:rFonts w:ascii="Times New Roman" w:cs="Times New Roman" w:eastAsia="Times New Roman" w:hAnsi="Times New Roman"/>
          <w:sz w:val="18"/>
          <w:szCs w:val="18"/>
          <w:color w:val="auto"/>
        </w:rPr>
        <w:t>During the three and nine months ended December 31, 2023 and 2022, the following amounts of stock-based compensation were recorded in Orion’s Condensed Consolidated Statements of Operations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7"/>
        </w:trPr>
        <w:tc>
          <w:tcPr>
            <w:tcW w:w="58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three and nine months ended December 31, 2023, Orion had the following activity related to its stock-based compensation.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220" w:type="dxa"/>
            <w:vAlign w:val="bottom"/>
          </w:tcPr>
          <w:p>
            <w:pPr>
              <w:spacing w:after="0"/>
              <w:rPr>
                <w:sz w:val="13"/>
                <w:szCs w:val="13"/>
                <w:color w:val="auto"/>
              </w:rPr>
            </w:pPr>
          </w:p>
        </w:tc>
        <w:tc>
          <w:tcPr>
            <w:tcW w:w="13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22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outstanding at March 31, 2023</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612,819</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130,635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532,690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577,742</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vested or exercised</w:t>
            </w: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(248,389 )</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forfeited</w:t>
            </w:r>
          </w:p>
        </w:tc>
        <w:tc>
          <w:tcPr>
            <w:tcW w:w="12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(15,250 )</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(73,136 )</w:t>
            </w:r>
          </w:p>
        </w:tc>
        <w:tc>
          <w:tcPr>
            <w:tcW w:w="0" w:type="dxa"/>
            <w:vAlign w:val="bottom"/>
          </w:tcPr>
          <w:p>
            <w:pPr>
              <w:spacing w:after="0"/>
              <w:rPr>
                <w:sz w:val="1"/>
                <w:szCs w:val="1"/>
                <w:color w:val="auto"/>
              </w:rPr>
            </w:pPr>
          </w:p>
        </w:tc>
      </w:tr>
      <w:tr>
        <w:trPr>
          <w:trHeight w:val="24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outstanding at December 31, 2023</w:t>
            </w:r>
          </w:p>
        </w:tc>
        <w:tc>
          <w:tcPr>
            <w:tcW w:w="1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881,870</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708,377</w:t>
            </w:r>
          </w:p>
        </w:tc>
        <w:tc>
          <w:tcPr>
            <w:tcW w:w="2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weighted average price on grant date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469"/>
        <w:spacing w:after="0" w:line="281" w:lineRule="auto"/>
        <w:rPr>
          <w:sz w:val="20"/>
          <w:szCs w:val="20"/>
          <w:color w:val="auto"/>
        </w:rPr>
      </w:pPr>
      <w:r>
        <w:rPr>
          <w:rFonts w:ascii="Times New Roman" w:cs="Times New Roman" w:eastAsia="Times New Roman" w:hAnsi="Times New Roman"/>
          <w:sz w:val="18"/>
          <w:szCs w:val="18"/>
          <w:color w:val="auto"/>
        </w:rPr>
        <w:t>As of December 31, 2023, the amount of deferred stock-based compensation expense to be recognized, over a remaining period of 2.3 years, was approximately $1.4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SEGMENTS</w:t>
      </w:r>
    </w:p>
    <w:p>
      <w:pPr>
        <w:spacing w:after="0" w:line="175"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CODM regularly reviews when allocating resources and assessing performance. Orion's CODM is the chief executive officer. Previously, Orion had four reportable segments: Orion Services Group Division, Orion Distribution Services Division, Orion U.S. Markets Division and Orion Electric Vehicle Charging Division (the “EV Segment”). Effective during the first quarter of fiscal 2024, Orion began to evaluate and report its business using three segments: Orion Lighting Division, Orion Maintenance Division and Orion Electric Vehicle Charging Division. Orion configured its fiscal 2024 budget in order to compare actual performance to plan performance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8" w:name="page19"/>
    <w:bookmarkEnd w:id="18"/>
    <w:p>
      <w:pPr>
        <w:jc w:val="both"/>
        <w:spacing w:after="0" w:line="281" w:lineRule="auto"/>
        <w:rPr>
          <w:sz w:val="20"/>
          <w:szCs w:val="20"/>
          <w:color w:val="auto"/>
        </w:rPr>
      </w:pPr>
      <w:r>
        <w:rPr>
          <w:rFonts w:ascii="Times New Roman" w:cs="Times New Roman" w:eastAsia="Times New Roman" w:hAnsi="Times New Roman"/>
          <w:sz w:val="18"/>
          <w:szCs w:val="18"/>
          <w:color w:val="auto"/>
        </w:rPr>
        <w:t>for these segments. Due to the change in composition of reportable segments in the first quarter of fiscal 2024, the corresponding segment information for fiscal year 2023 has been restated for presentation on a comparable basis.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Lighting Segment</w:t>
      </w:r>
    </w:p>
    <w:p>
      <w:pPr>
        <w:spacing w:after="0" w:line="175" w:lineRule="exact"/>
        <w:rPr>
          <w:sz w:val="20"/>
          <w:szCs w:val="20"/>
          <w:color w:val="auto"/>
        </w:rPr>
      </w:pPr>
    </w:p>
    <w:p>
      <w:pPr>
        <w:jc w:val="both"/>
        <w:ind w:firstLine="469"/>
        <w:spacing w:after="0" w:line="260" w:lineRule="auto"/>
        <w:rPr>
          <w:sz w:val="20"/>
          <w:szCs w:val="20"/>
          <w:color w:val="auto"/>
        </w:rPr>
      </w:pPr>
      <w:r>
        <w:rPr>
          <w:rFonts w:ascii="Times New Roman" w:cs="Times New Roman" w:eastAsia="Times New Roman" w:hAnsi="Times New Roman"/>
          <w:sz w:val="18"/>
          <w:szCs w:val="18"/>
          <w:color w:val="auto"/>
        </w:rPr>
        <w:t>The Lighting Segment develops and sells lighting products and provides construction and engineering services for Orion's commercial lighting and energy management systems. The Lighting Segment provides engineering, design, lighting products and in many cases turnkey solutions for large national accounts, governments, municipalities, schools and other customers. The Lighting Segment sells mostly through direct sales, but it also sells lighting products though manufacturer representative agencies and to the wholesale contractor markets through energy service companies and contractors.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Maintenance Segment</w:t>
      </w:r>
    </w:p>
    <w:p>
      <w:pPr>
        <w:spacing w:after="0" w:line="175" w:lineRule="exact"/>
        <w:rPr>
          <w:sz w:val="20"/>
          <w:szCs w:val="20"/>
          <w:color w:val="auto"/>
        </w:rPr>
      </w:pPr>
    </w:p>
    <w:p>
      <w:pPr>
        <w:jc w:val="both"/>
        <w:ind w:firstLine="469"/>
        <w:spacing w:after="0" w:line="281" w:lineRule="auto"/>
        <w:rPr>
          <w:sz w:val="20"/>
          <w:szCs w:val="20"/>
          <w:color w:val="auto"/>
        </w:rPr>
      </w:pPr>
      <w:r>
        <w:rPr>
          <w:rFonts w:ascii="Times New Roman" w:cs="Times New Roman" w:eastAsia="Times New Roman" w:hAnsi="Times New Roman"/>
          <w:sz w:val="18"/>
          <w:szCs w:val="18"/>
          <w:color w:val="auto"/>
        </w:rPr>
        <w:t>The Maintenance Segment provides retailers, distributors and other businesses with maintenance, repair and replacement services for the lighting and related electrical components deployed in their facilities.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 Vehicle Charging Segment</w:t>
      </w:r>
    </w:p>
    <w:p>
      <w:pPr>
        <w:spacing w:after="0" w:line="175"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The EV Segment offers leading electric vehicle charging expertise, sells and installs sourced electric vehicle charging stations with related software subscriptions and renewals and provides EV turnkey installation solutions with ongoing support to all commercial verticals.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75"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Corporate and Other is comprised of operating expenses not allocated to Orion’s segments and adjustments to reconcile to consolidated results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200" w:type="dxa"/>
            <w:vAlign w:val="bottom"/>
          </w:tcPr>
          <w:p>
            <w:pPr>
              <w:spacing w:after="0"/>
              <w:rPr>
                <w:sz w:val="16"/>
                <w:szCs w:val="16"/>
                <w:color w:val="auto"/>
              </w:rPr>
            </w:pPr>
          </w:p>
        </w:tc>
        <w:tc>
          <w:tcPr>
            <w:tcW w:w="188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4"/>
          </w:tcPr>
          <w:p>
            <w:pPr>
              <w:jc w:val="center"/>
              <w:ind w:right="33"/>
              <w:spacing w:after="0" w:line="131"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1"/>
                <w:szCs w:val="11"/>
                <w:color w:val="auto"/>
              </w:rPr>
            </w:pPr>
          </w:p>
        </w:tc>
        <w:tc>
          <w:tcPr>
            <w:tcW w:w="1980" w:type="dxa"/>
            <w:vAlign w:val="bottom"/>
            <w:tcBorders>
              <w:top w:val="single" w:sz="8" w:color="auto"/>
            </w:tcBorders>
            <w:gridSpan w:val="6"/>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1"/>
                <w:szCs w:val="11"/>
                <w:color w:val="auto"/>
              </w:rPr>
            </w:pPr>
          </w:p>
        </w:tc>
        <w:tc>
          <w:tcPr>
            <w:tcW w:w="88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Lighting Segment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18,545</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(632 )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Maintenance Segment</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(1,060 )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(722 )</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 Segment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(1,454 )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(1,669 )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(1,565 )</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(2,062 )</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(4,588 )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-187960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-187960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-187960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-187960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p>
      <w:pPr>
        <w:spacing w:after="0" w:line="205"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16510</wp:posOffset>
            </wp:positionV>
            <wp:extent cx="16268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5"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5080</wp:posOffset>
            </wp:positionV>
            <wp:extent cx="16268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ind w:left="6260"/>
        <w:spacing w:after="0"/>
        <w:tabs>
          <w:tab w:leader="none" w:pos="76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16510</wp:posOffset>
            </wp:positionV>
            <wp:extent cx="1592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5080</wp:posOffset>
            </wp:positionV>
            <wp:extent cx="1592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ind w:left="20"/>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6" w:lineRule="exact"/>
        <w:rPr>
          <w:sz w:val="20"/>
          <w:szCs w:val="20"/>
          <w:color w:val="auto"/>
        </w:rPr>
      </w:pPr>
    </w:p>
    <w:p>
      <w:pPr>
        <w:sectPr>
          <w:pgSz w:w="11900" w:h="16838" w:orient="portrait"/>
          <w:cols w:equalWidth="0" w:num="2">
            <w:col w:w="8300" w:space="720"/>
            <w:col w:w="2220"/>
          </w:cols>
          <w:pgMar w:left="320" w:top="499"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35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2240" w:type="dxa"/>
            <w:vAlign w:val="bottom"/>
            <w:tcBorders>
              <w:top w:val="single" w:sz="8" w:color="CFF0FC"/>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Lighting Segment</w:t>
            </w:r>
          </w:p>
        </w:tc>
        <w:tc>
          <w:tcPr>
            <w:tcW w:w="2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44,739</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42,118</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(1,777 )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(3,932 )</w:t>
            </w:r>
          </w:p>
        </w:tc>
        <w:tc>
          <w:tcPr>
            <w:tcW w:w="0" w:type="dxa"/>
            <w:vAlign w:val="bottom"/>
          </w:tcPr>
          <w:p>
            <w:pPr>
              <w:spacing w:after="0"/>
              <w:rPr>
                <w:sz w:val="1"/>
                <w:szCs w:val="1"/>
                <w:color w:val="auto"/>
              </w:rPr>
            </w:pPr>
          </w:p>
        </w:tc>
      </w:tr>
      <w:tr>
        <w:trPr>
          <w:trHeight w:val="247"/>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Maintenance Segment</w:t>
            </w:r>
          </w:p>
        </w:tc>
        <w:tc>
          <w:tcPr>
            <w:tcW w:w="2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(4,660 )</w:t>
            </w:r>
          </w:p>
        </w:tc>
        <w:tc>
          <w:tcPr>
            <w:tcW w:w="3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(1,807 )</w:t>
            </w:r>
          </w:p>
        </w:tc>
        <w:tc>
          <w:tcPr>
            <w:tcW w:w="0" w:type="dxa"/>
            <w:vAlign w:val="bottom"/>
          </w:tcPr>
          <w:p>
            <w:pPr>
              <w:spacing w:after="0"/>
              <w:rPr>
                <w:sz w:val="1"/>
                <w:szCs w:val="1"/>
                <w:color w:val="auto"/>
              </w:rPr>
            </w:pPr>
          </w:p>
        </w:tc>
      </w:tr>
      <w:tr>
        <w:trPr>
          <w:trHeight w:val="23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 Segment</w:t>
            </w:r>
          </w:p>
        </w:tc>
        <w:tc>
          <w:tcPr>
            <w:tcW w:w="2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(4,417 )</w:t>
            </w: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(1,669 )</w:t>
            </w:r>
          </w:p>
        </w:tc>
        <w:tc>
          <w:tcPr>
            <w:tcW w:w="0" w:type="dxa"/>
            <w:vAlign w:val="bottom"/>
          </w:tcPr>
          <w:p>
            <w:pPr>
              <w:spacing w:after="0"/>
              <w:rPr>
                <w:sz w:val="1"/>
                <w:szCs w:val="1"/>
                <w:color w:val="auto"/>
              </w:rPr>
            </w:pPr>
          </w:p>
        </w:tc>
      </w:tr>
      <w:tr>
        <w:trPr>
          <w:trHeight w:val="243"/>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(1,773 )</w:t>
            </w:r>
          </w:p>
        </w:tc>
        <w:tc>
          <w:tcPr>
            <w:tcW w:w="3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(3,740 )</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64,170</w:t>
            </w:r>
          </w:p>
        </w:tc>
        <w:tc>
          <w:tcPr>
            <w:tcW w:w="2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55,754</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(12,627 )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(11,148 )</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358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4"/>
        </w:trPr>
        <w:tc>
          <w:tcPr>
            <w:tcW w:w="35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-1026795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-1026795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-1026795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18 — ACQUISITION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Voltrek</w:t>
      </w:r>
    </w:p>
    <w:p>
      <w:pPr>
        <w:spacing w:after="0" w:line="173" w:lineRule="exact"/>
        <w:rPr>
          <w:sz w:val="20"/>
          <w:szCs w:val="20"/>
          <w:color w:val="auto"/>
        </w:rPr>
      </w:pPr>
    </w:p>
    <w:p>
      <w:pPr>
        <w:jc w:val="both"/>
        <w:ind w:firstLine="464"/>
        <w:spacing w:after="0" w:line="254" w:lineRule="auto"/>
        <w:rPr>
          <w:sz w:val="20"/>
          <w:szCs w:val="20"/>
          <w:color w:val="auto"/>
        </w:rPr>
      </w:pPr>
      <w:r>
        <w:rPr>
          <w:rFonts w:ascii="Times New Roman" w:cs="Times New Roman" w:eastAsia="Times New Roman" w:hAnsi="Times New Roman"/>
          <w:sz w:val="18"/>
          <w:szCs w:val="18"/>
          <w:color w:val="auto"/>
        </w:rPr>
        <w:t>Effective on October 5, 2022, Orion acquired all the membership interests of Voltrek, an electric vehicle charging station solutions provider for a purchase price of $5.0 million in cash and $1.0 million of shares of common stock of Orion, subject to normal and customary closing adjustments of $0.9 million (the “Voltrek Acquisition”). In addition, depending upon the relative EBITDA growth of Voltrek’s business in fiscal 2023, 2024 and 2025, Orion was required to pay up to an additional $3.0 million, $3.5 million and $7.15 million, respectively, in earn-out payments. These compensatory payments do not fall within the scope of ASC 805, Business Combinations, and will be expensed over the course of the earn-out periods to the extent they are earned. As of December 31, 2023, Orion recorded $2.6 million to accrued expenses for its fiscal 2023 earn-out payment and an additional $1.7 million to other long-term liabilities for the cumulative potential earn-out opportunity which is anticipated to be paid in fiscal 2026. The Voltrek Acquisition was funded with cash and Orion shares. Voltrek operates as Voltrek, an Orion Energy Systems business. The Voltrek Acquisition leverages Orion’s project management and maintenance expertise into a rapidly growing sector.</w:t>
      </w:r>
    </w:p>
    <w:p>
      <w:pPr>
        <w:spacing w:after="0" w:line="348"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8"/>
          <w:szCs w:val="18"/>
          <w:color w:val="auto"/>
        </w:rPr>
        <w:t>Orion has accounted for the Voltrek Acquisition as a business combination. Orion has allocated a purchase price of approximately $6.9 million to the assets acquired and liabilities assumed at estimated fair values, and the excess of the purchase price over the aggregate fair values is recorded as goodwill. The purchase price and closing adjustments were paid in cash and 620,067 shares of common stock with a total fair market value of $1.0 million, which was recorded in the opening balance sheet at fair value of $0.8 million, the discount on which was due to lock-up requirements on the shares.</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purchase price allocation for Voltrek:</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Opening Balance Sheet</w:t>
            </w:r>
          </w:p>
        </w:tc>
      </w:tr>
      <w:tr>
        <w:trPr>
          <w:trHeight w:val="236"/>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FF0FC"/>
          </w:tcPr>
          <w:p>
            <w:pPr>
              <w:spacing w:after="0"/>
              <w:rPr>
                <w:sz w:val="20"/>
                <w:szCs w:val="20"/>
                <w:color w:val="auto"/>
              </w:rPr>
            </w:pPr>
          </w:p>
        </w:tc>
      </w:tr>
      <w:tr>
        <w:trPr>
          <w:trHeight w:val="238"/>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20"/>
                <w:szCs w:val="20"/>
                <w:color w:val="auto"/>
              </w:rPr>
            </w:pPr>
          </w:p>
        </w:tc>
      </w:tr>
      <w:tr>
        <w:trPr>
          <w:trHeight w:val="247"/>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21"/>
                <w:szCs w:val="21"/>
                <w:color w:val="auto"/>
              </w:rPr>
            </w:pPr>
          </w:p>
        </w:tc>
      </w:tr>
      <w:tr>
        <w:trPr>
          <w:trHeight w:val="238"/>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20"/>
                <w:szCs w:val="20"/>
                <w:color w:val="auto"/>
              </w:rPr>
            </w:pPr>
          </w:p>
        </w:tc>
      </w:tr>
      <w:tr>
        <w:trPr>
          <w:trHeight w:val="247"/>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21"/>
                <w:szCs w:val="21"/>
                <w:color w:val="auto"/>
              </w:rPr>
            </w:pPr>
          </w:p>
        </w:tc>
      </w:tr>
      <w:tr>
        <w:trPr>
          <w:trHeight w:val="238"/>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7"/>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FF0FC"/>
          </w:tcPr>
          <w:p>
            <w:pPr>
              <w:spacing w:after="0"/>
              <w:rPr>
                <w:sz w:val="21"/>
                <w:szCs w:val="21"/>
                <w:color w:val="auto"/>
              </w:rPr>
            </w:pPr>
          </w:p>
        </w:tc>
      </w:tr>
      <w:tr>
        <w:trPr>
          <w:trHeight w:val="238"/>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20"/>
                <w:szCs w:val="20"/>
                <w:color w:val="auto"/>
              </w:rPr>
            </w:pPr>
          </w:p>
        </w:tc>
      </w:tr>
      <w:tr>
        <w:trPr>
          <w:trHeight w:val="247"/>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FF0FC"/>
          </w:tcPr>
          <w:p>
            <w:pPr>
              <w:spacing w:after="0"/>
              <w:rPr>
                <w:sz w:val="21"/>
                <w:szCs w:val="21"/>
                <w:color w:val="auto"/>
              </w:rPr>
            </w:pPr>
          </w:p>
        </w:tc>
      </w:tr>
      <w:tr>
        <w:trPr>
          <w:trHeight w:val="238"/>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(1,133 )</w:t>
            </w:r>
          </w:p>
        </w:tc>
      </w:tr>
      <w:tr>
        <w:trPr>
          <w:trHeight w:val="247"/>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2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(286 )</w:t>
            </w:r>
          </w:p>
        </w:tc>
      </w:tr>
      <w:tr>
        <w:trPr>
          <w:trHeight w:val="238"/>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(180 )</w:t>
            </w:r>
          </w:p>
        </w:tc>
      </w:tr>
      <w:tr>
        <w:trPr>
          <w:trHeight w:val="276"/>
        </w:trPr>
        <w:tc>
          <w:tcPr>
            <w:tcW w:w="9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purchase consideration</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Goodwill recorded from the Voltrek Acquisition is attributable to the skillset of the acquired workforce. The goodwill resulting from the Voltrek Acquisition is expected to be deductible for tax purposes. The intangible assets include amounts recognized for the fair value of the trade name, vendor relationship and customer relationships.</w:t>
      </w:r>
    </w:p>
    <w:p>
      <w:pPr>
        <w:spacing w:after="0" w:line="123"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The tradename intangible asset was valued using a relief from royalty method. The significant assumptions used include the estimated revenue and royalty rate, among other factors.</w:t>
      </w:r>
    </w:p>
    <w:p>
      <w:pPr>
        <w:spacing w:after="0" w:line="324"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The vendor relationship intangible asset was valued using the income approach – excess earnings method. The significant assumptions include estimated revenue, cost of goods sold and probability of renewal, among other factors.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20" w:name="page21"/>
    <w:bookmarkEnd w:id="20"/>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The customer relationship intangible asset was valued using the income approach – with-and-without method. The significant assumptions include estimated cash flows (including appropriate revenue, cost of revenue and operating expenses attributable to the asset and retention rate, among other factors), and discount rate, reflecting the risks inherent in the future cash flow stream, among other factors.</w:t>
      </w:r>
    </w:p>
    <w:p>
      <w:pPr>
        <w:spacing w:after="0" w:line="123"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The categorization of the framework used to measure fair value of the intangible assets is considered to be within the Level 3 valuation hierarchy due to the subjective nature of the unobservable inputs used.</w:t>
      </w:r>
    </w:p>
    <w:p>
      <w:pPr>
        <w:spacing w:after="0" w:line="1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details of the intangible assets acquired at the date of Voltrek Acquisition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1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87"/>
        </w:trPr>
        <w:tc>
          <w:tcPr>
            <w:tcW w:w="7860" w:type="dxa"/>
            <w:vAlign w:val="bottom"/>
          </w:tcPr>
          <w:p>
            <w:pPr>
              <w:spacing w:after="0"/>
              <w:rPr>
                <w:sz w:val="16"/>
                <w:szCs w:val="16"/>
                <w:color w:val="auto"/>
              </w:rPr>
            </w:pPr>
          </w:p>
        </w:tc>
        <w:tc>
          <w:tcPr>
            <w:tcW w:w="11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1100" w:type="dxa"/>
            <w:vAlign w:val="bottom"/>
            <w:shd w:val="clear" w:color="auto" w:fill="CFF0FC"/>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w:t>
            </w: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1,400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bl>
    <w:p>
      <w:pPr>
        <w:spacing w:after="0" w:line="143"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Voltrek's post-acquisition results of operations since October 5, 2022 are included in Orion’s Condensed Consolidated Statements of Operations. The operating results of Voltrek are included in the EV Segment. See note 17 – Segments, for results.</w:t>
      </w:r>
    </w:p>
    <w:p>
      <w:pPr>
        <w:spacing w:after="0" w:line="109"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Transaction costs related to the Voltrek Acquisition are recorded in acquisition costs in the Condensed Consolidated Statements of Operations. Transaction costs totaled $0 and $0.1 million in the three and nine months ended December 31, 2023, respectively, and $0.5 million and $0.8 million in the three and nine months ended December 31, 2022, respectively.</w:t>
      </w:r>
    </w:p>
    <w:p>
      <w:pPr>
        <w:spacing w:after="0" w:line="123"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If Voltrek had been acquired on April 1, 2022, the pro forma Orion revenue for the three and nine months ended December 31, 2022 would have been $21.5 million and $58.2 million, respectively. Proforma net loss for the three and nine months ended December 31, 2022 would have been $(24.1) million and $(29.2) million, respectively.</w:t>
      </w:r>
    </w:p>
    <w:p>
      <w:pPr>
        <w:spacing w:after="0" w:line="123"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8"/>
          <w:szCs w:val="18"/>
          <w:color w:val="auto"/>
        </w:rPr>
        <w:t>The pro forma information was determined based on the historical results of Orion and unaudited financial results from Voltrek. These proforma results reflect additional depreciation and amortization that would have been charged assuming the fair value adjustments to property, plant, and equipment and intangible asset occurred at the beginning of the period, along with consequential tax effects. The unaudited pro forma results have been prepared for comparative purposes only and are not necessarily indicative of what would have occurred had the business combination been completed at the beginning of the period or the results that may occur in the future. Furthermore, the unaudited pro forma financial information does not reflect the impact of any synergies resulting from the acquisition.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firstLine="46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ind w:firstLine="464"/>
        <w:spacing w:after="0" w:line="253" w:lineRule="auto"/>
        <w:rPr>
          <w:sz w:val="20"/>
          <w:szCs w:val="20"/>
          <w:color w:val="auto"/>
        </w:rPr>
      </w:pPr>
      <w:r>
        <w:rPr>
          <w:rFonts w:ascii="Times New Roman" w:cs="Times New Roman" w:eastAsia="Times New Roman" w:hAnsi="Times New Roman"/>
          <w:sz w:val="18"/>
          <w:szCs w:val="18"/>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several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2023.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8"/>
          <w:szCs w:val="18"/>
          <w:color w:val="auto"/>
        </w:rPr>
        <w:t>We provide state-of-the-art light emitting diode (“LED”) lighting systems, sourced wireless Internet of Things (“IoT”) enabled control solutions, commercial and industrial electric vehicle (“EV”) charging infrastructure solutions and maintenance services. We help our customers achieve their sustainability, energy savings and carbon footprint reduction goals through innovative technology and exceptional service. We sell our products and services into many vertical markets within the broader commercial and industrial market segment. Primary verticals include: big box retail, manufacturing, warehousing/logistics, commercial office, federal and municipal government, healthcare and schools. Our services consist of turnkey installation and system maintenance. Virtually all of our sales occur within North America.</w:t>
      </w:r>
    </w:p>
    <w:p>
      <w:pPr>
        <w:spacing w:after="0" w:line="13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Our lighting products consist primarily of LED lighting fixtures, many of which include sourced IoT enabled control systems. Our principal lighting customers include large national account end-users, federal and state government facilities, large regional account end-users, electrical distributors, electrical contractors and energy service companies (“ESCOs”). Currently, most of our lighting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w:t>
      </w:r>
    </w:p>
    <w:p>
      <w:pPr>
        <w:spacing w:after="0" w:line="128"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8"/>
          <w:szCs w:val="18"/>
          <w:color w:val="auto"/>
        </w:rPr>
        <w:t>We differentiate ourselves from our competitors through offering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began to offer lighting and electrical maintenance services in fiscal 2021 which enables us to support a lifetime business relationship with our customer (which we call “Customers for Life”). We completed the Stay-Lite Lighting acquisition on January 1, 2022, which has allowed us to further expand our maintenance services capabilities. We completed the acquisition of Voltrek on October 5, 2022, which has allowed us to further expand our turnkey services capabilities as well as capitalize on the rapidly growing market for EV charging solutions.</w:t>
      </w:r>
    </w:p>
    <w:p>
      <w:pPr>
        <w:spacing w:after="0" w:line="133"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We believe the market for LED lighting products and related controls continues to grow. Due to their size and flexibility in application, we also believe that LED lighting systems can address opportunities for retrofit applications that cannot be satisfied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both"/>
        <w:spacing w:after="0" w:line="281" w:lineRule="auto"/>
        <w:rPr>
          <w:sz w:val="20"/>
          <w:szCs w:val="20"/>
          <w:color w:val="auto"/>
        </w:rPr>
      </w:pPr>
      <w:r>
        <w:rPr>
          <w:rFonts w:ascii="Times New Roman" w:cs="Times New Roman" w:eastAsia="Times New Roman" w:hAnsi="Times New Roman"/>
          <w:sz w:val="18"/>
          <w:szCs w:val="18"/>
          <w:color w:val="auto"/>
        </w:rPr>
        <w:t>by other lighting technologies. Our LED lighting technologies have been the primary component of our revenue as we continue to strive to be a leader in the LED market.</w:t>
      </w:r>
    </w:p>
    <w:p>
      <w:pPr>
        <w:spacing w:after="0" w:line="109" w:lineRule="exact"/>
        <w:rPr>
          <w:sz w:val="20"/>
          <w:szCs w:val="20"/>
          <w:color w:val="auto"/>
        </w:rPr>
      </w:pPr>
    </w:p>
    <w:p>
      <w:pPr>
        <w:jc w:val="both"/>
        <w:ind w:firstLine="464"/>
        <w:spacing w:after="0" w:line="254" w:lineRule="auto"/>
        <w:rPr>
          <w:sz w:val="20"/>
          <w:szCs w:val="20"/>
          <w:color w:val="auto"/>
        </w:rPr>
      </w:pPr>
      <w:r>
        <w:rPr>
          <w:rFonts w:ascii="Times New Roman" w:cs="Times New Roman" w:eastAsia="Times New Roman" w:hAnsi="Times New Roman"/>
          <w:sz w:val="18"/>
          <w:szCs w:val="18"/>
          <w:color w:val="auto"/>
        </w:rPr>
        <w:t>In fiscal 2022, we continued to successfully capitalize on our capability of being a full service, turn-key provider of LED lighting and controls systems with design, build, installation and project management services, as we continued a very large project for a major national account. As a result of this success, we have evolved our business strategy to focus on further expanding the nature and scope of our products and services offered to our customers. This further expansion of our products and services includes pursuing projects to develop recurring revenue streams, including providing lighting and electrical maintenance services and utilizing control sensor technology to collect data and assisting customers in the digitization of this data, along with other potential services. We also are pursuing the expansion of our IoT, “smart-building” and “connected ceiling” and other related technology, software and controls products and services that we offer to our customers. While we currently intend to primarily pursue these expansion strategies organically, we also may explore potential additional business acquisitions, like our acquisition of Stay-Lite Lighting and Voltrek, which have more quickly added these types of expanded and different capabilities to our product and services offerings.</w:t>
      </w:r>
    </w:p>
    <w:p>
      <w:pPr>
        <w:spacing w:after="0" w:line="132" w:lineRule="exact"/>
        <w:rPr>
          <w:sz w:val="20"/>
          <w:szCs w:val="20"/>
          <w:color w:val="auto"/>
        </w:rPr>
      </w:pPr>
    </w:p>
    <w:p>
      <w:pPr>
        <w:jc w:val="both"/>
        <w:ind w:firstLine="464"/>
        <w:spacing w:after="0" w:line="254" w:lineRule="auto"/>
        <w:rPr>
          <w:sz w:val="20"/>
          <w:szCs w:val="20"/>
          <w:color w:val="auto"/>
        </w:rPr>
      </w:pPr>
      <w:r>
        <w:rPr>
          <w:rFonts w:ascii="Times New Roman" w:cs="Times New Roman" w:eastAsia="Times New Roman" w:hAnsi="Times New Roman"/>
          <w:sz w:val="18"/>
          <w:szCs w:val="18"/>
          <w:color w:val="auto"/>
        </w:rPr>
        <w:t>We generally do not have long-term contracts with our customers for product or turnkey services that provide us with recurring annual revenue. However, our maintenance services contracts usually consist of multi-year arrangements.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 are required to make substantial working capital expenditures and advance inventory purchases that we may not be able to recoup if the agreements or a substantial volume of purchase orders under the agreements are delayed or terminated.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32"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23"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123"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8"/>
          <w:szCs w:val="18"/>
          <w:color w:val="auto"/>
        </w:rPr>
        <w:t>Our fiscal year ends on March 31. Our current fiscal year ends on March 31, 2024 and is referred to as “fiscal 2024”. We refer to our just completed fiscal year, which ended on March 31, 2023, as "fiscal 2023", and our prior fiscal year which ended on March 31, 2022 as "fiscal 2022". Our fiscal first quarter of each fiscal year ends on June 30, our fiscal second quarter ends on September 30, our fiscal third quarter ends on December 31 and our fiscal fourth quarter ends on March 31.</w:t>
      </w:r>
    </w:p>
    <w:p>
      <w:pPr>
        <w:spacing w:after="0" w:line="12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entity's CODM regularly reviews when allocating resources and assessing performance. Our CODM is our chief executive officer. Previously, we had four reportable segments: Orion Services Group Division, Orion Distribution Services Division, Orion U.S. Markets Division and Orion Electric Vehicle Charging Division (the “EV Segment”). Effective during the first quarter of fiscal 2024, we began to evaluate and report the business using three segments: Orion Lighting Division, Orion Maintenance Division and Orion Electric Vehicle Charging Division.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Voltrek</w:t>
      </w:r>
    </w:p>
    <w:p>
      <w:pPr>
        <w:spacing w:after="0" w:line="173" w:lineRule="exact"/>
        <w:rPr>
          <w:sz w:val="20"/>
          <w:szCs w:val="20"/>
          <w:color w:val="auto"/>
        </w:rPr>
      </w:pPr>
    </w:p>
    <w:p>
      <w:pPr>
        <w:jc w:val="both"/>
        <w:ind w:right="100" w:firstLine="464"/>
        <w:spacing w:after="0" w:line="258" w:lineRule="auto"/>
        <w:rPr>
          <w:sz w:val="20"/>
          <w:szCs w:val="20"/>
          <w:color w:val="auto"/>
        </w:rPr>
      </w:pPr>
      <w:r>
        <w:rPr>
          <w:rFonts w:ascii="Times New Roman" w:cs="Times New Roman" w:eastAsia="Times New Roman" w:hAnsi="Times New Roman"/>
          <w:sz w:val="18"/>
          <w:szCs w:val="18"/>
          <w:color w:val="auto"/>
        </w:rPr>
        <w:t>Effective on October 5, 2022, we acquired all of the outstanding membership interests of Voltrek LLC, a leading electric vehicle charging company that provides turnkey installation solutions with ongoing support to all commercial verticals. The initial purchase price consisted of $5.0 million cash and $1.0 million of stock. We also paid an additional $3.0 million based on Voltrek's performance in fiscal 2023 and could pay up to an additional $3.5 million and $7.15 million in compensatory consideration if Voltrek exceeds certain earnings targets in fiscal 2024 and 2025, respectively. The acquisition was funded from existing cash and credit resources and has been operating as Voltrek, a division of Orion Energy Systems.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December 31, 2023 versus Three Months Ended December 31, 2022</w:t>
      </w:r>
    </w:p>
    <w:p>
      <w:pPr>
        <w:spacing w:after="0" w:line="175" w:lineRule="exact"/>
        <w:rPr>
          <w:sz w:val="20"/>
          <w:szCs w:val="20"/>
          <w:color w:val="auto"/>
        </w:rPr>
      </w:pPr>
    </w:p>
    <w:p>
      <w:pPr>
        <w:jc w:val="both"/>
        <w:ind w:right="100" w:firstLine="469"/>
        <w:spacing w:after="0" w:line="265" w:lineRule="auto"/>
        <w:rPr>
          <w:sz w:val="20"/>
          <w:szCs w:val="20"/>
          <w:color w:val="auto"/>
        </w:rPr>
      </w:pPr>
      <w:r>
        <w:rPr>
          <w:rFonts w:ascii="Times New Roman" w:cs="Times New Roman" w:eastAsia="Times New Roman" w:hAnsi="Times New Roman"/>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8"/>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93"/>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65.5 %</w:t>
            </w:r>
          </w:p>
        </w:tc>
        <w:tc>
          <w:tcPr>
            <w:tcW w:w="14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75.9 %</w:t>
            </w: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83.4 %</w:t>
            </w: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34.5 %</w:t>
            </w: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28.0 %</w:t>
            </w: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47.4 %</w:t>
            </w: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56.6 %</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24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81.3 %</w:t>
            </w:r>
          </w:p>
        </w:tc>
        <w:tc>
          <w:tcPr>
            <w:tcW w:w="1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28.1 %</w:t>
            </w:r>
          </w:p>
        </w:tc>
        <w:tc>
          <w:tcPr>
            <w:tcW w:w="140" w:type="dxa"/>
            <w:vAlign w:val="bottom"/>
          </w:tcPr>
          <w:p>
            <w:pPr>
              <w:spacing w:after="0"/>
              <w:rPr>
                <w:sz w:val="21"/>
                <w:szCs w:val="21"/>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26.4 %</w:t>
            </w: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75.5 %</w:t>
            </w: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76.4 %</w:t>
            </w:r>
          </w:p>
        </w:tc>
        <w:tc>
          <w:tcPr>
            <w:tcW w:w="0" w:type="dxa"/>
            <w:vAlign w:val="bottom"/>
          </w:tcPr>
          <w:p>
            <w:pPr>
              <w:spacing w:after="0"/>
              <w:rPr>
                <w:sz w:val="1"/>
                <w:szCs w:val="1"/>
                <w:color w:val="auto"/>
              </w:rPr>
            </w:pPr>
          </w:p>
        </w:tc>
      </w:tr>
      <w:tr>
        <w:trPr>
          <w:trHeight w:val="22"/>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33.2 %</w:t>
            </w: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24.5 %</w:t>
            </w: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24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(10.5 )%</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18.9 %</w:t>
            </w: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tcPr>
          <w:p>
            <w:pPr>
              <w:spacing w:after="0"/>
              <w:rPr>
                <w:sz w:val="21"/>
                <w:szCs w:val="21"/>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24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12.2 %</w:t>
            </w:r>
          </w:p>
        </w:tc>
        <w:tc>
          <w:tcPr>
            <w:tcW w:w="140" w:type="dxa"/>
            <w:vAlign w:val="bottom"/>
          </w:tcPr>
          <w:p>
            <w:pPr>
              <w:spacing w:after="0"/>
              <w:rPr>
                <w:sz w:val="21"/>
                <w:szCs w:val="21"/>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(14.7 )%</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tcPr>
          <w:p>
            <w:pPr>
              <w:spacing w:after="0"/>
              <w:rPr>
                <w:sz w:val="21"/>
                <w:szCs w:val="21"/>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(2,062 )</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(4,588 )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55.1 %</w:t>
            </w:r>
          </w:p>
        </w:tc>
        <w:tc>
          <w:tcPr>
            <w:tcW w:w="12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51"/>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(193 )</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201.6 %</w:t>
            </w:r>
          </w:p>
        </w:tc>
        <w:tc>
          <w:tcPr>
            <w:tcW w:w="12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56.3 %</w:t>
            </w:r>
          </w:p>
        </w:tc>
        <w:tc>
          <w:tcPr>
            <w:tcW w:w="12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before income tax</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(2,255 )</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(4,668 )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51.7 %</w:t>
            </w:r>
          </w:p>
        </w:tc>
        <w:tc>
          <w:tcPr>
            <w:tcW w:w="12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19,391</w:t>
            </w: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95.6 %</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(24,059 )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90.6 %</w:t>
            </w:r>
          </w:p>
        </w:tc>
        <w:tc>
          <w:tcPr>
            <w:tcW w:w="12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-2819400</wp:posOffset>
            </wp:positionV>
            <wp:extent cx="713232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-2502535</wp:posOffset>
            </wp:positionV>
            <wp:extent cx="713232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-1868805</wp:posOffset>
            </wp:positionV>
            <wp:extent cx="713232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-1560830</wp:posOffset>
            </wp:positionV>
            <wp:extent cx="7132320"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-2194560</wp:posOffset>
            </wp:positionV>
            <wp:extent cx="7132320" cy="162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-1252855</wp:posOffset>
            </wp:positionV>
            <wp:extent cx="7132320" cy="162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62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5715</wp:posOffset>
            </wp:positionV>
            <wp:extent cx="37846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78460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-116205</wp:posOffset>
            </wp:positionV>
            <wp:extent cx="37846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784600" cy="8255"/>
                    </a:xfrm>
                    <a:prstGeom prst="rect">
                      <a:avLst/>
                    </a:prstGeom>
                    <a:noFill/>
                  </pic:spPr>
                </pic:pic>
              </a:graphicData>
            </a:graphic>
          </wp:anchor>
        </w:drawing>
      </w:r>
    </w:p>
    <w:p>
      <w:pPr>
        <w:spacing w:after="0" w:line="154" w:lineRule="exact"/>
        <w:rPr>
          <w:sz w:val="20"/>
          <w:szCs w:val="20"/>
          <w:color w:val="auto"/>
        </w:rPr>
      </w:pPr>
    </w:p>
    <w:p>
      <w:pPr>
        <w:jc w:val="both"/>
        <w:ind w:right="100" w:firstLine="46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 Cost of Revenue and Gross Margin. </w:t>
      </w:r>
      <w:r>
        <w:rPr>
          <w:rFonts w:ascii="Times New Roman" w:cs="Times New Roman" w:eastAsia="Times New Roman" w:hAnsi="Times New Roman"/>
          <w:sz w:val="18"/>
          <w:szCs w:val="18"/>
          <w:color w:val="auto"/>
        </w:rPr>
        <w:t>Product revenue increased 10.4%, or $1.6 million, for the third quarter of fiscal 2024 versus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fiscal 2023. Service revenue increased 83.4%, or $4.1 million, for the third quarter of fiscal 2024 versus the third quarter of fiscal 2023. The increase in total revenue was due to anticipated growth in contract activity for larger customers and a new three-year preventive maintenance contract. Cost of product revenue increased by 7.2%, or $0.8 million, in the third quarter of fiscal 2024 versus the comparable period in fiscal 2023. Cost of service revenue increased by 81.3%, or $3.3 million, in the third quarter of fiscal 2024 versus the comparable period in fiscal 2023. Gross margin increased to 24.5% of revenue in the third quarter of fiscal 2024 from 23.6% in the third quarter of fiscal 2024 due primarily to increased sales covering fixed costs and increased volume on higher margin service projects, partially offset by inflationary cost pressures related to subcontractor costs and maintenance technician costs on fixed price contracts.</w:t>
      </w:r>
    </w:p>
    <w:p>
      <w:pPr>
        <w:spacing w:after="0" w:line="1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89" w:right="239" w:bottom="1440" w:gutter="0" w:footer="0" w:header="0"/>
        </w:sectPr>
      </w:pPr>
    </w:p>
    <w:bookmarkStart w:id="24" w:name="page25"/>
    <w:bookmarkEnd w:id="24"/>
    <w:p>
      <w:pPr>
        <w:ind w:left="4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71" w:lineRule="exact"/>
        <w:rPr>
          <w:sz w:val="20"/>
          <w:szCs w:val="20"/>
          <w:color w:val="auto"/>
        </w:rPr>
      </w:pPr>
    </w:p>
    <w:p>
      <w:pPr>
        <w:jc w:val="both"/>
        <w:ind w:right="100" w:firstLine="46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10.5%, or $0.6 million, in the third quarter of fiscal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quarter of fiscal 2023. This comparative decrease was primarily due to the decrease in the expected Voltrek earn-out payment and prior year acceleration of stock-based compensation expense due to retirement-related modifications of existing restricted stock awards, partially offset by increased employee compensation costs.</w:t>
      </w:r>
    </w:p>
    <w:p>
      <w:pPr>
        <w:spacing w:after="0" w:line="124" w:lineRule="exact"/>
        <w:rPr>
          <w:sz w:val="20"/>
          <w:szCs w:val="20"/>
          <w:color w:val="auto"/>
        </w:rPr>
      </w:pPr>
    </w:p>
    <w:p>
      <w:pPr>
        <w:jc w:val="both"/>
        <w:ind w:right="100" w:firstLine="46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6.3%, or $0.2 million, in the third quarter of fiscal 2024 compared to the third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fiscal 2023. This comparative increase was primarily due to increased employee compensation costs.</w:t>
      </w:r>
    </w:p>
    <w:p>
      <w:pPr>
        <w:spacing w:after="0" w:line="105" w:lineRule="exact"/>
        <w:rPr>
          <w:sz w:val="20"/>
          <w:szCs w:val="20"/>
          <w:color w:val="auto"/>
        </w:rPr>
      </w:pPr>
    </w:p>
    <w:p>
      <w:pPr>
        <w:jc w:val="both"/>
        <w:ind w:right="100" w:firstLine="46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decreased 14.7% or $0.1 million, in the third quarter of fiscal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quarter of fiscal 2023. This comparative decrease was primarily due to the reduction of product certification testing costs.</w:t>
      </w:r>
    </w:p>
    <w:p>
      <w:pPr>
        <w:spacing w:after="0" w:line="105" w:lineRule="exact"/>
        <w:rPr>
          <w:sz w:val="20"/>
          <w:szCs w:val="20"/>
          <w:color w:val="auto"/>
        </w:rPr>
      </w:pPr>
    </w:p>
    <w:p>
      <w:pPr>
        <w:jc w:val="both"/>
        <w:ind w:right="100" w:firstLine="46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expenses increased 201.6% or $0.1 million, in the third quarter of fiscal 2024 compared to the third quarter of fiscal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comparative increase was primarily due to the interest on increased outstanding borrowings and a higher incremental interest rate on existing borrowings.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Lighting Division</w:t>
      </w:r>
    </w:p>
    <w:p>
      <w:pPr>
        <w:spacing w:after="0" w:line="175" w:lineRule="exact"/>
        <w:rPr>
          <w:sz w:val="20"/>
          <w:szCs w:val="20"/>
          <w:color w:val="auto"/>
        </w:rPr>
      </w:pPr>
    </w:p>
    <w:p>
      <w:pPr>
        <w:jc w:val="both"/>
        <w:ind w:right="100" w:firstLine="469"/>
        <w:spacing w:after="0" w:line="260" w:lineRule="auto"/>
        <w:rPr>
          <w:sz w:val="20"/>
          <w:szCs w:val="20"/>
          <w:color w:val="auto"/>
        </w:rPr>
      </w:pPr>
      <w:r>
        <w:rPr>
          <w:rFonts w:ascii="Times New Roman" w:cs="Times New Roman" w:eastAsia="Times New Roman" w:hAnsi="Times New Roman"/>
          <w:sz w:val="18"/>
          <w:szCs w:val="18"/>
          <w:color w:val="auto"/>
        </w:rPr>
        <w:t>Our lighting division develops and sells lighting products and provides construction and engineering services for our commercial lighting and energy management systems. Our lighting division provides engineering, design, lighting products and in many cases turnkey solutions for large national accounts, governments, municipalities, schools and other customers. Our lighting division sells mostly through direct sales and also through manufacturer representative agencies and to the wholesale contractor markets through ESCOs and contractors.</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lighting division operating results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6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3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18,545</w:t>
            </w:r>
          </w:p>
        </w:tc>
        <w:tc>
          <w:tcPr>
            <w:tcW w:w="280" w:type="dxa"/>
            <w:vAlign w:val="bottom"/>
          </w:tcPr>
          <w:p>
            <w:pPr>
              <w:spacing w:after="0"/>
              <w:rPr>
                <w:sz w:val="19"/>
                <w:szCs w:val="19"/>
                <w:color w:val="auto"/>
              </w:rPr>
            </w:pPr>
          </w:p>
        </w:tc>
        <w:tc>
          <w:tcPr>
            <w:tcW w:w="8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14,151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45"/>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80" w:type="dxa"/>
            <w:vAlign w:val="bottom"/>
          </w:tcPr>
          <w:p>
            <w:pPr>
              <w:spacing w:after="0"/>
              <w:rPr>
                <w:sz w:val="21"/>
                <w:szCs w:val="21"/>
                <w:color w:val="auto"/>
              </w:rPr>
            </w:pPr>
          </w:p>
        </w:tc>
        <w:tc>
          <w:tcPr>
            <w:tcW w:w="8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(632 )</w:t>
            </w:r>
          </w:p>
        </w:tc>
        <w:tc>
          <w:tcPr>
            <w:tcW w:w="320" w:type="dxa"/>
            <w:vAlign w:val="bottom"/>
          </w:tcPr>
          <w:p>
            <w:pPr>
              <w:spacing w:after="0"/>
              <w:rPr>
                <w:sz w:val="21"/>
                <w:szCs w:val="21"/>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8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5.1 %</w:t>
            </w:r>
          </w:p>
        </w:tc>
        <w:tc>
          <w:tcPr>
            <w:tcW w:w="80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(4.5 )%</w:t>
            </w: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 NM - Not Meaningful</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6" w:lineRule="exact"/>
        <w:rPr>
          <w:sz w:val="20"/>
          <w:szCs w:val="20"/>
          <w:color w:val="auto"/>
        </w:rPr>
      </w:pPr>
    </w:p>
    <w:p>
      <w:pPr>
        <w:jc w:val="both"/>
        <w:ind w:right="100" w:firstLine="469"/>
        <w:spacing w:after="0" w:line="265" w:lineRule="auto"/>
        <w:rPr>
          <w:sz w:val="20"/>
          <w:szCs w:val="20"/>
          <w:color w:val="auto"/>
        </w:rPr>
      </w:pPr>
      <w:r>
        <w:rPr>
          <w:rFonts w:ascii="Times New Roman" w:cs="Times New Roman" w:eastAsia="Times New Roman" w:hAnsi="Times New Roman"/>
          <w:sz w:val="18"/>
          <w:szCs w:val="18"/>
          <w:color w:val="auto"/>
        </w:rPr>
        <w:t>Lighting division revenue in the third quarter of fiscal 2024 increased by 31.1%, or $4.4 million, compared to the third quarter of fiscal 2023. The increase in lighting division revenue was due to growth in contract activity for larger customers. The increase in corresponding operating income in this segment is a result of increased sales covering fixed costs.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Maintenance Division</w:t>
      </w:r>
    </w:p>
    <w:p>
      <w:pPr>
        <w:spacing w:after="0" w:line="175" w:lineRule="exact"/>
        <w:rPr>
          <w:sz w:val="20"/>
          <w:szCs w:val="20"/>
          <w:color w:val="auto"/>
        </w:rPr>
      </w:pPr>
    </w:p>
    <w:p>
      <w:pPr>
        <w:jc w:val="both"/>
        <w:ind w:right="100" w:firstLine="469"/>
        <w:spacing w:after="0" w:line="281" w:lineRule="auto"/>
        <w:rPr>
          <w:sz w:val="20"/>
          <w:szCs w:val="20"/>
          <w:color w:val="auto"/>
        </w:rPr>
      </w:pPr>
      <w:r>
        <w:rPr>
          <w:rFonts w:ascii="Times New Roman" w:cs="Times New Roman" w:eastAsia="Times New Roman" w:hAnsi="Times New Roman"/>
          <w:sz w:val="18"/>
          <w:szCs w:val="18"/>
          <w:color w:val="auto"/>
        </w:rPr>
        <w:t>Our maintenance division provides retailers, distributors and other businesses with maintenance, repair and replacement services for the lighting and related electrical components deployed in their facilities.</w:t>
      </w:r>
    </w:p>
    <w:p>
      <w:pPr>
        <w:spacing w:after="0" w:line="1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maintenance division operating results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420" w:type="dxa"/>
            <w:vAlign w:val="bottom"/>
          </w:tcPr>
          <w:p>
            <w:pPr>
              <w:spacing w:after="0"/>
              <w:rPr>
                <w:sz w:val="11"/>
                <w:szCs w:val="11"/>
                <w:color w:val="auto"/>
              </w:rPr>
            </w:pPr>
          </w:p>
        </w:tc>
        <w:tc>
          <w:tcPr>
            <w:tcW w:w="32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3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3200" w:type="dxa"/>
            <w:vAlign w:val="bottom"/>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4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280" w:type="dxa"/>
            <w:vAlign w:val="bottom"/>
          </w:tcPr>
          <w:p>
            <w:pPr>
              <w:spacing w:after="0"/>
              <w:rPr>
                <w:sz w:val="19"/>
                <w:szCs w:val="19"/>
                <w:color w:val="auto"/>
              </w:rPr>
            </w:pP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39.3 %</w:t>
            </w:r>
          </w:p>
        </w:tc>
        <w:tc>
          <w:tcPr>
            <w:tcW w:w="0" w:type="dxa"/>
            <w:vAlign w:val="bottom"/>
          </w:tcPr>
          <w:p>
            <w:pPr>
              <w:spacing w:after="0"/>
              <w:rPr>
                <w:sz w:val="1"/>
                <w:szCs w:val="1"/>
                <w:color w:val="auto"/>
              </w:rPr>
            </w:pPr>
          </w:p>
        </w:tc>
      </w:tr>
      <w:tr>
        <w:trPr>
          <w:trHeight w:val="245"/>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04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(1,060 )</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(722 )</w:t>
            </w:r>
          </w:p>
        </w:tc>
        <w:tc>
          <w:tcPr>
            <w:tcW w:w="32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0" w:type="dxa"/>
            <w:vAlign w:val="bottom"/>
          </w:tcPr>
          <w:p>
            <w:pPr>
              <w:spacing w:after="0"/>
              <w:rPr>
                <w:sz w:val="1"/>
                <w:szCs w:val="1"/>
                <w:color w:val="auto"/>
              </w:rPr>
            </w:pPr>
          </w:p>
        </w:tc>
      </w:tr>
      <w:tr>
        <w:trPr>
          <w:trHeight w:val="249"/>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(23.0 )%</w:t>
            </w:r>
          </w:p>
        </w:tc>
        <w:tc>
          <w:tcPr>
            <w:tcW w:w="86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(21.8 )%</w:t>
            </w: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4"/>
        </w:trPr>
        <w:tc>
          <w:tcPr>
            <w:tcW w:w="3420" w:type="dxa"/>
            <w:vAlign w:val="bottom"/>
          </w:tcPr>
          <w:p>
            <w:pPr>
              <w:spacing w:after="0"/>
              <w:rPr>
                <w:sz w:val="24"/>
                <w:szCs w:val="24"/>
                <w:color w:val="auto"/>
              </w:rPr>
            </w:pPr>
          </w:p>
        </w:tc>
        <w:tc>
          <w:tcPr>
            <w:tcW w:w="32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4"/>
        </w:trPr>
        <w:tc>
          <w:tcPr>
            <w:tcW w:w="34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591" w:right="239" w:bottom="1440" w:gutter="0" w:footer="0" w:header="0"/>
        </w:sectPr>
      </w:pPr>
    </w:p>
    <w:bookmarkStart w:id="25" w:name="page26"/>
    <w:bookmarkEnd w:id="25"/>
    <w:p>
      <w:pPr>
        <w:jc w:val="both"/>
        <w:ind w:right="100" w:firstLine="464"/>
        <w:spacing w:after="0" w:line="265" w:lineRule="auto"/>
        <w:rPr>
          <w:sz w:val="20"/>
          <w:szCs w:val="20"/>
          <w:color w:val="auto"/>
        </w:rPr>
      </w:pPr>
      <w:r>
        <w:rPr>
          <w:rFonts w:ascii="Times New Roman" w:cs="Times New Roman" w:eastAsia="Times New Roman" w:hAnsi="Times New Roman"/>
          <w:sz w:val="18"/>
          <w:szCs w:val="18"/>
          <w:color w:val="auto"/>
        </w:rPr>
        <w:t>Maintenance division revenue in the third quarter of fiscal 2024 increased by 39.3%, or $1.3 million, compared to the third quarter of fiscal 2023, primarily due to a new three-year preventive maintenance contract for a large customer. Operating loss in this segment increased as a result of a decrease in gross margin primarily due to inflationary cost pressures related to subcontractor costs and maintenance technician costs on fixed price contracts.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 Vehicle Charging Division</w:t>
      </w:r>
    </w:p>
    <w:p>
      <w:pPr>
        <w:spacing w:after="0" w:line="175" w:lineRule="exact"/>
        <w:rPr>
          <w:sz w:val="20"/>
          <w:szCs w:val="20"/>
          <w:color w:val="auto"/>
        </w:rPr>
      </w:pPr>
    </w:p>
    <w:p>
      <w:pPr>
        <w:jc w:val="both"/>
        <w:ind w:right="100" w:firstLine="464"/>
        <w:spacing w:after="0" w:line="281" w:lineRule="auto"/>
        <w:rPr>
          <w:sz w:val="20"/>
          <w:szCs w:val="20"/>
          <w:color w:val="auto"/>
        </w:rPr>
      </w:pPr>
      <w:r>
        <w:rPr>
          <w:rFonts w:ascii="Times New Roman" w:cs="Times New Roman" w:eastAsia="Times New Roman" w:hAnsi="Times New Roman"/>
          <w:sz w:val="18"/>
          <w:szCs w:val="18"/>
          <w:color w:val="auto"/>
        </w:rPr>
        <w:t>Our EV division offers leading electric vehicle charging expertise and provides EV turnkey installation solutions with ongoing support to all commercial verticals.</w:t>
      </w:r>
    </w:p>
    <w:p>
      <w:pPr>
        <w:spacing w:after="0" w:line="1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EV segment operations results (dollars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6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3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80" w:type="dxa"/>
            <w:vAlign w:val="bottom"/>
          </w:tcPr>
          <w:p>
            <w:pPr>
              <w:spacing w:after="0"/>
              <w:rPr>
                <w:sz w:val="19"/>
                <w:szCs w:val="19"/>
                <w:color w:val="auto"/>
              </w:rPr>
            </w:pP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45"/>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(1,454 )</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(1,669 )</w:t>
            </w:r>
          </w:p>
        </w:tc>
        <w:tc>
          <w:tcPr>
            <w:tcW w:w="320" w:type="dxa"/>
            <w:vAlign w:val="bottom"/>
          </w:tcPr>
          <w:p>
            <w:pPr>
              <w:spacing w:after="0"/>
              <w:rPr>
                <w:sz w:val="21"/>
                <w:szCs w:val="21"/>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8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(51.6 )%</w:t>
            </w:r>
          </w:p>
        </w:tc>
        <w:tc>
          <w:tcPr>
            <w:tcW w:w="82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(59.0 )%</w:t>
            </w: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26" w:lineRule="exact"/>
        <w:rPr>
          <w:sz w:val="20"/>
          <w:szCs w:val="20"/>
          <w:color w:val="auto"/>
        </w:rPr>
      </w:pPr>
    </w:p>
    <w:p>
      <w:pPr>
        <w:jc w:val="both"/>
        <w:ind w:right="100" w:firstLine="464"/>
        <w:spacing w:after="0" w:line="265" w:lineRule="auto"/>
        <w:rPr>
          <w:sz w:val="20"/>
          <w:szCs w:val="20"/>
          <w:color w:val="auto"/>
        </w:rPr>
      </w:pPr>
      <w:r>
        <w:rPr>
          <w:rFonts w:ascii="Times New Roman" w:cs="Times New Roman" w:eastAsia="Times New Roman" w:hAnsi="Times New Roman"/>
          <w:sz w:val="18"/>
          <w:szCs w:val="18"/>
          <w:color w:val="auto"/>
        </w:rPr>
        <w:t>EV segment revenue in the third quarter of fiscal 2024 was relatively flat compared to the third quarter of fiscal 2023. Operating loss in this segment was primarily a result of the allocation of corporate expenses and the earn-out expense included in general and administrative costs. The improvement in operating loss in fiscal 2024 was primarily due to increased margin.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December 31, 2023 versus Nine Months Ended December 31, 2022</w:t>
      </w:r>
    </w:p>
    <w:p>
      <w:pPr>
        <w:spacing w:after="0" w:line="175" w:lineRule="exact"/>
        <w:rPr>
          <w:sz w:val="20"/>
          <w:szCs w:val="20"/>
          <w:color w:val="auto"/>
        </w:rPr>
      </w:pPr>
    </w:p>
    <w:p>
      <w:pPr>
        <w:jc w:val="both"/>
        <w:ind w:right="120" w:firstLine="464"/>
        <w:spacing w:after="0" w:line="265" w:lineRule="auto"/>
        <w:rPr>
          <w:sz w:val="20"/>
          <w:szCs w:val="20"/>
          <w:color w:val="auto"/>
        </w:rPr>
      </w:pPr>
      <w:r>
        <w:rPr>
          <w:rFonts w:ascii="Times New Roman" w:cs="Times New Roman" w:eastAsia="Times New Roman" w:hAnsi="Times New Roman"/>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8"/>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13"/>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41,715</w:t>
            </w: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72.1 %</w:t>
            </w:r>
          </w:p>
        </w:tc>
        <w:tc>
          <w:tcPr>
            <w:tcW w:w="14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74.8 %</w:t>
            </w: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27.5 %</w:t>
            </w: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27.9 %</w:t>
            </w: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55,754</w:t>
            </w: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15.1 %</w:t>
            </w: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31,152</w:t>
            </w: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51.8 %</w:t>
            </w: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55.9 %</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24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42.0 %</w:t>
            </w:r>
          </w:p>
        </w:tc>
        <w:tc>
          <w:tcPr>
            <w:tcW w:w="1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26.2 %</w:t>
            </w:r>
          </w:p>
        </w:tc>
        <w:tc>
          <w:tcPr>
            <w:tcW w:w="140" w:type="dxa"/>
            <w:vAlign w:val="bottom"/>
          </w:tcPr>
          <w:p>
            <w:pPr>
              <w:spacing w:after="0"/>
              <w:rPr>
                <w:sz w:val="21"/>
                <w:szCs w:val="21"/>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42,984</w:t>
            </w: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78.0 %</w:t>
            </w: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77.1 %</w:t>
            </w:r>
          </w:p>
        </w:tc>
        <w:tc>
          <w:tcPr>
            <w:tcW w:w="0" w:type="dxa"/>
            <w:vAlign w:val="bottom"/>
          </w:tcPr>
          <w:p>
            <w:pPr>
              <w:spacing w:after="0"/>
              <w:rPr>
                <w:sz w:val="1"/>
                <w:szCs w:val="1"/>
                <w:color w:val="auto"/>
              </w:rPr>
            </w:pPr>
          </w:p>
        </w:tc>
      </w:tr>
      <w:tr>
        <w:trPr>
          <w:trHeight w:val="22"/>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w:t>
            </w: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22.0 %</w:t>
            </w: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19.0 %</w:t>
            </w: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24.4 %</w:t>
            </w: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(93.3 )%</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21"/>
                <w:szCs w:val="21"/>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24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14.8 %</w:t>
            </w:r>
          </w:p>
        </w:tc>
        <w:tc>
          <w:tcPr>
            <w:tcW w:w="1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15.2 %</w:t>
            </w:r>
          </w:p>
        </w:tc>
        <w:tc>
          <w:tcPr>
            <w:tcW w:w="140" w:type="dxa"/>
            <w:vAlign w:val="bottom"/>
          </w:tcPr>
          <w:p>
            <w:pPr>
              <w:spacing w:after="0"/>
              <w:rPr>
                <w:sz w:val="21"/>
                <w:szCs w:val="21"/>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4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(11.9 )%</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21"/>
                <w:szCs w:val="21"/>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(12,627 )</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(11,148 )</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(13.3 )%</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51"/>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(561 )</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478.4 %</w:t>
            </w:r>
          </w:p>
        </w:tc>
        <w:tc>
          <w:tcPr>
            <w:tcW w:w="12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(74 )</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57.4 %</w:t>
            </w:r>
          </w:p>
        </w:tc>
        <w:tc>
          <w:tcPr>
            <w:tcW w:w="12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before income tax</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(13,223 )</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(11,292 )</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(17.1 )%</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17,933</w:t>
            </w: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99.7 %</w:t>
            </w: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1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(13,281 )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(29,225 )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54.6 %</w:t>
            </w:r>
          </w:p>
        </w:tc>
        <w:tc>
          <w:tcPr>
            <w:tcW w:w="12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4"/>
        </w:trPr>
        <w:tc>
          <w:tcPr>
            <w:tcW w:w="5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-3843655</wp:posOffset>
            </wp:positionV>
            <wp:extent cx="71323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-3526790</wp:posOffset>
            </wp:positionV>
            <wp:extent cx="71323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-2893695</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-2585085</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-1651635</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-1335405</wp:posOffset>
            </wp:positionV>
            <wp:extent cx="71323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-3218815</wp:posOffset>
            </wp:positionV>
            <wp:extent cx="7132320" cy="162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-2277110</wp:posOffset>
            </wp:positionV>
            <wp:extent cx="7132320" cy="162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-1018540</wp:posOffset>
            </wp:positionV>
            <wp:extent cx="7132320"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99" w:right="239" w:bottom="1440" w:gutter="0" w:footer="0" w:header="0"/>
        </w:sectPr>
      </w:pPr>
    </w:p>
    <w:bookmarkStart w:id="26" w:name="page27"/>
    <w:bookmarkEnd w:id="26"/>
    <w:p>
      <w:pPr>
        <w:jc w:val="both"/>
        <w:ind w:right="60" w:firstLine="46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 Cost of Revenue and Gross Margin. </w:t>
      </w:r>
      <w:r>
        <w:rPr>
          <w:rFonts w:ascii="Times New Roman" w:cs="Times New Roman" w:eastAsia="Times New Roman" w:hAnsi="Times New Roman"/>
          <w:sz w:val="18"/>
          <w:szCs w:val="18"/>
          <w:color w:val="auto"/>
        </w:rPr>
        <w:t>Product revenue increased 10.9%, or $4.6 million, for the first nine months of fiscal 2024 versus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nine months of fiscal 2023. Service revenue increased 27.5%, or $3.9 million, for the first nine months of fiscal 2024 versus the first nine months of fiscal 2023. Total revenue increased due to growth in contract activity for larger customers, a new three-year preventive maintenance contract and a full nine months of revenue from Voltrek versus three months in the prior year. Cost of product revenue increased by 6.8%, or $2.1 million, in the first nine months of fiscal 2024 versus the comparable period in fiscal 2023. Cost of service revenue increased by 42.0%, or $5.0 million, in the first nine months of fiscal 2024 versus the comparable period in fiscal 2023. Gross margin decreased from 22.9% of revenue in the first nine months of fiscal 2023 to 22.0% in the first nine months of fiscal 2024, due primarily to inflationary cost pressures related to subcontractor costs and maintenance technician costs on fixed price contracts, partially offset by increased sales covering fixed costs and increased volume on higher margin service projects.</w:t>
      </w:r>
    </w:p>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71" w:lineRule="exact"/>
        <w:rPr>
          <w:sz w:val="20"/>
          <w:szCs w:val="20"/>
          <w:color w:val="auto"/>
        </w:rPr>
      </w:pPr>
    </w:p>
    <w:p>
      <w:pPr>
        <w:jc w:val="both"/>
        <w:ind w:right="60" w:firstLine="46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19.0%, or $2.5 million, in the first nine months of fiscal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first nine months of fiscal 2023. This comparative increase was primarily due to the increased accrual of the expected Voltrek earn-out payment, partially offset by prior year acceleration of stock-based compensation expense due to retirement-related modifications of existing restricted stock awards.</w:t>
      </w:r>
    </w:p>
    <w:p>
      <w:pPr>
        <w:spacing w:after="0" w:line="118" w:lineRule="exact"/>
        <w:rPr>
          <w:sz w:val="20"/>
          <w:szCs w:val="20"/>
          <w:color w:val="auto"/>
        </w:rPr>
      </w:pPr>
    </w:p>
    <w:p>
      <w:pPr>
        <w:jc w:val="both"/>
        <w:ind w:right="60" w:firstLine="46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Acquisition Related Costs. </w:t>
      </w:r>
      <w:r>
        <w:rPr>
          <w:rFonts w:ascii="Times New Roman" w:cs="Times New Roman" w:eastAsia="Times New Roman" w:hAnsi="Times New Roman"/>
          <w:sz w:val="18"/>
          <w:szCs w:val="18"/>
          <w:color w:val="auto"/>
        </w:rPr>
        <w:t>Acquisition related costs decreased 93.3%, or $0.8 million, in the first nine months of fiscal 2024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of fiscal 2023 due to reduced acquisition activity.</w:t>
      </w:r>
    </w:p>
    <w:p>
      <w:pPr>
        <w:spacing w:after="0" w:line="105" w:lineRule="exact"/>
        <w:rPr>
          <w:sz w:val="20"/>
          <w:szCs w:val="20"/>
          <w:color w:val="auto"/>
        </w:rPr>
      </w:pPr>
    </w:p>
    <w:p>
      <w:pPr>
        <w:jc w:val="both"/>
        <w:ind w:right="60" w:firstLine="46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14.8%, or $1.3 million, in the first nine months of fiscal 2024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of fiscal 2023. This comparative increase was primarily due to increased employee compensation costs.</w:t>
      </w:r>
    </w:p>
    <w:p>
      <w:pPr>
        <w:spacing w:after="0" w:line="105" w:lineRule="exact"/>
        <w:rPr>
          <w:sz w:val="20"/>
          <w:szCs w:val="20"/>
          <w:color w:val="auto"/>
        </w:rPr>
      </w:pPr>
    </w:p>
    <w:p>
      <w:pPr>
        <w:jc w:val="both"/>
        <w:ind w:right="60" w:firstLine="46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decreased 11.9%, or $0.2 million, in the first nine months of fiscal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first nine months of fiscal 2023. This comparative decrease was primarily due to the reduction of employee compensation costs.</w:t>
      </w:r>
    </w:p>
    <w:p>
      <w:pPr>
        <w:spacing w:after="0" w:line="105" w:lineRule="exact"/>
        <w:rPr>
          <w:sz w:val="20"/>
          <w:szCs w:val="20"/>
          <w:color w:val="auto"/>
        </w:rPr>
      </w:pPr>
    </w:p>
    <w:p>
      <w:pPr>
        <w:jc w:val="both"/>
        <w:ind w:right="60" w:firstLine="46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expenses increased 478.4% or $0.5 million, in the first nine months of fiscal 2024 compared to the first nine months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2023. This comparative increase was primarily due to the interest on outstanding borrowings and a higher incremental borrowing 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Lighting Division</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lighting division operating results (dollars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6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ind w:right="53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44,739</w:t>
            </w:r>
          </w:p>
        </w:tc>
        <w:tc>
          <w:tcPr>
            <w:tcW w:w="280" w:type="dxa"/>
            <w:vAlign w:val="bottom"/>
          </w:tcPr>
          <w:p>
            <w:pPr>
              <w:spacing w:after="0"/>
              <w:rPr>
                <w:sz w:val="19"/>
                <w:szCs w:val="19"/>
                <w:color w:val="auto"/>
              </w:rPr>
            </w:pPr>
          </w:p>
        </w:tc>
        <w:tc>
          <w:tcPr>
            <w:tcW w:w="8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42,118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45"/>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(1,777 )</w:t>
            </w:r>
          </w:p>
        </w:tc>
        <w:tc>
          <w:tcPr>
            <w:tcW w:w="8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(3,932 )</w:t>
            </w:r>
          </w:p>
        </w:tc>
        <w:tc>
          <w:tcPr>
            <w:tcW w:w="30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8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(4.0 )%</w:t>
            </w:r>
          </w:p>
        </w:tc>
        <w:tc>
          <w:tcPr>
            <w:tcW w:w="8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(9.3 )%</w:t>
            </w: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3" w:lineRule="exact"/>
        <w:rPr>
          <w:sz w:val="20"/>
          <w:szCs w:val="20"/>
          <w:color w:val="auto"/>
        </w:rPr>
      </w:pPr>
    </w:p>
    <w:p>
      <w:pPr>
        <w:jc w:val="both"/>
        <w:ind w:right="60" w:firstLine="469"/>
        <w:spacing w:after="0" w:line="265" w:lineRule="auto"/>
        <w:rPr>
          <w:sz w:val="20"/>
          <w:szCs w:val="20"/>
          <w:color w:val="auto"/>
        </w:rPr>
      </w:pPr>
      <w:r>
        <w:rPr>
          <w:rFonts w:ascii="Times New Roman" w:cs="Times New Roman" w:eastAsia="Times New Roman" w:hAnsi="Times New Roman"/>
          <w:sz w:val="18"/>
          <w:szCs w:val="18"/>
          <w:color w:val="auto"/>
        </w:rPr>
        <w:t>Lighting division revenue in the first nine months of fiscal 2024 increased by 6.2%, or $2.6 million compared to the first nine months of fiscal 2023. The increase in lighting division revenue was due to growth in contract activity for larger customers. The improvement in corresponding operating loss in this segment was a result of a decrease in under absorption of fixed costs.</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97" w:right="2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Maintenance Division</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maintenance division operating results (dollars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6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ind w:right="53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11,996</w:t>
            </w:r>
          </w:p>
        </w:tc>
        <w:tc>
          <w:tcPr>
            <w:tcW w:w="280" w:type="dxa"/>
            <w:vAlign w:val="bottom"/>
          </w:tcPr>
          <w:p>
            <w:pPr>
              <w:spacing w:after="0"/>
              <w:rPr>
                <w:sz w:val="19"/>
                <w:szCs w:val="19"/>
                <w:color w:val="auto"/>
              </w:rPr>
            </w:pPr>
          </w:p>
        </w:tc>
        <w:tc>
          <w:tcPr>
            <w:tcW w:w="80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10,806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45"/>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8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(4,660 )</w:t>
            </w:r>
          </w:p>
        </w:tc>
        <w:tc>
          <w:tcPr>
            <w:tcW w:w="8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(1,807 )</w:t>
            </w:r>
          </w:p>
        </w:tc>
        <w:tc>
          <w:tcPr>
            <w:tcW w:w="30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(157.9 )%</w:t>
            </w: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8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(38.8 )%</w:t>
            </w:r>
          </w:p>
        </w:tc>
        <w:tc>
          <w:tcPr>
            <w:tcW w:w="8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(16.7 )%</w:t>
            </w: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3" w:lineRule="exact"/>
        <w:rPr>
          <w:sz w:val="20"/>
          <w:szCs w:val="20"/>
          <w:color w:val="auto"/>
        </w:rPr>
      </w:pPr>
    </w:p>
    <w:p>
      <w:pPr>
        <w:jc w:val="both"/>
        <w:ind w:right="100" w:firstLine="464"/>
        <w:spacing w:after="0" w:line="260" w:lineRule="auto"/>
        <w:rPr>
          <w:sz w:val="20"/>
          <w:szCs w:val="20"/>
          <w:color w:val="auto"/>
        </w:rPr>
      </w:pPr>
      <w:r>
        <w:rPr>
          <w:rFonts w:ascii="Times New Roman" w:cs="Times New Roman" w:eastAsia="Times New Roman" w:hAnsi="Times New Roman"/>
          <w:sz w:val="18"/>
          <w:szCs w:val="18"/>
          <w:color w:val="auto"/>
        </w:rPr>
        <w:t>Maintenance division revenue in the first nine months of fiscal 2024 increased by 11.0%, or $1.2 million, compared to the first nine months of fiscal 2023, primarily due to a new three-year preventive maintenance contract with a large customer. Operating loss in this segment increased as a result of a decrease in gross margin primarily due to inflationary cost pressures related to subcontractor costs and maintenance technician costs on fixed price contracts.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 Vehicle Charging Division</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EV segment operations results (dollars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6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ind w:right="53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280" w:type="dxa"/>
            <w:vAlign w:val="bottom"/>
          </w:tcPr>
          <w:p>
            <w:pPr>
              <w:spacing w:after="0"/>
              <w:rPr>
                <w:sz w:val="19"/>
                <w:szCs w:val="19"/>
                <w:color w:val="auto"/>
              </w:rPr>
            </w:pP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162.7 %</w:t>
            </w:r>
          </w:p>
        </w:tc>
        <w:tc>
          <w:tcPr>
            <w:tcW w:w="0" w:type="dxa"/>
            <w:vAlign w:val="bottom"/>
          </w:tcPr>
          <w:p>
            <w:pPr>
              <w:spacing w:after="0"/>
              <w:rPr>
                <w:sz w:val="1"/>
                <w:szCs w:val="1"/>
                <w:color w:val="auto"/>
              </w:rPr>
            </w:pPr>
          </w:p>
        </w:tc>
      </w:tr>
      <w:tr>
        <w:trPr>
          <w:trHeight w:val="245"/>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8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(4,417 )</w:t>
            </w:r>
          </w:p>
        </w:tc>
        <w:tc>
          <w:tcPr>
            <w:tcW w:w="82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(1,669 )</w:t>
            </w:r>
          </w:p>
        </w:tc>
        <w:tc>
          <w:tcPr>
            <w:tcW w:w="30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(164.6 )%</w:t>
            </w: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8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(59.4 )%</w:t>
            </w:r>
          </w:p>
        </w:tc>
        <w:tc>
          <w:tcPr>
            <w:tcW w:w="82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(59.0 )%</w:t>
            </w: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26" w:lineRule="exact"/>
        <w:rPr>
          <w:sz w:val="20"/>
          <w:szCs w:val="20"/>
          <w:color w:val="auto"/>
        </w:rPr>
      </w:pPr>
    </w:p>
    <w:p>
      <w:pPr>
        <w:jc w:val="both"/>
        <w:ind w:right="100" w:firstLine="464"/>
        <w:spacing w:after="0" w:line="260" w:lineRule="auto"/>
        <w:rPr>
          <w:sz w:val="20"/>
          <w:szCs w:val="20"/>
          <w:color w:val="auto"/>
        </w:rPr>
      </w:pPr>
      <w:r>
        <w:rPr>
          <w:rFonts w:ascii="Times New Roman" w:cs="Times New Roman" w:eastAsia="Times New Roman" w:hAnsi="Times New Roman"/>
          <w:sz w:val="18"/>
          <w:szCs w:val="18"/>
          <w:color w:val="auto"/>
        </w:rPr>
        <w:t>EV segment revenue in the first nine months of fiscal 2024 increased by 162.7%, or $4.6 million, compared to the first nine months of fiscal 2023. Operating loss in this segment was primarily a result of the earn-out expense included in general and administrative costs and the allocation of corporate expenses. The increase in revenue and corresponding operating loss was due to nine months of activity in fiscal 2024 compared to three months in fiscal 2023.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right="100" w:firstLine="469"/>
        <w:spacing w:after="0" w:line="265" w:lineRule="auto"/>
        <w:rPr>
          <w:sz w:val="20"/>
          <w:szCs w:val="20"/>
          <w:color w:val="auto"/>
        </w:rPr>
      </w:pPr>
      <w:r>
        <w:rPr>
          <w:rFonts w:ascii="Times New Roman" w:cs="Times New Roman" w:eastAsia="Times New Roman" w:hAnsi="Times New Roman"/>
          <w:sz w:val="18"/>
          <w:szCs w:val="18"/>
          <w:color w:val="auto"/>
        </w:rPr>
        <w:t>We believe our existing cash and operating cash flow provide us with the financial flexibility needed to meet our capital requirements, based on our current cash flow forecast, including to fund our budgeted capital expenditures and working capital needs for at least one year from the date of this report, as well as our currently anticipated longer-term capital requirements for periods beyond at least one year from the date of this report.</w:t>
      </w:r>
    </w:p>
    <w:p>
      <w:pPr>
        <w:spacing w:after="0" w:line="123" w:lineRule="exact"/>
        <w:rPr>
          <w:sz w:val="20"/>
          <w:szCs w:val="20"/>
          <w:color w:val="auto"/>
        </w:rPr>
      </w:pPr>
    </w:p>
    <w:p>
      <w:pPr>
        <w:jc w:val="both"/>
        <w:ind w:right="100" w:firstLine="469"/>
        <w:spacing w:after="0" w:line="281" w:lineRule="auto"/>
        <w:rPr>
          <w:sz w:val="20"/>
          <w:szCs w:val="20"/>
          <w:color w:val="auto"/>
        </w:rPr>
      </w:pPr>
      <w:r>
        <w:rPr>
          <w:rFonts w:ascii="Times New Roman" w:cs="Times New Roman" w:eastAsia="Times New Roman" w:hAnsi="Times New Roman"/>
          <w:sz w:val="18"/>
          <w:szCs w:val="18"/>
          <w:color w:val="auto"/>
        </w:rPr>
        <w:t>We had approximately $5.0 million in cash and cash equivalents as of December 31, 2023, compared to $16.0 million at March 31, 2023. Our cash position decreased as a result of an operating loss and an overall use of working capital during the first nine months of fiscal 2024.</w:t>
      </w:r>
    </w:p>
    <w:p>
      <w:pPr>
        <w:spacing w:after="0" w:line="109" w:lineRule="exact"/>
        <w:rPr>
          <w:sz w:val="20"/>
          <w:szCs w:val="20"/>
          <w:color w:val="auto"/>
        </w:rPr>
      </w:pPr>
    </w:p>
    <w:p>
      <w:pPr>
        <w:jc w:val="both"/>
        <w:ind w:right="100" w:firstLine="469"/>
        <w:spacing w:after="0" w:line="256" w:lineRule="auto"/>
        <w:rPr>
          <w:sz w:val="20"/>
          <w:szCs w:val="20"/>
          <w:color w:val="auto"/>
        </w:rPr>
      </w:pPr>
      <w:r>
        <w:rPr>
          <w:rFonts w:ascii="Times New Roman" w:cs="Times New Roman" w:eastAsia="Times New Roman" w:hAnsi="Times New Roman"/>
          <w:sz w:val="18"/>
          <w:szCs w:val="18"/>
          <w:color w:val="auto"/>
        </w:rPr>
        <w:t>Our future liquidity needs and forecasted cash flows are dependent upon many factors, including our relative revenue, gross margins, cash management practices, cost containment, working capital management and capital expenditures. While we believe that we will likely have adequate available cash and equivalents and credit availability under our Credit Agreement to satisfy our currently anticipated working capital and liquidity requirements for at least the next 12 months based on our current cash flow forecast, if we experience significant liquidity constraints, we may be required to issue equity or debt securities, reduce our sales efforts, implement additional cost savings initiatives or undertake other efforts to conserve our cash. We are also currently pursuing other potential supplemental liquidity sources.</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89"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December 31, 2023 and 2022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(10,267 )</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(5,248 )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9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(750 )</w:t>
            </w:r>
          </w:p>
        </w:tc>
        <w:tc>
          <w:tcPr>
            <w:tcW w:w="10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(6,090 )</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shd w:val="clear" w:color="auto" w:fill="CFF0FC"/>
          </w:tcPr>
          <w:p>
            <w:pPr>
              <w:spacing w:after="0"/>
              <w:rPr>
                <w:sz w:val="21"/>
                <w:szCs w:val="2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(11,025 )</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(6,324 )</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both"/>
        <w:ind w:firstLine="46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Operating Activities. </w:t>
      </w:r>
      <w:r>
        <w:rPr>
          <w:rFonts w:ascii="Times New Roman" w:cs="Times New Roman" w:eastAsia="Times New Roman" w:hAnsi="Times New Roman"/>
          <w:sz w:val="18"/>
          <w:szCs w:val="18"/>
          <w:color w:val="auto"/>
        </w:rPr>
        <w:t>Cash used in operating activities primarily consisted of net loss adjusted for certain non-cash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depreciation, amortization of intangible assets, stock-based compensation, amortization of debt issue costs, provisions for reserves, and the effect of changes in working capital and other activities.</w:t>
      </w:r>
    </w:p>
    <w:p>
      <w:pPr>
        <w:spacing w:after="0" w:line="120"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Cash used in operating activities for the first nine months of fiscal 2024 was $10.3 million and consisted of our net loss of $13.3 million adjusted for non-cash expense items and net cash used in changes in operating assets of $3.0 million, the largest of which was a benefit from a $5.5 million accounts payable.</w:t>
      </w:r>
    </w:p>
    <w:p>
      <w:pPr>
        <w:spacing w:after="0" w:line="123"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Cash used in operating activities for the first nine months of fiscal 2023 was $5.2 million and consisted of our net loss of $29.2 million adjusted for non-cash expense items and net cash used in changes in operating assets of $24.0 million, the largest of which was a $17.9 million decrease in deferred income tax assets as a result of the valuation allowance.</w:t>
      </w:r>
    </w:p>
    <w:p>
      <w:pPr>
        <w:spacing w:after="0" w:line="121" w:lineRule="exact"/>
        <w:rPr>
          <w:sz w:val="20"/>
          <w:szCs w:val="20"/>
          <w:color w:val="auto"/>
        </w:rPr>
      </w:pPr>
    </w:p>
    <w:p>
      <w:pPr>
        <w:jc w:val="both"/>
        <w:ind w:firstLine="464"/>
        <w:spacing w:after="0" w:line="283" w:lineRule="auto"/>
        <w:rPr>
          <w:sz w:val="20"/>
          <w:szCs w:val="20"/>
          <w:color w:val="auto"/>
        </w:rPr>
      </w:pPr>
      <w:r>
        <w:rPr>
          <w:rFonts w:ascii="Times New Roman" w:cs="Times New Roman" w:eastAsia="Times New Roman" w:hAnsi="Times New Roman"/>
          <w:sz w:val="18"/>
          <w:szCs w:val="18"/>
          <w:i w:val="1"/>
          <w:iCs w:val="1"/>
          <w:color w:val="auto"/>
        </w:rPr>
        <w:t>Cash Flows Related to Investing Activities</w:t>
      </w:r>
      <w:r>
        <w:rPr>
          <w:rFonts w:ascii="Times New Roman" w:cs="Times New Roman" w:eastAsia="Times New Roman" w:hAnsi="Times New Roman"/>
          <w:sz w:val="18"/>
          <w:szCs w:val="18"/>
          <w:color w:val="auto"/>
        </w:rPr>
        <w:t>. Cash used in investing activities of $0.8 million in the first nine months of fiscal 2024 consisted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purchases of property and equipment, partially offset by proceeds from the sale of property and equipment.</w:t>
      </w:r>
    </w:p>
    <w:p>
      <w:pPr>
        <w:spacing w:after="0" w:line="107"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Cash used in investing activities of $6.1 million in the first nine months of fiscal 2023 consisted primarily of cash paid for the acquisition of Voltrek and purchases of property and equipment.</w:t>
      </w:r>
    </w:p>
    <w:p>
      <w:pPr>
        <w:spacing w:after="0" w:line="107" w:lineRule="exact"/>
        <w:rPr>
          <w:sz w:val="20"/>
          <w:szCs w:val="20"/>
          <w:color w:val="auto"/>
        </w:rPr>
      </w:pPr>
    </w:p>
    <w:p>
      <w:pPr>
        <w:jc w:val="both"/>
        <w:ind w:firstLine="46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Financing Activities. </w:t>
      </w:r>
      <w:r>
        <w:rPr>
          <w:rFonts w:ascii="Times New Roman" w:cs="Times New Roman" w:eastAsia="Times New Roman" w:hAnsi="Times New Roman"/>
          <w:sz w:val="18"/>
          <w:szCs w:val="18"/>
          <w:color w:val="auto"/>
        </w:rPr>
        <w:t>Cash used in financing activities of $8 thousand in the first nine months of fiscal 2024 consisted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payment of long-term debt.</w:t>
      </w:r>
    </w:p>
    <w:p>
      <w:pPr>
        <w:spacing w:after="0" w:line="107" w:lineRule="exact"/>
        <w:rPr>
          <w:sz w:val="20"/>
          <w:szCs w:val="20"/>
          <w:color w:val="auto"/>
        </w:rPr>
      </w:pPr>
    </w:p>
    <w:p>
      <w:pPr>
        <w:jc w:val="both"/>
        <w:ind w:right="20" w:firstLine="464"/>
        <w:spacing w:after="0" w:line="281" w:lineRule="auto"/>
        <w:rPr>
          <w:sz w:val="20"/>
          <w:szCs w:val="20"/>
          <w:color w:val="auto"/>
        </w:rPr>
      </w:pPr>
      <w:r>
        <w:rPr>
          <w:rFonts w:ascii="Times New Roman" w:cs="Times New Roman" w:eastAsia="Times New Roman" w:hAnsi="Times New Roman"/>
          <w:sz w:val="18"/>
          <w:szCs w:val="18"/>
          <w:color w:val="auto"/>
        </w:rPr>
        <w:t>Cash provided by financing activities of $5.0 million in the first nine months of fiscal 2023 consisted primarily of proceeds from our Credit Agreement, which was drawn down to pay the cash purchase price to acquire Voltrek.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75"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Our net working capital as of December 31, 2023 was $15.0 million, consisting of $45.7 million in current assets and $30.7 million in current liabilities. Our net working capital as of March 31, 2023 was $25.9 million, consisting of $50.4 million in current assets and $24.5 million in current liabilities.</w:t>
      </w:r>
    </w:p>
    <w:p>
      <w:pPr>
        <w:spacing w:after="0" w:line="123" w:lineRule="exact"/>
        <w:rPr>
          <w:sz w:val="20"/>
          <w:szCs w:val="20"/>
          <w:color w:val="auto"/>
        </w:rPr>
      </w:pPr>
    </w:p>
    <w:p>
      <w:pPr>
        <w:jc w:val="both"/>
        <w:ind w:right="20" w:firstLine="464"/>
        <w:spacing w:after="0" w:line="281" w:lineRule="auto"/>
        <w:rPr>
          <w:sz w:val="20"/>
          <w:szCs w:val="20"/>
          <w:color w:val="auto"/>
        </w:rPr>
      </w:pPr>
      <w:r>
        <w:rPr>
          <w:rFonts w:ascii="Times New Roman" w:cs="Times New Roman" w:eastAsia="Times New Roman" w:hAnsi="Times New Roman"/>
          <w:sz w:val="18"/>
          <w:szCs w:val="18"/>
          <w:color w:val="auto"/>
        </w:rPr>
        <w:t>We generally attempt to maintain at least a three-month supply of on-hand inventory of purchased components and raw materials to meet anticipated demand, as well as to reduce our risk of unexpected raw material or component shortages and supply chain interruptions.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75"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On December 29, 2020, we entered into a new $25 million Loan and Security Agreement (the “Credit Agreement”) with Bank of America, N.A., as lender (the “Lender”). The Credit Agreement replaced our prior $20.15 million secured revolving credit and security agreement (the “Prior Credit Agreement”).</w:t>
      </w:r>
    </w:p>
    <w:p>
      <w:pPr>
        <w:spacing w:after="0" w:line="123"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The replacement of the Prior Credit Agreement with the Credit Agreement provides us with increased financing capacity and liquidity to fund our operations and implement our strategic plans.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29" w:name="page30"/>
    <w:bookmarkEnd w:id="29"/>
    <w:p>
      <w:pPr>
        <w:jc w:val="both"/>
        <w:ind w:firstLine="464"/>
        <w:spacing w:after="0" w:line="260" w:lineRule="auto"/>
        <w:rPr>
          <w:sz w:val="20"/>
          <w:szCs w:val="20"/>
          <w:color w:val="auto"/>
        </w:rPr>
      </w:pPr>
      <w:r>
        <w:rPr>
          <w:rFonts w:ascii="Times New Roman" w:cs="Times New Roman" w:eastAsia="Times New Roman" w:hAnsi="Times New Roman"/>
          <w:sz w:val="18"/>
          <w:szCs w:val="18"/>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December 31, 2023, the borrowing base of the Credit Facility supported $22.5 million of availability, with $12.5 million of remaining availability net of $10.0 million borrowed.</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Credit Agreement is secured by a first lien security interest in substantially all of our assets.</w:t>
      </w:r>
    </w:p>
    <w:p>
      <w:pPr>
        <w:spacing w:after="0" w:line="171"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8"/>
          <w:szCs w:val="18"/>
          <w:color w:val="auto"/>
        </w:rPr>
        <w:t>Effective November 4, 2022, we, along with the Lender, executed Amendment No. 1 to the Credit Agreement. The primary purpose of the amendment was to include the assets of our acquired subsidiaries, Stay-Lite Lighting and Voltrek as secured collateral under the Credit Agreement. Accordingly, eligible assets of Stay-Lite and Voltrek are now included in our borrowing base calculation for the purpose of establishing our monthly borrowing availability under the Credit Agreement. The amendment also clarified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Backlog represents the amount of revenue that we expect to realize in the future as a result of firm, committed purchase orders. Backlog totaled $20.6 million and $17.2 million as of December 31, 2023 and March 31, 2023, respectively. We generally expect our backlog to be recognized as revenue within one year. Backlog does not include any amounts for contracted maintenance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75" w:lineRule="exact"/>
        <w:rPr>
          <w:sz w:val="20"/>
          <w:szCs w:val="20"/>
          <w:color w:val="auto"/>
        </w:rPr>
      </w:pPr>
    </w:p>
    <w:p>
      <w:pPr>
        <w:jc w:val="both"/>
        <w:ind w:firstLine="469"/>
        <w:spacing w:after="0" w:line="265" w:lineRule="auto"/>
        <w:rPr>
          <w:sz w:val="20"/>
          <w:szCs w:val="20"/>
          <w:color w:val="auto"/>
        </w:rPr>
      </w:pPr>
      <w:r>
        <w:rPr>
          <w:rFonts w:ascii="Times New Roman" w:cs="Times New Roman" w:eastAsia="Times New Roman" w:hAnsi="Times New Roman"/>
          <w:sz w:val="18"/>
          <w:szCs w:val="18"/>
          <w:color w:val="auto"/>
        </w:rPr>
        <w:t>We have experienced increases in various input costs including labor, components and transportation in the past two years. In response, we have implemented multiple price increases, and we have substantially mitigated the inflationary pressures, such that our results from operations have not been materially affected to date by inflation.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69"/>
        <w:spacing w:after="0" w:line="270"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stock-based compensation and income taxes. The estimates of forecasted cash flows are used in the assessment for impairment of long-lived assets and the realizability of deferred tax assets.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2023. For the quarter ended December 31, 2023, there were no material changes in our accounting policies.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469"/>
        <w:spacing w:after="0" w:line="281" w:lineRule="auto"/>
        <w:rPr>
          <w:sz w:val="20"/>
          <w:szCs w:val="20"/>
          <w:color w:val="auto"/>
        </w:rPr>
      </w:pPr>
      <w:r>
        <w:rPr>
          <w:rFonts w:ascii="Times New Roman" w:cs="Times New Roman" w:eastAsia="Times New Roman" w:hAnsi="Times New Roman"/>
          <w:sz w:val="18"/>
          <w:szCs w:val="18"/>
          <w:color w:val="auto"/>
        </w:rPr>
        <w:t>For a complete discussion of recent accounting pronouncements, refer to Note 2 in the Condensed Consolidated Financial Statements included elsewhere in this report.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69"/>
        <w:spacing w:after="0" w:line="281" w:lineRule="auto"/>
        <w:rPr>
          <w:sz w:val="20"/>
          <w:szCs w:val="20"/>
          <w:color w:val="auto"/>
        </w:rPr>
      </w:pPr>
      <w:r>
        <w:rPr>
          <w:rFonts w:ascii="Times New Roman" w:cs="Times New Roman" w:eastAsia="Times New Roman" w:hAnsi="Times New Roman"/>
          <w:sz w:val="18"/>
          <w:szCs w:val="18"/>
          <w:color w:val="auto"/>
        </w:rPr>
        <w:t>Our exposure to market risk was discussed in the “Quantitative and Qualitative Disclosures About Market Risk” section contained in our Annual Report on Form 10-K for the year ended March 31, 2023. There have been no material changes to such exposures since March 31,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ind w:firstLine="469"/>
        <w:spacing w:after="0" w:line="265"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23" w:lineRule="exact"/>
        <w:rPr>
          <w:sz w:val="20"/>
          <w:szCs w:val="20"/>
          <w:color w:val="auto"/>
        </w:rPr>
      </w:pPr>
    </w:p>
    <w:p>
      <w:pPr>
        <w:jc w:val="both"/>
        <w:ind w:firstLine="469"/>
        <w:spacing w:after="0" w:line="260" w:lineRule="auto"/>
        <w:rPr>
          <w:sz w:val="20"/>
          <w:szCs w:val="20"/>
          <w:color w:val="auto"/>
        </w:rPr>
      </w:pPr>
      <w:r>
        <w:rPr>
          <w:rFonts w:ascii="Times New Roman" w:cs="Times New Roman" w:eastAsia="Times New Roman" w:hAnsi="Times New Roman"/>
          <w:sz w:val="18"/>
          <w:szCs w:val="18"/>
          <w:color w:val="auto"/>
        </w:rPr>
        <w:t>As of December 31, 2023,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December 31, 2023.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469"/>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13a-15(e) and Rule 15d-15(e) of the Exchange Act) for the quarter ended December 31, 2023, that materially affected, or are reasonably likely to materially affect, our internal control over financial reporting.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469"/>
        <w:spacing w:after="0" w:line="281" w:lineRule="auto"/>
        <w:rPr>
          <w:sz w:val="20"/>
          <w:szCs w:val="20"/>
          <w:color w:val="auto"/>
        </w:rPr>
      </w:pPr>
      <w:r>
        <w:rPr>
          <w:rFonts w:ascii="Times New Roman" w:cs="Times New Roman" w:eastAsia="Times New Roman" w:hAnsi="Times New Roman"/>
          <w:sz w:val="18"/>
          <w:szCs w:val="18"/>
          <w:color w:val="auto"/>
        </w:rPr>
        <w:t>We are subject to various claims and legal proceedings arising in the ordinary course of business. As of the date of this report, we do not believe that the final resolution of any of such claims or legal proceedings will have a material adverse effect on our future results of operations.</w:t>
      </w:r>
    </w:p>
    <w:p>
      <w:pPr>
        <w:spacing w:after="0" w:line="1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14 – Commitments and Contingencies, to the Condensed Consolidated Financial Statements in Item 1 of this Quarterly Report on Form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w:t>
      </w:r>
    </w:p>
    <w:p>
      <w:pPr>
        <w:spacing w:after="0" w:line="2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2023, which we filed with the SEC on June 12, 2023 and in Part 1 - Item 2 under the heading "Management's Discussion and Analysis of Financial Condition and Results of Operations" in this Quarterly Report on Form 10-Q.</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jc w:val="both"/>
        <w:ind w:firstLine="469"/>
        <w:spacing w:after="0" w:line="281"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of Orion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of Orion Energy Systems, Inc. pursuant to Rule 13a-14(a) or Rule 15d-14(a) promulgated under the</w:t>
            </w:r>
          </w:p>
        </w:tc>
      </w:tr>
      <w:tr>
        <w:trPr>
          <w:trHeight w:val="20"/>
        </w:trPr>
        <w:tc>
          <w:tcPr>
            <w:tcW w:w="1100" w:type="dxa"/>
            <w:vAlign w:val="bottom"/>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60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Securities Exchange Act of 1934, as amended.+</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EE"/>
            </w:tcBorders>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Orion Energy Systems, Inc. pursuant to Rule 13a-14(a) or Rule 15d-14(a) promulgated under the</w:t>
            </w:r>
          </w:p>
        </w:tc>
      </w:tr>
      <w:tr>
        <w:trPr>
          <w:trHeight w:val="20"/>
        </w:trPr>
        <w:tc>
          <w:tcPr>
            <w:tcW w:w="1100" w:type="dxa"/>
            <w:vAlign w:val="bottom"/>
          </w:tcPr>
          <w:p>
            <w:pPr>
              <w:spacing w:after="0" w:line="20" w:lineRule="exact"/>
              <w:rPr>
                <w:sz w:val="1"/>
                <w:szCs w:val="1"/>
                <w:color w:val="auto"/>
              </w:rPr>
            </w:pPr>
          </w:p>
        </w:tc>
        <w:tc>
          <w:tcPr>
            <w:tcW w:w="94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Securities Exchange Act of 1934, as amended.+</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EE"/>
            </w:tcBorders>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1"/>
        </w:trPr>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of Orion Energy Systems, Inc. pursuant to Rule 13a-14(b) promulgated under the Securities</w:t>
            </w:r>
          </w:p>
        </w:tc>
      </w:tr>
      <w:tr>
        <w:trPr>
          <w:trHeight w:val="20"/>
        </w:trPr>
        <w:tc>
          <w:tcPr>
            <w:tcW w:w="1100" w:type="dxa"/>
            <w:vAlign w:val="bottom"/>
          </w:tcPr>
          <w:p>
            <w:pPr>
              <w:spacing w:after="0" w:line="20" w:lineRule="exact"/>
              <w:rPr>
                <w:sz w:val="1"/>
                <w:szCs w:val="1"/>
                <w:color w:val="auto"/>
              </w:rPr>
            </w:pPr>
          </w:p>
        </w:tc>
        <w:tc>
          <w:tcPr>
            <w:tcW w:w="94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Exchange Act of 1934, as amended, and 18 U.S.C. Section 1350, as adopted pursuant to Section 906 of the Sarbanes-Oxley Act of 2002.+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4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1"/>
        </w:trPr>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Orion Energy Systems, Inc. pursuant to Rule 13a-14(b) promulgated under the Securities</w:t>
            </w:r>
          </w:p>
        </w:tc>
      </w:tr>
      <w:tr>
        <w:trPr>
          <w:trHeight w:val="20"/>
        </w:trPr>
        <w:tc>
          <w:tcPr>
            <w:tcW w:w="1100" w:type="dxa"/>
            <w:vAlign w:val="bottom"/>
          </w:tcPr>
          <w:p>
            <w:pPr>
              <w:spacing w:after="0" w:line="20" w:lineRule="exact"/>
              <w:rPr>
                <w:sz w:val="1"/>
                <w:szCs w:val="1"/>
                <w:color w:val="auto"/>
              </w:rPr>
            </w:pPr>
          </w:p>
        </w:tc>
        <w:tc>
          <w:tcPr>
            <w:tcW w:w="948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Exchange Act of 1934, as amended, and 18 U.S.C. Section 1350, as adopted pursuant to Section 906 of the Sarbanes-Oxley Act of 2002.+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92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57" w:lineRule="exact"/>
        <w:rPr>
          <w:sz w:val="20"/>
          <w:szCs w:val="20"/>
          <w:color w:val="auto"/>
        </w:rPr>
      </w:pPr>
    </w:p>
    <w:p>
      <w:pPr>
        <w:ind w:left="1100" w:hanging="1079"/>
        <w:spacing w:after="0"/>
        <w:tabs>
          <w:tab w:leader="none" w:pos="1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7"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6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February 7, 2024.</w:t>
      </w:r>
    </w:p>
    <w:p>
      <w:pPr>
        <w:spacing w:after="0" w:line="17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265"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 Per Brodin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H. Jenkins, certify that:</w:t>
      </w:r>
    </w:p>
    <w:p>
      <w:pPr>
        <w:spacing w:after="0" w:line="225"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Orion Energy Systems,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6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/s/ Michael H.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26035</wp:posOffset>
            </wp:positionV>
            <wp:extent cx="24917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2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Michael H. Jenkins</w:t>
      </w:r>
    </w:p>
    <w:p>
      <w:pPr>
        <w:spacing w:after="0" w:line="3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783590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Per Brodin, certify that:</w:t>
      </w:r>
    </w:p>
    <w:p>
      <w:pPr>
        <w:spacing w:after="0" w:line="225"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Orion Energy Systems,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6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26035</wp:posOffset>
            </wp:positionV>
            <wp:extent cx="249174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2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J. Per Brodin</w:t>
      </w:r>
    </w:p>
    <w:p>
      <w:pPr>
        <w:spacing w:after="0" w:line="3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Orion Energy Systems, Inc., a Wisconsin corporation (the “Company”), on Form 10-Q for the period ended December 31, 2023, as filed with the Securities and Exchange Commission on the date hereof (the “Report”), I, Michael H. Jenkins, Chief Executive Officer of the Company, certify, pursuant to 18 U.S.C. 1350, as adopted pursuant to Section 906 of the Sarbanes-Oxley Act of 2002, that, based on my knowledge:</w:t>
      </w:r>
    </w:p>
    <w:p>
      <w:pPr>
        <w:spacing w:after="0" w:line="74"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7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Michael H.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26035</wp:posOffset>
            </wp:positionV>
            <wp:extent cx="24917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Michael H. Jenkins</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6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Orion Energy Systems, Inc., a Wisconsin corporation (the “Company”), on Form 10-Q for the period ended December 31, 2023,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spacing w:after="0" w:line="69" w:lineRule="exact"/>
        <w:rPr>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7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26035</wp:posOffset>
            </wp:positionV>
            <wp:extent cx="249174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J. Per Brodin</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6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2"/>
      <w:numFmt w:val="decimal"/>
      <w:start w:val="104"/>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2024-02-07T15:38:33Z</dcterms:created>
  <dcterms:modified xsi:type="dcterms:W3CDTF">2024-02-07T15:38:33Z</dcterms:modified>
</cp:coreProperties>
</file>