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5120" w:type="dxa"/>
            <w:vAlign w:val="bottom"/>
          </w:tcPr>
          <w:p>
            <w:pPr>
              <w:jc w:val="center"/>
              <w:ind w:right="1624"/>
              <w:spacing w:after="0"/>
              <w:rPr>
                <w:sz w:val="20"/>
                <w:szCs w:val="20"/>
                <w:color w:val="auto"/>
              </w:rPr>
            </w:pPr>
            <w:r>
              <w:rPr>
                <w:rFonts w:ascii="Arial" w:cs="Arial" w:eastAsia="Arial" w:hAnsi="Arial"/>
                <w:sz w:val="18"/>
                <w:szCs w:val="18"/>
                <w:b w:val="1"/>
                <w:bCs w:val="1"/>
                <w:color w:val="auto"/>
                <w:w w:val="86"/>
              </w:rPr>
              <w:t>Wisconsin</w:t>
            </w:r>
          </w:p>
        </w:tc>
        <w:tc>
          <w:tcPr>
            <w:tcW w:w="3000" w:type="dxa"/>
            <w:vAlign w:val="bottom"/>
          </w:tcPr>
          <w:p>
            <w:pPr>
              <w:jc w:val="right"/>
              <w:ind w:right="144"/>
              <w:spacing w:after="0"/>
              <w:rPr>
                <w:sz w:val="20"/>
                <w:szCs w:val="20"/>
                <w:color w:val="auto"/>
              </w:rPr>
            </w:pPr>
            <w:r>
              <w:rPr>
                <w:rFonts w:ascii="Arial" w:cs="Arial" w:eastAsia="Arial" w:hAnsi="Arial"/>
                <w:sz w:val="18"/>
                <w:szCs w:val="18"/>
                <w:b w:val="1"/>
                <w:bCs w:val="1"/>
                <w:color w:val="auto"/>
              </w:rPr>
              <w:t>39-1847269</w:t>
            </w:r>
          </w:p>
        </w:tc>
      </w:tr>
      <w:tr>
        <w:trPr>
          <w:trHeight w:val="149"/>
        </w:trPr>
        <w:tc>
          <w:tcPr>
            <w:tcW w:w="5120" w:type="dxa"/>
            <w:vAlign w:val="bottom"/>
          </w:tcPr>
          <w:p>
            <w:pPr>
              <w:jc w:val="center"/>
              <w:ind w:right="162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000" w:type="dxa"/>
            <w:vAlign w:val="bottom"/>
          </w:tcPr>
          <w:p>
            <w:pPr>
              <w:jc w:val="center"/>
              <w:ind w:left="16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120" w:type="dxa"/>
            <w:vAlign w:val="bottom"/>
          </w:tcPr>
          <w:p>
            <w:pPr>
              <w:jc w:val="center"/>
              <w:ind w:right="1604"/>
              <w:spacing w:after="0"/>
              <w:rPr>
                <w:sz w:val="20"/>
                <w:szCs w:val="20"/>
                <w:color w:val="auto"/>
              </w:rPr>
            </w:pPr>
            <w:r>
              <w:rPr>
                <w:rFonts w:ascii="Arial" w:cs="Arial" w:eastAsia="Arial" w:hAnsi="Arial"/>
                <w:sz w:val="14"/>
                <w:szCs w:val="14"/>
                <w:b w:val="1"/>
                <w:bCs w:val="1"/>
                <w:color w:val="auto"/>
                <w:w w:val="88"/>
              </w:rPr>
              <w:t>incorporation or organization)</w:t>
            </w:r>
          </w:p>
        </w:tc>
        <w:tc>
          <w:tcPr>
            <w:tcW w:w="3000" w:type="dxa"/>
            <w:vAlign w:val="bottom"/>
          </w:tcPr>
          <w:p>
            <w:pPr>
              <w:jc w:val="center"/>
              <w:ind w:left="1624"/>
              <w:spacing w:after="0"/>
              <w:rPr>
                <w:sz w:val="20"/>
                <w:szCs w:val="20"/>
                <w:color w:val="auto"/>
              </w:rPr>
            </w:pPr>
            <w:r>
              <w:rPr>
                <w:rFonts w:ascii="Arial" w:cs="Arial" w:eastAsia="Arial" w:hAnsi="Arial"/>
                <w:sz w:val="14"/>
                <w:szCs w:val="14"/>
                <w:b w:val="1"/>
                <w:bCs w:val="1"/>
                <w:color w:val="auto"/>
                <w:w w:val="88"/>
              </w:rPr>
              <w:t>Identification number)</w:t>
            </w:r>
          </w:p>
        </w:tc>
      </w:tr>
      <w:tr>
        <w:trPr>
          <w:trHeight w:val="420"/>
        </w:trPr>
        <w:tc>
          <w:tcPr>
            <w:tcW w:w="5120" w:type="dxa"/>
            <w:vAlign w:val="bottom"/>
          </w:tcPr>
          <w:p>
            <w:pPr>
              <w:jc w:val="center"/>
              <w:ind w:right="1624"/>
              <w:spacing w:after="0"/>
              <w:rPr>
                <w:sz w:val="20"/>
                <w:szCs w:val="20"/>
                <w:color w:val="auto"/>
              </w:rPr>
            </w:pPr>
            <w:r>
              <w:rPr>
                <w:rFonts w:ascii="Arial" w:cs="Arial" w:eastAsia="Arial" w:hAnsi="Arial"/>
                <w:sz w:val="18"/>
                <w:szCs w:val="18"/>
                <w:b w:val="1"/>
                <w:bCs w:val="1"/>
                <w:color w:val="auto"/>
                <w:w w:val="88"/>
              </w:rPr>
              <w:t>2210 Woodland Drive, Manitowoc, Wisconsin</w:t>
            </w:r>
          </w:p>
        </w:tc>
        <w:tc>
          <w:tcPr>
            <w:tcW w:w="3000" w:type="dxa"/>
            <w:vAlign w:val="bottom"/>
          </w:tcPr>
          <w:p>
            <w:pPr>
              <w:jc w:val="right"/>
              <w:ind w:right="344"/>
              <w:spacing w:after="0"/>
              <w:rPr>
                <w:sz w:val="20"/>
                <w:szCs w:val="20"/>
                <w:color w:val="auto"/>
              </w:rPr>
            </w:pPr>
            <w:r>
              <w:rPr>
                <w:rFonts w:ascii="Arial" w:cs="Arial" w:eastAsia="Arial" w:hAnsi="Arial"/>
                <w:sz w:val="18"/>
                <w:szCs w:val="18"/>
                <w:b w:val="1"/>
                <w:bCs w:val="1"/>
                <w:color w:val="auto"/>
              </w:rPr>
              <w:t>54220</w:t>
            </w:r>
          </w:p>
        </w:tc>
      </w:tr>
      <w:tr>
        <w:trPr>
          <w:trHeight w:val="174"/>
        </w:trPr>
        <w:tc>
          <w:tcPr>
            <w:tcW w:w="5120" w:type="dxa"/>
            <w:vAlign w:val="bottom"/>
          </w:tcPr>
          <w:p>
            <w:pPr>
              <w:jc w:val="center"/>
              <w:ind w:right="162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000" w:type="dxa"/>
            <w:vAlign w:val="bottom"/>
          </w:tcPr>
          <w:p>
            <w:pPr>
              <w:jc w:val="center"/>
              <w:ind w:left="1624"/>
              <w:spacing w:after="0"/>
              <w:rPr>
                <w:sz w:val="20"/>
                <w:szCs w:val="20"/>
                <w:color w:val="auto"/>
              </w:rPr>
            </w:pPr>
            <w:r>
              <w:rPr>
                <w:rFonts w:ascii="Arial" w:cs="Arial" w:eastAsia="Arial" w:hAnsi="Arial"/>
                <w:sz w:val="14"/>
                <w:szCs w:val="14"/>
                <w:b w:val="1"/>
                <w:bCs w:val="1"/>
                <w:color w:val="auto"/>
                <w:w w:val="86"/>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8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0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0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40" w:type="dxa"/>
            <w:vAlign w:val="bottom"/>
          </w:tcPr>
          <w:p>
            <w:pPr>
              <w:ind w:left="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8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80" w:type="dxa"/>
            <w:vAlign w:val="bottom"/>
            <w:gridSpan w:val="2"/>
          </w:tcPr>
          <w:p>
            <w:pPr>
              <w:spacing w:after="0"/>
              <w:rPr>
                <w:sz w:val="20"/>
                <w:szCs w:val="20"/>
                <w:color w:val="auto"/>
              </w:rPr>
            </w:pPr>
            <w:r>
              <w:rPr>
                <w:rFonts w:ascii="Arial" w:cs="Arial" w:eastAsia="Arial" w:hAnsi="Arial"/>
                <w:sz w:val="18"/>
                <w:szCs w:val="18"/>
                <w:color w:val="auto"/>
              </w:rPr>
              <w:t>There were 21,285,706 shares of the Registrant’s common stock outstanding on August 7, 2012.</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70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Orion Energy Systems,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Report On Form 10-Q</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2012</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Page(s)</w:t>
            </w:r>
          </w:p>
        </w:tc>
      </w:tr>
      <w:tr>
        <w:trPr>
          <w:trHeight w:val="264"/>
        </w:trPr>
        <w:tc>
          <w:tcPr>
            <w:tcW w:w="296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40" w:type="dxa"/>
            <w:vAlign w:val="bottom"/>
            <w:gridSpan w:val="9"/>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2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ITEM 1. Financial Statements (unaudited)</w:t>
              </w:r>
            </w:hyperlink>
          </w:p>
        </w:tc>
        <w:tc>
          <w:tcPr>
            <w:tcW w:w="770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7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March 31, 2012 and June 30, 2012</w:t>
              </w:r>
            </w:hyperlink>
          </w:p>
        </w:tc>
        <w:tc>
          <w:tcPr>
            <w:tcW w:w="516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090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June 30, 2011 and 2012</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73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Three Months Ended June 30, 2011 and 2012</w:t>
              </w:r>
            </w:hyperlink>
          </w:p>
        </w:tc>
        <w:tc>
          <w:tcPr>
            <w:tcW w:w="352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90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900" w:type="dxa"/>
            <w:vAlign w:val="bottom"/>
            <w:gridSpan w:val="16"/>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 Management’s Discussion and Analysis of Financial Condition and Results of Operations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680" w:type="dxa"/>
            <w:vAlign w:val="bottom"/>
            <w:tcBorders>
              <w:top w:val="single" w:sz="8" w:color="0000EE"/>
            </w:tcBorders>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3.</w:t>
              </w:r>
            </w:hyperlink>
          </w:p>
        </w:tc>
        <w:tc>
          <w:tcPr>
            <w:tcW w:w="6680" w:type="dxa"/>
            <w:vAlign w:val="bottom"/>
            <w:tcBorders>
              <w:top w:val="single" w:sz="8" w:color="0000EE"/>
            </w:tcBorders>
            <w:gridSpan w:val="13"/>
          </w:tcPr>
          <w:p>
            <w:pPr>
              <w:ind w:left="20"/>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Quantitative and Qualitative Disclosures about Market Risk</w:t>
              </w:r>
            </w:hyperlink>
          </w:p>
        </w:tc>
        <w:tc>
          <w:tcPr>
            <w:tcW w:w="354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4.</w:t>
              </w:r>
            </w:hyperlink>
          </w:p>
        </w:tc>
        <w:tc>
          <w:tcPr>
            <w:tcW w:w="188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b w:val="1"/>
                <w:bCs w:val="1"/>
                <w:color w:val="0000EE"/>
                <w:w w:val="85"/>
              </w:rPr>
            </w:pPr>
            <w:hyperlink w:anchor="page30">
              <w:r>
                <w:rPr>
                  <w:rFonts w:ascii="Arial" w:cs="Arial" w:eastAsia="Arial" w:hAnsi="Arial"/>
                  <w:sz w:val="18"/>
                  <w:szCs w:val="18"/>
                  <w:b w:val="1"/>
                  <w:bCs w:val="1"/>
                  <w:color w:val="0000EE"/>
                  <w:w w:val="85"/>
                </w:rPr>
                <w:t>Controls and Procedures</w:t>
              </w:r>
            </w:hyperlink>
          </w:p>
        </w:tc>
        <w:tc>
          <w:tcPr>
            <w:tcW w:w="2640" w:type="dxa"/>
            <w:vAlign w:val="bottom"/>
            <w:tcBorders>
              <w:top w:val="single" w:sz="8" w:color="0000EE"/>
            </w:tcBorders>
            <w:gridSpan w:val="5"/>
          </w:tcPr>
          <w:p>
            <w:pPr>
              <w:spacing w:after="0"/>
              <w:rPr>
                <w:sz w:val="17"/>
                <w:szCs w:val="17"/>
                <w:color w:val="auto"/>
              </w:rPr>
            </w:pPr>
          </w:p>
        </w:tc>
        <w:tc>
          <w:tcPr>
            <w:tcW w:w="570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22"/>
        </w:trPr>
        <w:tc>
          <w:tcPr>
            <w:tcW w:w="10900" w:type="dxa"/>
            <w:vAlign w:val="bottom"/>
            <w:gridSpan w:val="16"/>
          </w:tcPr>
          <w:p>
            <w:pPr>
              <w:spacing w:after="0"/>
              <w:rPr>
                <w:sz w:val="20"/>
                <w:szCs w:val="20"/>
                <w:color w:val="auto"/>
              </w:rPr>
            </w:pPr>
            <w:r>
              <w:rPr>
                <w:rFonts w:ascii="Arial" w:cs="Arial" w:eastAsia="Arial" w:hAnsi="Arial"/>
                <w:sz w:val="18"/>
                <w:szCs w:val="18"/>
                <w:b w:val="1"/>
                <w:bCs w:val="1"/>
                <w:color w:val="auto"/>
              </w:rPr>
              <w:t>PART II OTHER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0"/>
        </w:trPr>
        <w:tc>
          <w:tcPr>
            <w:tcW w:w="1780" w:type="dxa"/>
            <w:vAlign w:val="bottom"/>
            <w:tcBorders>
              <w:bottom w:val="single" w:sz="8" w:color="0000EE"/>
            </w:tcBorders>
            <w:gridSpan w:val="4"/>
          </w:tcPr>
          <w:p>
            <w:pPr>
              <w:spacing w:after="0" w:line="190" w:lineRule="exact"/>
              <w:rPr>
                <w:rFonts w:ascii="Arial" w:cs="Arial" w:eastAsia="Arial" w:hAnsi="Arial"/>
                <w:sz w:val="18"/>
                <w:szCs w:val="18"/>
                <w:b w:val="1"/>
                <w:bCs w:val="1"/>
                <w:color w:val="0000EE"/>
                <w:w w:val="93"/>
              </w:rPr>
            </w:pPr>
            <w:hyperlink w:anchor="page30">
              <w:r>
                <w:rPr>
                  <w:rFonts w:ascii="Arial" w:cs="Arial" w:eastAsia="Arial" w:hAnsi="Arial"/>
                  <w:sz w:val="18"/>
                  <w:szCs w:val="18"/>
                  <w:b w:val="1"/>
                  <w:bCs w:val="1"/>
                  <w:color w:val="0000EE"/>
                  <w:w w:val="93"/>
                </w:rPr>
                <w:t>ITEM 1A. Risk Factors</w:t>
              </w:r>
            </w:hyperlink>
          </w:p>
        </w:tc>
        <w:tc>
          <w:tcPr>
            <w:tcW w:w="9120" w:type="dxa"/>
            <w:vAlign w:val="bottom"/>
            <w:gridSpan w:val="12"/>
          </w:tcPr>
          <w:p>
            <w:pPr>
              <w:spacing w:after="0"/>
              <w:rPr>
                <w:sz w:val="16"/>
                <w:szCs w:val="16"/>
                <w:color w:val="auto"/>
              </w:rPr>
            </w:pPr>
          </w:p>
        </w:tc>
        <w:tc>
          <w:tcPr>
            <w:tcW w:w="420" w:type="dxa"/>
            <w:vAlign w:val="bottom"/>
          </w:tcPr>
          <w:p>
            <w:pPr>
              <w:jc w:val="right"/>
              <w:spacing w:after="0" w:line="190" w:lineRule="exact"/>
              <w:rPr>
                <w:sz w:val="20"/>
                <w:szCs w:val="20"/>
                <w:color w:val="auto"/>
              </w:rPr>
            </w:pPr>
            <w:r>
              <w:rPr>
                <w:rFonts w:ascii="Arial" w:cs="Arial" w:eastAsia="Arial" w:hAnsi="Arial"/>
                <w:sz w:val="18"/>
                <w:szCs w:val="18"/>
                <w:color w:val="auto"/>
              </w:rPr>
              <w:t>30</w:t>
            </w:r>
          </w:p>
        </w:tc>
      </w:tr>
      <w:tr>
        <w:trPr>
          <w:trHeight w:val="196"/>
        </w:trPr>
        <w:tc>
          <w:tcPr>
            <w:tcW w:w="680" w:type="dxa"/>
            <w:vAlign w:val="bottom"/>
            <w:tcBorders>
              <w:bottom w:val="single" w:sz="8" w:color="0000EE"/>
            </w:tcBorders>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2.</w:t>
              </w:r>
            </w:hyperlink>
          </w:p>
        </w:tc>
        <w:tc>
          <w:tcPr>
            <w:tcW w:w="4480" w:type="dxa"/>
            <w:vAlign w:val="bottom"/>
            <w:tcBorders>
              <w:bottom w:val="single" w:sz="8" w:color="0000EE"/>
            </w:tcBorders>
            <w:gridSpan w:val="9"/>
          </w:tcPr>
          <w:p>
            <w:pPr>
              <w:ind w:left="20"/>
              <w:spacing w:after="0" w:line="196" w:lineRule="exact"/>
              <w:rPr>
                <w:rFonts w:ascii="Arial" w:cs="Arial" w:eastAsia="Arial" w:hAnsi="Arial"/>
                <w:sz w:val="18"/>
                <w:szCs w:val="18"/>
                <w:b w:val="1"/>
                <w:bCs w:val="1"/>
                <w:color w:val="0000EE"/>
                <w:w w:val="85"/>
              </w:rPr>
            </w:pPr>
            <w:hyperlink w:anchor="page30">
              <w:r>
                <w:rPr>
                  <w:rFonts w:ascii="Arial" w:cs="Arial" w:eastAsia="Arial" w:hAnsi="Arial"/>
                  <w:sz w:val="18"/>
                  <w:szCs w:val="18"/>
                  <w:b w:val="1"/>
                  <w:bCs w:val="1"/>
                  <w:color w:val="0000EE"/>
                  <w:w w:val="85"/>
                </w:rPr>
                <w:t>Unregistered Sales of Equity Securities and Use of Proceeds</w:t>
              </w:r>
            </w:hyperlink>
          </w:p>
        </w:tc>
        <w:tc>
          <w:tcPr>
            <w:tcW w:w="574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0900" w:type="dxa"/>
            <w:vAlign w:val="bottom"/>
            <w:gridSpan w:val="16"/>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5. Other Information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680" w:type="dxa"/>
            <w:vAlign w:val="bottom"/>
            <w:tcBorders>
              <w:top w:val="single" w:sz="8" w:color="0000EE"/>
            </w:tcBorders>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6.</w:t>
              </w:r>
            </w:hyperlink>
          </w:p>
        </w:tc>
        <w:tc>
          <w:tcPr>
            <w:tcW w:w="1420" w:type="dxa"/>
            <w:vAlign w:val="bottom"/>
            <w:tcBorders>
              <w:top w:val="single" w:sz="8" w:color="0000EE"/>
            </w:tcBorders>
            <w:gridSpan w:val="4"/>
          </w:tcPr>
          <w:p>
            <w:pPr>
              <w:ind w:left="20"/>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Exhibits</w:t>
              </w:r>
            </w:hyperlink>
          </w:p>
        </w:tc>
        <w:tc>
          <w:tcPr>
            <w:tcW w:w="880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33">
              <w:r>
                <w:rPr>
                  <w:rFonts w:ascii="Arial" w:cs="Arial" w:eastAsia="Arial" w:hAnsi="Arial"/>
                  <w:sz w:val="18"/>
                  <w:szCs w:val="18"/>
                  <w:b w:val="1"/>
                  <w:bCs w:val="1"/>
                  <w:color w:val="0000EE"/>
                  <w:w w:val="94"/>
                </w:rPr>
                <w:t>SIGNATURES</w:t>
              </w:r>
            </w:hyperlink>
          </w:p>
        </w:tc>
        <w:tc>
          <w:tcPr>
            <w:tcW w:w="180" w:type="dxa"/>
            <w:vAlign w:val="bottom"/>
            <w:tcBorders>
              <w:top w:val="single" w:sz="8" w:color="0000EE"/>
            </w:tcBorders>
          </w:tcPr>
          <w:p>
            <w:pPr>
              <w:spacing w:after="0"/>
              <w:rPr>
                <w:sz w:val="17"/>
                <w:szCs w:val="17"/>
                <w:color w:val="auto"/>
              </w:rPr>
            </w:pPr>
          </w:p>
        </w:tc>
        <w:tc>
          <w:tcPr>
            <w:tcW w:w="958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83"/>
        </w:trPr>
        <w:tc>
          <w:tcPr>
            <w:tcW w:w="680" w:type="dxa"/>
            <w:vAlign w:val="bottom"/>
          </w:tcPr>
          <w:p>
            <w:pPr>
              <w:spacing w:after="0"/>
              <w:rPr>
                <w:sz w:val="24"/>
                <w:szCs w:val="24"/>
                <w:color w:val="auto"/>
              </w:rPr>
            </w:pPr>
          </w:p>
        </w:tc>
        <w:tc>
          <w:tcPr>
            <w:tcW w:w="6640" w:type="dxa"/>
            <w:vAlign w:val="bottom"/>
            <w:gridSpan w:val="12"/>
          </w:tcPr>
          <w:p>
            <w:pPr>
              <w:ind w:left="50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94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23,011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18,951</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Accounts receivable, net of allowances of $947 and $937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19,167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16,368</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16,369</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2,746</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59,000</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30,225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30,145</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12,784</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4,141</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Long-term accounts receivable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7,555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7,104</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125,650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118,897</w:t>
            </w: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14,300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11,803</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2,614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2,635</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22,723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20,470</w:t>
            </w: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6,022</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3,161</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32,881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30,054</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F)</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no par value: Shares authorized: 200,000,000 at March 31, 2012 and June 30, 2012; shares issued: 30,445,479 and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30,482,026 at March 31, 2012 and June 30, 2012; shares outstanding: 22,785,258 and 21,651,308 at March 31, 2012 and June 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126,753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127,224</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7,660,221 and 8,830,718 common shares at March 31, 2012 and June 30, 2012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(32,470)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(34,912)</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Shareholder notes receivable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Retained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(3,233)</w:t>
            </w:r>
          </w:p>
        </w:tc>
      </w:tr>
      <w:tr>
        <w:trPr>
          <w:trHeight w:val="230"/>
        </w:trPr>
        <w:tc>
          <w:tcPr>
            <w:tcW w:w="20" w:type="dxa"/>
            <w:vAlign w:val="bottom"/>
          </w:tcPr>
          <w:p>
            <w:pPr>
              <w:spacing w:after="0"/>
              <w:rPr>
                <w:sz w:val="20"/>
                <w:szCs w:val="20"/>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92,769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125,650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118,897</w:t>
            </w: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520"/>
        <w:spacing w:after="0" w:line="262"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17,361</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Service revenue</w:t>
            </w: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860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11,592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12,214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10,937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3,775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7,472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Dividend and interest income</w:t>
            </w: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(1,398)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2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(792)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 attributable to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22,921,436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22,561,135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 attributable to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22,921,436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22,561,135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Three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Deferred income tax benefit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sale of property and equipment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Change in bad debt expense</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current and long-term</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Inventories, current and long-term</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contract costs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and equipment held under operating leases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Purchase of short-term investments</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patents and licenses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asset sales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long-term debt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debt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repayment of shareholder notes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Repurchase of common stock into treasury</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18,951</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Shares issued from treasury for shareholder note receivable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surrendered into treasury from stock option exercise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I “Segment Reporting” of these financial statements for further discussion of our reportable segments.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Company’s corporate offices and manufacturing operations are located in Manitowoc, Wisconsin and an operations facility occupied by Orion Engineered Systems is located in Plymouth, Wisconsin.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2013 or other interim periods.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condensed consolidated balance sheet at March 31, 2012 has been derived from the audited consolidated financial statements at that date but does not include all of the information required by GAAP for complete financial statements.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2012 filed with the Securities and Exchange Commission on June 14,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9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Company’s valuation allowance for deferred tax assets is based upon estimates of future taxable income. It is reasonably possible that this estimate may change in the near term and this change could be material to the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amortized cost and fair value of short-term investments, with gross unrealized gains and losses, as of March 31, 2012 and June 30, 2012 were as follows (in thousands):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March 31, 2012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50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spacing w:after="0" w:line="130" w:lineRule="exact"/>
              <w:rPr>
                <w:sz w:val="20"/>
                <w:szCs w:val="20"/>
                <w:color w:val="auto"/>
              </w:rPr>
            </w:pPr>
            <w:r>
              <w:rPr>
                <w:rFonts w:ascii="Arial" w:cs="Arial" w:eastAsia="Arial" w:hAnsi="Arial"/>
                <w:sz w:val="14"/>
                <w:szCs w:val="14"/>
                <w:b w:val="1"/>
                <w:bCs w:val="1"/>
                <w:color w:val="auto"/>
              </w:rPr>
              <w:t>Amortized</w:t>
            </w: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spacing w:after="0" w:line="130" w:lineRule="exact"/>
              <w:rPr>
                <w:sz w:val="20"/>
                <w:szCs w:val="20"/>
                <w:color w:val="auto"/>
              </w:rPr>
            </w:pPr>
            <w:r>
              <w:rPr>
                <w:rFonts w:ascii="Arial" w:cs="Arial" w:eastAsia="Arial" w:hAnsi="Arial"/>
                <w:sz w:val="14"/>
                <w:szCs w:val="14"/>
                <w:b w:val="1"/>
                <w:bCs w:val="1"/>
                <w:color w:val="auto"/>
              </w:rPr>
              <w:t>Cash and Cash</w:t>
            </w:r>
          </w:p>
        </w:tc>
        <w:tc>
          <w:tcPr>
            <w:tcW w:w="700" w:type="dxa"/>
            <w:vAlign w:val="bottom"/>
            <w:tcBorders>
              <w:top w:val="single" w:sz="8" w:color="auto"/>
            </w:tcBorders>
            <w:gridSpan w:val="2"/>
          </w:tcPr>
          <w:p>
            <w:pPr>
              <w:ind w:left="20"/>
              <w:spacing w:after="0" w:line="130" w:lineRule="exact"/>
              <w:rPr>
                <w:sz w:val="20"/>
                <w:szCs w:val="20"/>
                <w:color w:val="auto"/>
              </w:rPr>
            </w:pPr>
            <w:r>
              <w:rPr>
                <w:rFonts w:ascii="Arial" w:cs="Arial" w:eastAsia="Arial" w:hAnsi="Arial"/>
                <w:sz w:val="14"/>
                <w:szCs w:val="14"/>
                <w:b w:val="1"/>
                <w:bCs w:val="1"/>
                <w:color w:val="auto"/>
                <w:w w:val="87"/>
              </w:rPr>
              <w:t>Short-Term</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7"/>
              <w:spacing w:after="0"/>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Equivalents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Investments</w:t>
            </w: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9"/>
              </w:rPr>
              <w:t>486</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1,016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83"/>
              </w:rPr>
              <w:t>June 30, 2012</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0"/>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02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1"/>
                <w:szCs w:val="11"/>
                <w:color w:val="auto"/>
              </w:rPr>
            </w:pPr>
          </w:p>
        </w:tc>
        <w:tc>
          <w:tcPr>
            <w:tcW w:w="6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Cash and Cash</w:t>
            </w:r>
          </w:p>
        </w:tc>
        <w:tc>
          <w:tcPr>
            <w:tcW w:w="70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87"/>
              </w:rPr>
              <w:t>Short-Term</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7"/>
              <w:spacing w:after="0"/>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Equivalents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Investments</w:t>
            </w: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9"/>
              </w:rPr>
              <w:t>486</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1,017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1,503</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March 31, 2012 and June 30, 2012, the Company’s financial assets described in the table above were measured at cost which approximates fair value due to the short-term nature of the investment (level 1 inputs).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certificate of deposit is pledged as security for an equipment 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Company’s financial instruments consist of cash and cash equivalents, short-term investments, accounts receivable, accounts payable, accrued liabilities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32"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majority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its lease balances included in consolidated current and long-term accounts receivable from its Orion Throughput Agreement,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OTA, sales-type leases to be financing receivables. Additional disclosures on the credit quality of the Company’s financing receivables are as follows: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 as of June 30, 2012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1-90 days</w:t>
            </w:r>
          </w:p>
        </w:tc>
        <w:tc>
          <w:tcPr>
            <w:tcW w:w="6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Greater than 90</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Total sales-type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4"/>
              </w:rPr>
              <w:t>Not Past Due</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past due</w:t>
            </w:r>
          </w:p>
        </w:tc>
        <w:tc>
          <w:tcPr>
            <w:tcW w:w="620" w:type="dxa"/>
            <w:vAlign w:val="bottom"/>
          </w:tcPr>
          <w:p>
            <w:pPr>
              <w:spacing w:after="0"/>
              <w:rPr>
                <w:sz w:val="14"/>
                <w:szCs w:val="14"/>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days past due</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Total past due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leases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Lease balances included in consolidated accounts</w:t>
            </w: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 - current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2,987</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Lease balances included in consolidated accounts</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receivable - long-term</w:t>
            </w:r>
          </w:p>
        </w:tc>
        <w:tc>
          <w:tcPr>
            <w:tcW w:w="22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5,369</w:t>
            </w:r>
          </w:p>
        </w:tc>
        <w:tc>
          <w:tcPr>
            <w:tcW w:w="180" w:type="dxa"/>
            <w:vAlign w:val="bottom"/>
          </w:tcPr>
          <w:p>
            <w:pPr>
              <w:spacing w:after="0"/>
              <w:rPr>
                <w:sz w:val="19"/>
                <w:szCs w:val="19"/>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gross sales-type leases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8,356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Allowance</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sales-type leases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8,356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finance receivables</w:t>
      </w:r>
    </w:p>
    <w:p>
      <w:pPr>
        <w:spacing w:after="0" w:line="9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if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believes that there is no impairment of the receivables for the sales-type leases. The Company incurred $59,000 and $0 of provision write-offs or credit losses against its OTA sales-type lease receivable balances in fiscal 2012 and for the quarter ended June 30, 2012,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Inventories consist of raw materials and components, such as ballasts, metal sheet and coil stock and molded parts; work in process inventories, such as frames and reflectors; and finished goods, including completed fixtures and systems, and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2012 and June 30, 2012, the Company had inventory obsolescence reserves of $1.5 million and $1.6 million, respectively.</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43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43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0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 and components</w:t>
            </w:r>
          </w:p>
        </w:tc>
        <w:tc>
          <w:tcPr>
            <w:tcW w:w="37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$ 10,466</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Work in process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7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4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$ 18,132</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720" w:type="dxa"/>
            <w:vAlign w:val="bottom"/>
            <w:vMerge w:val="restart"/>
          </w:tcPr>
          <w:p>
            <w:pPr>
              <w:jc w:val="right"/>
              <w:ind w:right="2500"/>
              <w:spacing w:after="0"/>
              <w:rPr>
                <w:sz w:val="20"/>
                <w:szCs w:val="20"/>
                <w:color w:val="auto"/>
              </w:rPr>
            </w:pPr>
            <w:r>
              <w:rPr>
                <w:rFonts w:ascii="Arial" w:cs="Arial" w:eastAsia="Arial" w:hAnsi="Arial"/>
                <w:sz w:val="18"/>
                <w:szCs w:val="18"/>
                <w:color w:val="auto"/>
              </w:rPr>
              <w:t>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Current deferred costs amounted to $2.2 million and $2.7 million as of March 31, 2012 and June 30, 2012,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prepaid taxes and miscellaneous receivables.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were comprised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61"/>
        </w:trPr>
        <w:tc>
          <w:tcPr>
            <w:tcW w:w="6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land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14,717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Equipment leased to customers under Power Purchase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Plant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9,990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43,383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(13,158)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(14,155)</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Net property and equipment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30,225</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Depreciable lives by asset category are as follows:</w:t>
      </w:r>
    </w:p>
    <w:p>
      <w:pPr>
        <w:sectPr>
          <w:pgSz w:w="11900" w:h="16838" w:orient="portrait"/>
          <w:cols w:equalWidth="0" w:num="1">
            <w:col w:w="11360"/>
          </w:cols>
          <w:pgMar w:left="240" w:top="459" w:right="299" w:bottom="1440" w:gutter="0" w:footer="0" w:header="0"/>
        </w:sectPr>
      </w:pPr>
    </w:p>
    <w:p>
      <w:pPr>
        <w:spacing w:after="0" w:line="17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Land improvements</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Buildings and building improvements</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Furniture, fixtures and office equipment</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Plant equipment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10 - 15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3 - 39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asset life or life of lease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2 - 10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3 - 10 years</w:t>
      </w:r>
    </w:p>
    <w:p>
      <w:pPr>
        <w:spacing w:after="0" w:line="200" w:lineRule="exact"/>
        <w:rPr>
          <w:sz w:val="20"/>
          <w:szCs w:val="20"/>
          <w:color w:val="auto"/>
        </w:rPr>
      </w:pPr>
    </w:p>
    <w:p>
      <w:pPr>
        <w:sectPr>
          <w:pgSz w:w="11900" w:h="16838" w:orient="portrait"/>
          <w:cols w:equalWidth="0" w:num="2">
            <w:col w:w="6200" w:space="720"/>
            <w:col w:w="4440"/>
          </w:cols>
          <w:pgMar w:left="240" w:top="459" w:right="29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Patents and licenses are amortized over their estimated useful life, ranging from 7 to 17 years,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w:t>
      </w:r>
    </w:p>
    <w:p>
      <w:pPr>
        <w:spacing w:after="0" w:line="14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between 8.8% and 11%. As of June 30, 2012, the following amounts were due from the third party finance company in future periods (in thousands):</w:t>
      </w:r>
    </w:p>
    <w:p>
      <w:pPr>
        <w:spacing w:after="0" w:line="15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Fiscal 2014</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Fiscal 2016</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4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20"/>
                <w:szCs w:val="20"/>
                <w:color w:val="auto"/>
              </w:rPr>
            </w:pPr>
            <w:r>
              <w:rPr>
                <w:rFonts w:ascii="Arial" w:cs="Arial" w:eastAsia="Arial" w:hAnsi="Arial"/>
                <w:sz w:val="18"/>
                <w:szCs w:val="18"/>
                <w:color w:val="auto"/>
              </w:rPr>
              <w:t>Total gross long-term receivable</w:t>
            </w: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1"/>
        </w:trPr>
        <w:tc>
          <w:tcPr>
            <w:tcW w:w="3120" w:type="dxa"/>
            <w:vAlign w:val="bottom"/>
          </w:tcPr>
          <w:p>
            <w:pPr>
              <w:spacing w:after="0"/>
              <w:rPr>
                <w:sz w:val="20"/>
                <w:szCs w:val="20"/>
                <w:color w:val="auto"/>
              </w:rPr>
            </w:pPr>
            <w:r>
              <w:rPr>
                <w:rFonts w:ascii="Arial" w:cs="Arial" w:eastAsia="Arial" w:hAnsi="Arial"/>
                <w:sz w:val="18"/>
                <w:szCs w:val="18"/>
                <w:color w:val="auto"/>
              </w:rPr>
              <w:t>Net long-term receivable</w:t>
            </w:r>
          </w:p>
        </w:tc>
        <w:tc>
          <w:tcPr>
            <w:tcW w:w="4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020" w:type="dxa"/>
            <w:vAlign w:val="bottom"/>
            <w:vMerge w:val="restart"/>
          </w:tcPr>
          <w:p>
            <w:pPr>
              <w:jc w:val="right"/>
              <w:ind w:right="31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inventories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records long-term inventory for the non-current portion of its wireless controls inventory. All inventories are stated at the lower of cost or market value with cost determined using the FIFO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long-term assets include long-term security deposits, prepaid licensing costs and deferred financing costs. Other long-term assets include $87,000 and $80,000 of deferred financing costs as of March 31, 2012 and June 30, 2012, respectively. Deferred financing costs related to debt issuances are amortized to interest expense over the life of the related debt issue (2 to 10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90"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Accrued expenses include warranty accruals, accrued wages, accrued vacation, accrued insurance, accrued interest, sales tax payable and other miscellaneous accruals. No accrued expenses exceeded 5% of current liabilities as of either March 31, 2012 or June 30, 2012.</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generally offers a limited warranty of one year on its own manufactured products in addition to those standard warranties offered by major original equipment component manufacturers. The manufacturers’ warranties cover lamps and ballasts, which are significant components in the Company’s products.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4"/>
        </w:trPr>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83"/>
              </w:rPr>
              <w:t>2011</w:t>
            </w:r>
          </w:p>
        </w:tc>
        <w:tc>
          <w:tcPr>
            <w:tcW w:w="60" w:type="dxa"/>
            <w:vAlign w:val="bottom"/>
          </w:tcPr>
          <w:p>
            <w:pPr>
              <w:spacing w:after="0"/>
              <w:rPr>
                <w:sz w:val="15"/>
                <w:szCs w:val="15"/>
                <w:color w:val="auto"/>
              </w:rPr>
            </w:pPr>
          </w:p>
        </w:tc>
        <w:tc>
          <w:tcPr>
            <w:tcW w:w="740" w:type="dxa"/>
            <w:vAlign w:val="bottom"/>
            <w:gridSpan w:val="2"/>
          </w:tcPr>
          <w:p>
            <w:pPr>
              <w:jc w:val="right"/>
              <w:ind w:right="163"/>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76"/>
              </w:rPr>
              <w:t>2012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68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Provision to product cost of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End of period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offers a financing program, called an OTA, for a customer’s lease of the Company’s energy management systems. The OTA is structured as a sales-type lease and upon successful installation of the system and customer acknowledgement that the system is operating as specified, revenue is recognized at the Company’s net investment in the lease, which typically is the net present value of the future cash flows.</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Company offers a financing program called a power purchase agreement, or PPA, for the Company’s renewable energy product offerings. A PPA is a supply side agreement for the generation of electricity and subsequent sale to the end user. Upon the customer’s acknowledgement that the system is operating as specified, product revenue is recognized on a monthly basis over the life of the PPA contract, which is typically in excess of 10 years.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sales of solar photovoltaic systems, which are governed by customer contracts that require the Company to deliver functioning solar power systems and are generally completed within three to 15 months, the Company recognizes revenue from fixed price construction contracts using the percentage-of-completion method in accordance with ASC 605-35, Construction-Type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Production-Type Contracts.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is recognized on the sales of the Company’s lighting and related energy efficiency systems and products when the following four criteria are met:</w:t>
      </w:r>
    </w:p>
    <w:p>
      <w:pPr>
        <w:spacing w:after="0" w:line="113"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4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VSOE, TPE and estimated selling price is provided below).</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established VSOE of the selling price for its high intensity flourescent, or HIF, lighting and energy management system products using the price charged for a deliverable when sold separately. In addition, the Company records in service revenue the selling price for its installation and recycling services using management’s best estimate of selling price, as VSOE or TPE evidence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evidence does not exist. These services include comprehensive site assessment, site field verification, utility incentive and government subsidy management, engineering design, and project management. For these services and for installation and recycling services, management’s best estimate of selling price is determined by considering several external and internal factors including, but not limited to,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2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is executed.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three months ended June 30, 2011 and 2012, realized tax (expense) and benefits from the exercise of stock options were $(0.3) million and $27,000,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each option grant for the three months ended June 30, 2011 and 2012 was determined using the assumptions in the following table:</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3"/>
              </w:rPr>
              <w:t>Three Months Ended June 30,</w:t>
            </w:r>
          </w:p>
        </w:tc>
      </w:tr>
      <w:tr>
        <w:trPr>
          <w:trHeight w:val="161"/>
        </w:trPr>
        <w:tc>
          <w:tcPr>
            <w:tcW w:w="64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expected term</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 years</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 years</w:t>
            </w:r>
          </w:p>
        </w:tc>
        <w:tc>
          <w:tcPr>
            <w:tcW w:w="2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1.89%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11.4%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Diluted net loss per common share reflects the dilution that would occur if warrants and employee stock options were exercised. In the computation of diluted net loss per common share, the Company uses the “treasury stock” method for outstanding options and warrants. Diluted net loss per common share is the same as basic net loss per common share for the periods ended June 30, 2011 and 2012, because the effects of potentially dilutive securities are anti-dilutive. The effect of net loss per common share is calculated based upon the following shares (in thousands except share amounts):</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r>
      <w:tr>
        <w:trPr>
          <w:trHeight w:val="161"/>
        </w:trPr>
        <w:tc>
          <w:tcPr>
            <w:tcW w:w="53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loss (in thousands)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(792)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(1,940)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22,921,436</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22,561,135</w:t>
            </w:r>
          </w:p>
        </w:tc>
        <w:tc>
          <w:tcPr>
            <w:tcW w:w="120" w:type="dxa"/>
            <w:vAlign w:val="bottom"/>
          </w:tcPr>
          <w:p>
            <w:pPr>
              <w:spacing w:after="0"/>
              <w:rPr>
                <w:sz w:val="18"/>
                <w:szCs w:val="18"/>
                <w:color w:val="auto"/>
              </w:rPr>
            </w:pPr>
          </w:p>
        </w:tc>
      </w:tr>
      <w:tr>
        <w:trPr>
          <w:trHeight w:val="208"/>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effect of assumed conversion of stock options and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Weighted-average common shares and common share equivalents</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22,921,436</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22,561,135</w:t>
            </w:r>
          </w:p>
        </w:tc>
        <w:tc>
          <w:tcPr>
            <w:tcW w:w="1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Basic</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(0.03)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r>
      <w:tr>
        <w:trPr>
          <w:trHeight w:val="363"/>
        </w:trPr>
        <w:tc>
          <w:tcPr>
            <w:tcW w:w="5380" w:type="dxa"/>
            <w:vAlign w:val="bottom"/>
          </w:tcPr>
          <w:p>
            <w:pPr>
              <w:ind w:left="424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indicates the number of potentially dilutive securities as of the end of each period:</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760" w:type="dxa"/>
            <w:vAlign w:val="bottom"/>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6680" w:type="dxa"/>
            <w:vAlign w:val="bottom"/>
          </w:tcPr>
          <w:p>
            <w:pPr>
              <w:spacing w:after="0"/>
              <w:rPr>
                <w:sz w:val="14"/>
                <w:szCs w:val="14"/>
                <w:color w:val="auto"/>
              </w:rPr>
            </w:pPr>
          </w:p>
        </w:tc>
        <w:tc>
          <w:tcPr>
            <w:tcW w:w="760" w:type="dxa"/>
            <w:vAlign w:val="bottom"/>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118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210"/>
        </w:trPr>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4,266,586</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4,272,747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Restricted shares</w:t>
            </w:r>
          </w:p>
        </w:tc>
        <w:tc>
          <w:tcPr>
            <w:tcW w:w="7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138,750</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60" w:type="dxa"/>
            <w:vAlign w:val="bottom"/>
            <w:shd w:val="clear" w:color="auto" w:fill="CCEEFF"/>
          </w:tcPr>
          <w:p>
            <w:pPr>
              <w:spacing w:after="0"/>
              <w:rPr>
                <w:sz w:val="18"/>
                <w:szCs w:val="18"/>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4,305,566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4,450,477</w:t>
            </w:r>
          </w:p>
        </w:tc>
        <w:tc>
          <w:tcPr>
            <w:tcW w:w="6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previously depended on one primary supplier for a number of components necessary for its products, including ballasts and lamps. Purchases from this supplier accounted for 15% of total cost of revenue for the three months ended June 30, 2011. Currently, the Company has been able to obtain these components from multiple suppliers. For the three months ended June 30, 2012, no purchases from suppliers accounted for more than 10% of total cost of revenue.</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previously purchased a majority of its solar panels from one supplier for its sales of solar generating systems through its Orion Engineered Systems Division. Purchases from this supplier accounted for 43% of total cost of total revenue for the three months ended June 30, 2011. Currently, the Company has been able to obtain panels from multiple suppliers. For the three months ended June 30, 2012, no panel purchases from suppliers accounted for more than 10% of total cost of total revenue.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June 30, 2011 and 2012, no customer accounted for more than 10% of revenue.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both March 31, 2012 and June 30, 2012, one customer accounted for 11% of accounts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Measurements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International Financial Reporting Standards (“IFRS”) </w:t>
      </w:r>
      <w:r>
        <w:rPr>
          <w:rFonts w:ascii="Arial" w:cs="Arial" w:eastAsia="Arial" w:hAnsi="Arial"/>
          <w:sz w:val="16"/>
          <w:szCs w:val="16"/>
          <w:color w:val="auto"/>
        </w:rPr>
        <w:t>(“ASU 2011-04”). ASU 2011-04 represents the converged</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of the FASB and the IASB (the “Boards”) on fair value measurements. The collective efforts of the Boards and their staffs, reflected in ASU 2011-04, have resulted in common requirements for measuring fair value and for disclosing information about fair value measurements, including a consistent meaning of the term “fair value.” The Boards have concluded the common requirements will result in greater comparability of fair value measurements presented and disclosed in financial statements prepared in accordance with GAAP and IFRSs. The amendments in this ASU are required to be applied prospectively, and are effective for interim and annual periods beginning after December 15, 2011. The adoption of ASU 2011-04 did not have a significant impact on the Company’s consolidated financial statements.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June 2011, the FASB issued ASU No. 2011-05, “</w:t>
      </w:r>
      <w:r>
        <w:rPr>
          <w:rFonts w:ascii="Arial" w:cs="Arial" w:eastAsia="Arial" w:hAnsi="Arial"/>
          <w:sz w:val="16"/>
          <w:szCs w:val="16"/>
          <w:i w:val="1"/>
          <w:iCs w:val="1"/>
          <w:color w:val="auto"/>
        </w:rPr>
        <w:t>Comprehensive Income (ASC Topic 220): Presentation of Comprehensive Income,</w:t>
      </w:r>
      <w:r>
        <w:rPr>
          <w:rFonts w:ascii="Arial" w:cs="Arial" w:eastAsia="Arial" w:hAnsi="Arial"/>
          <w:sz w:val="16"/>
          <w:szCs w:val="16"/>
          <w:color w:val="auto"/>
        </w:rPr>
        <w:t xml:space="preserve">” (“ASU 2011-05”) which amends current comprehensive income guidance. This accounting update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ASU 2011-05 will be effective for public companies during the interim and annual periods beginning after December 15, 2011 with early adoption permitted. However, in December 2011, the FASB issued ASU No. 2011-12, </w:t>
      </w:r>
      <w:r>
        <w:rPr>
          <w:rFonts w:ascii="Arial" w:cs="Arial" w:eastAsia="Arial" w:hAnsi="Arial"/>
          <w:sz w:val="16"/>
          <w:szCs w:val="16"/>
          <w:i w:val="1"/>
          <w:iCs w:val="1"/>
          <w:color w:val="auto"/>
        </w:rPr>
        <w:t>“Deferral of the Effective Date for Amendments to the Presentation of Items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in Accounting Standards Update No. 2011-05” </w:t>
      </w:r>
      <w:r>
        <w:rPr>
          <w:rFonts w:ascii="Arial" w:cs="Arial" w:eastAsia="Arial" w:hAnsi="Arial"/>
          <w:sz w:val="16"/>
          <w:szCs w:val="16"/>
          <w:color w:val="auto"/>
        </w:rPr>
        <w:t>(“ASU 2011-12”), which deferred the guidance on whether to require entities to present</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 adjustments out of accumulated other comprehensive income by component in both the statement where net income is presented and the statement where other comprehensive income is presented for both interim and annual financial statements. ASU 2011-12 reinstated the requirements for the presentation of reclassifications that were in place prior to the issuance of ASU 2011-05 and did not change the effective date for ASU 2011-05. For public entities, the amendments in ASU 2011-05 and ASU2011-12 are effective for fiscal years, and interim periods within those years, beginning after December 15, 2011, and should be applied retrospectively. The adoption of ASU 2011-05 and ASU 2011-12 did not have a significant impact on the Company’s consolidated statements as it only requires a change in the format of the current presentation.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December 2011, the FASB issued ASU No. 2011-11, “Balance Sheet: Disclosures about Offsetting Assets and Liabilities.” ASU 2011-11 requires entities to disclose information about offsetting and related arrangements of financial instruments and derivative instruments and will be applied retrospectively for all comparative periods presented. ASU 2011-11 is effective for annual reporting periods beginning on or after January 1, 2013, and interim periods within those annual periods. The Company is currently evaluating the impact of ASU 2011-11.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the three months ended June 30, 2011 and 2012, the Company purchased goods and services from an entity in the amounts of $12,000 and $40,000, respectively, for which a director of the Company serves as a member of the board of directors. The terms and conditions of such relationship are believed to be not materially more favorable to the Company or the entity than could be obtained from an independent third party.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March 31, 2012 and June 30, 2012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6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2012</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note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Customer equipment finance notes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6,568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First mortgage note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Debenture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40" w:type="dxa"/>
            <w:vAlign w:val="bottom"/>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9,495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(2,791)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(2,788)</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6,704</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has a credit agreement (Credit Agreement) with JP Morgan Chase Bank, N.A. (JP Morgan). The Credit Agreement provides for a revolving credit facility (Credit Facility) that matures on June 30, 2013 (following the completion of an amendment to the Credit Facility to extend the maturity date from June 30, 2012).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of the Company and 45% of certain inventory of the Company. The Credit Agreement contains certain financial covenants, including minimum unencumbered liquidity requirements and requirements that the Company maintain a total liabilities to tangible net worth ratio not to exceed 0.50 to 1.00 as of the last day of any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also may cause JP Morgan to issue letters of credit for the Company’s account in the aggregate principal amount of up to $2.0 million, with the dollar amount of each issued letter of credit counting against the overall limit on borrowings under the Credit Facility. As of June 30, 2012, the Company had outstanding letters of credit totaling $1.7 million, primarily for securing collateral requirements under equipment operating leases. There were no borrowings by the Company under the Credit Agreement as of March 31, 2012 or June 30, 2012.</w:t>
      </w:r>
    </w:p>
    <w:p>
      <w:pPr>
        <w:spacing w:after="0" w:line="12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Credit Agreement is secured by a first lien security interest in the Company’s accounts receivable, inventory and general intangibles, and a second lien priority in the Company’s equipment and fixtures. All OTAs, PPAs, leases, supply agreements and/or similar agreements relating to solar PV and wind turbine systems or facilities, as well as all accounts receivable and assets of the Company related to the foregoing, are excluded from these liens.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Credit Agreement provides that the Company has the option to select whether borrowings under the Credit Facility will bear interest at either (i) a daily borrowing LIBOR rate tied to a one-month maturity or (ii) a LIBOR rate tied to a maturity corresponding to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interest period selected by the Company plus, in the case of either (i) or (ii), a per annum rate spread of 2.00%, 2.50% or 3.00%, depending on the ratio of</w:t>
      </w:r>
    </w:p>
    <w:p>
      <w:pPr>
        <w:spacing w:after="0" w:line="38" w:lineRule="exact"/>
        <w:rPr>
          <w:sz w:val="20"/>
          <w:szCs w:val="20"/>
          <w:color w:val="auto"/>
        </w:rPr>
      </w:pPr>
    </w:p>
    <w:p>
      <w:pPr>
        <w:ind w:right="160" w:firstLine="8"/>
        <w:spacing w:after="0" w:line="255" w:lineRule="auto"/>
        <w:tabs>
          <w:tab w:leader="none" w:pos="288"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less income taxes pain in cash less 50% of depreciation expense to (B) the sum of interest expense paid in cash in respect of indebtedness for borrowed money plus scheduled principal payments made with respect to indebtedness for borrowed money, all as determined for the 12-month period ending as of the end of the applicable fiscal quarter.</w:t>
      </w:r>
    </w:p>
    <w:p>
      <w:pPr>
        <w:spacing w:after="0" w:line="14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 must pay a fee of 0.25% on the average daily unused amount of the Credit Facility and a fee of 2.00% on the daily average face amount of undrawn issued letters of credit. The fee on unused amounts is waived if the Company or its affiliates maintain funds on deposit with JP Morgan or its affiliates above a specified amount. The deposit threshold requirement was met as of June 30,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income tax provision for the three months ended June 30, 2012 was determined by applying an estimated annual effective tax rate of 44.8% to income before taxes. The estimated effective income tax rate was determined by applying statutory tax rates to pretax income adjusted for certain permanent book to tax differences and tax credits.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6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1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federal tax rate</w:t>
            </w: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(34.0)%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State taxes, net</w:t>
            </w: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(9.2)%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w:t>
            </w: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State tax credit</w:t>
            </w: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5.9%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reserve</w:t>
            </w: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Permanent items</w:t>
            </w: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 in tax contingency reserve</w:t>
            </w: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net</w:t>
            </w: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(0.9)%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(43.3)%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eligible for tax benefits associated with the excess of the tax deduction available for exercises of non-qualified stock options, or NQSOs, over the amount recorded at grant. The amount of the benefit is based on the ultimate deduction reflected in the applicable income tax return. Benefits of $1.0 million were recorded in fiscal 2012 as a reduction in taxes payable and a credit to additional paid in capital based on the amount that was utilized during the year. Benefits of $27,000 were recorded for the three months ended June 30, 2012.</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As of June 30, 2012, the Company had federal net operating loss carryforwards of approximately $10.3 million, of which $3.2 million are associated with the exercise of NQSOs that have not yet been recognized by the Company in its financial statements. The Company also has state net operating loss carryforwards of approximately $5.9 million, of which $2.3 million are associated with the exercise of NQSOs. The Company also has federal tax credit carryforwards of approximately $1.1 million and state tax credits of $0.4 million. A full valuation allowance has been set up for the state tax credits due to the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2019 – 2032.</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Generally, a change of more than 50% in the ownership of the Company’s stock, by value, over a three year period constitutes an ownership change for federal income tax purposes. As a result, the Company’s ability to use its net operating loss carryforwards, attributable to the period prior to such ownership change, to offset taxable income can be subject to limitations in a particular year, which could potentially result in increased future tax liability for the Company. The Company does not believe an ownership change affects the use of the full amount of the net operating loss carryforwards. There was no limitation that occurred for fiscal 2012.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June 30, 2012, the balance of gross unrecognized tax benefits was approximately $0.4 million, all of which would reduce the Company’s effective tax rate if recognized. The Company does not expect this amount to change during fiscal 2013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For the three months ended June 30, 2011 and 2012, the Company had the following unrecognized tax benefit activity (in thousands):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88"/>
              </w:rPr>
              <w:t>Three Months Ended</w:t>
            </w:r>
          </w:p>
        </w:tc>
        <w:tc>
          <w:tcPr>
            <w:tcW w:w="19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56"/>
              <w:spacing w:after="0"/>
              <w:rPr>
                <w:sz w:val="20"/>
                <w:szCs w:val="20"/>
                <w:color w:val="auto"/>
              </w:rPr>
            </w:pPr>
            <w:r>
              <w:rPr>
                <w:rFonts w:ascii="Arial" w:cs="Arial" w:eastAsia="Arial" w:hAnsi="Arial"/>
                <w:sz w:val="14"/>
                <w:szCs w:val="14"/>
                <w:b w:val="1"/>
                <w:bCs w:val="1"/>
                <w:color w:val="auto"/>
                <w:w w:val="90"/>
              </w:rPr>
              <w:t>June 30, 2011</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June 30, 2012</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as of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Decreases relating to settlements with tax authorities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0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positions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Unrecognized tax benefits as of end of period</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leases vehicles and equipment under operating leases expiring at various date through 2021. Rent expense under operating leases was $0.5 million and $0.5 million for the three months ended June 30, 2011 and 2012. The Company enters into non-cancellable purchase commitments for certain inventory items in order to secure better pricing and ensure materials are on hand to meet anticipated order volume and customer expectations, as well as for capital expenditures. As of June 30, 2012, the Company had entered into $13.1 million of purchase commitments related to fiscal 2013, including $1.3 million for operating lease commitments and $11.8 million for inventory purchase commitments.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August 2010, the Company’s board of directors approved a non-compensatory employee stock purchase plan, or ESPP. The ESPP authorizes 2,500,000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MKT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The Company had the following shares issued from treasury during fiscal 2012 and for the three months ended June 30, 2012: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40" w:type="dxa"/>
            <w:vAlign w:val="bottom"/>
            <w:gridSpan w:val="3"/>
          </w:tcPr>
          <w:p>
            <w:pPr>
              <w:jc w:val="center"/>
              <w:ind w:left="1372"/>
              <w:spacing w:after="0"/>
              <w:rPr>
                <w:sz w:val="20"/>
                <w:szCs w:val="20"/>
                <w:color w:val="auto"/>
              </w:rPr>
            </w:pPr>
            <w:r>
              <w:rPr>
                <w:rFonts w:ascii="Arial" w:cs="Arial" w:eastAsia="Arial" w:hAnsi="Arial"/>
                <w:sz w:val="14"/>
                <w:szCs w:val="14"/>
                <w:b w:val="1"/>
                <w:bCs w:val="1"/>
                <w:color w:val="auto"/>
                <w:w w:val="90"/>
              </w:rPr>
              <w:t>Under ESPP</w:t>
            </w:r>
          </w:p>
        </w:tc>
        <w:tc>
          <w:tcPr>
            <w:tcW w:w="1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Closing Market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Under Loan</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Dollar Value of</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0"/>
              </w:rPr>
              <w:t>Repayment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Plan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Program</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Loans Issued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Cumulative through March 31, 2012</w:t>
            </w:r>
          </w:p>
        </w:tc>
        <w:tc>
          <w:tcPr>
            <w:tcW w:w="1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2.38 - 4.04</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86,148</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279,350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Quarter Ended June 30, 2012</w:t>
            </w:r>
          </w:p>
        </w:tc>
        <w:tc>
          <w:tcPr>
            <w:tcW w:w="1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9,232</w:t>
            </w:r>
          </w:p>
        </w:tc>
        <w:tc>
          <w:tcPr>
            <w:tcW w:w="18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c>
          <w:tcPr>
            <w:tcW w:w="4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7,955</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17,500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as of June 30, 2012</w:t>
            </w: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112,042</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2.20 - 4.04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94,103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296,850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October 2011, the Company’s Board of Directors approved a share repurchase program authorizing the Company to repurchase in aggregate up to a maximum of $1.0 million of the Company’s outstanding common stock. In November 2011, the Company’s Board of Directors approved an increase to the share repurchase program authorizing the Company to repurchase in aggregate up to a maximum of $2.5 million of the Company’s outstanding common stock. In April 2012, the Company’s Board approved another increase to the share repurchase program authorizing the Company to repurchase in aggregate up to a maximum of $7.5 million of the Company’s outstanding common stock. As of June 30, 2012, the Company had repurchased 1.5 million shares of common stock at a cost of $3.2 million under the program.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 OPTIONS, RESTRICTED SHARES AND WARRANTS</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Company grants stock options under its 2003 Stock Option and 2004 Stock and Incentive Awards Plans (the Plans). Under the terms of the Plans, the Company has reserved 13,500,000 shares for issuance to key employees, consultants and directors. The options generally vest and become exercisable ratably between one month and five years although longer and shorter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10 years. In the past, the Company has granted both ISOs and NQSOs, although in July 2008, the Company adopted a policy of thereafter only granting NQSOs. Certain non-employee directors have elected to receive stock awards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fiscal 2011, the Company converted all of its existing ISO awards to NQSO awards. No consideration was given to the employees for their voluntary conversion of ISO awards.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June 2012, the Board of Directors approved the issuance of restricted shares under the Plans to key employees to provide an opportunity for its named executive officers to earn long-term equity incentive awards. The restricted shares are settled in Company stock when the restriction period ends. Compensation cost for restricted shares granted to employees is recognized ratably over the vesting term, which is generally five years. Settlement of the shares is contingent on the employees’ continued employment and non-vested shares are subject to forfeiture if employment terminates for any reason. An aggregate of 138,750 of restricted shares were granted on June 18, 2012 valued at a price per share of $2.00, which was the closing market price as of the grant date.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For the three months ended June 30, 2011 and 2012, the Company granted 3,282 and 13,547 shares from the 2004 Stock and Incentive Awards Plan to certain non-employee directors who elected to receive stock awards in lieu of cash compensation. The shares were valued at $4.19 per share and $2.03 per share, respectively, the closing market prices as of the grant dates. Additionally, during the three months ended June 30, 2012, the Company granted 3,000 shares to a consultant as part of a consulting compensation agreement. The shares were valued at $2.03 per share, the closing market price as of the grant date.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r>
      <w:tr>
        <w:trPr>
          <w:trHeight w:val="161"/>
        </w:trPr>
        <w:tc>
          <w:tcPr>
            <w:tcW w:w="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June 30, 2012, compensation cost related to non-vested common stock-based compensation, excluding restricted share awards, amounted to $3.9 million over a remaining weighted average expected term of 7.0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7"/>
              </w:rPr>
              <w:t>Options Outstanding</w:t>
            </w: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Weighted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Shares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38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Exercise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Grant</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of Shares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Price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Term (in years)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March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1,406,090</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3,697,633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Granted stock options</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(678,376)</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678,376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Granted shares</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(16,547)</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Restricted shares</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(138,750)</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83,262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(83,262)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655,679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4,272,747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148,039</w:t>
            </w: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color w:val="auto"/>
              </w:rPr>
              <w:t>Exercisable at June 30, 2012</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2"/>
              </w:rPr>
              <w:t>2,024,538</w:t>
            </w: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28,850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$2.20 as of June 30,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status of the Company’s outstanding non-vested stock options as of June 30, 2012 was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2012</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20"/>
              <w:spacing w:after="0"/>
              <w:rPr>
                <w:sz w:val="20"/>
                <w:szCs w:val="20"/>
                <w:color w:val="auto"/>
              </w:rPr>
            </w:pPr>
            <w:r>
              <w:rPr>
                <w:rFonts w:ascii="Arial" w:cs="Arial" w:eastAsia="Arial" w:hAnsi="Arial"/>
                <w:sz w:val="18"/>
                <w:szCs w:val="18"/>
                <w:color w:val="auto"/>
              </w:rPr>
              <w:t>Granted</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678,376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4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(157,154)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39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2012</w:t>
            </w:r>
          </w:p>
        </w:tc>
        <w:tc>
          <w:tcPr>
            <w:tcW w:w="39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2,248,209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940" w:type="dxa"/>
            <w:vAlign w:val="bottom"/>
            <w:vMerge w:val="restart"/>
          </w:tcPr>
          <w:p>
            <w:pPr>
              <w:jc w:val="right"/>
              <w:ind w:right="2852"/>
              <w:spacing w:after="0"/>
              <w:rPr>
                <w:sz w:val="20"/>
                <w:szCs w:val="20"/>
                <w:color w:val="auto"/>
              </w:rPr>
            </w:pPr>
            <w:r>
              <w:rPr>
                <w:rFonts w:ascii="Arial" w:cs="Arial" w:eastAsia="Arial" w:hAnsi="Arial"/>
                <w:sz w:val="18"/>
                <w:szCs w:val="18"/>
                <w:color w:val="auto"/>
              </w:rPr>
              <w:t>18</w:t>
            </w: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the first quarter of fiscal 2013, the Company granted restricted shares to key employees as follows (which are included in the above stock plan activity tables):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2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138,750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Per share price on grant date</w:t>
            </w: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June 30, 2012, the amount of deferred stock-based compensation related to grants of restricted shares, to be recognized over a remaining period of 5.0 years, was approximately $0.3 million.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2012 or during the three months ended June 30,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outstanding warrants at June 30, 2012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Number of</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1"/>
        </w:trPr>
        <w:tc>
          <w:tcPr>
            <w:tcW w:w="6080" w:type="dxa"/>
            <w:vAlign w:val="bottom"/>
          </w:tcPr>
          <w:p>
            <w:pPr>
              <w:spacing w:after="0"/>
              <w:rPr>
                <w:sz w:val="14"/>
                <w:szCs w:val="14"/>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4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3"/>
              </w:rPr>
              <w:t>Exercise 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March 31, 2012</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Fiscal 2015</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Balance at June 30, 2012</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38,980</w:t>
            </w:r>
          </w:p>
        </w:tc>
        <w:tc>
          <w:tcPr>
            <w:tcW w:w="300" w:type="dxa"/>
            <w:vAlign w:val="bottom"/>
          </w:tcPr>
          <w:p>
            <w:pPr>
              <w:spacing w:after="0"/>
              <w:rPr>
                <w:sz w:val="19"/>
                <w:szCs w:val="19"/>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2.25</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Fiscal 2015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descriptions of the Company’s segments and their summary financial information are presented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Management</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Energy Management Division develops, manufactures, integrates and sells commercial HIF and other lighting systems and energy management systems.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Engineered Systems Division sells and integrates alternative renewable energy systems, such as solar and wind systems.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Corporate and Other is comprised of selling, general and administrative expenses not directly allocated to the Company’s segments and adjustments to reconcile to consolidated results, which primarily include intercompany eliminations.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Operating (Loss) Income</w:t>
            </w:r>
          </w:p>
        </w:tc>
      </w:tr>
      <w:tr>
        <w:trPr>
          <w:trHeight w:val="164"/>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7"/>
              </w:rPr>
              <w:t>For the Three Months Ended June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For the Three Months Ended June 30,</w:t>
            </w:r>
          </w:p>
        </w:tc>
      </w:tr>
      <w:tr>
        <w:trPr>
          <w:trHeight w:val="159"/>
        </w:trPr>
        <w:tc>
          <w:tcPr>
            <w:tcW w:w="424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(dollars in thousands)</w:t>
            </w: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9"/>
              <w:spacing w:after="0" w:line="159" w:lineRule="exact"/>
              <w:rPr>
                <w:sz w:val="20"/>
                <w:szCs w:val="20"/>
                <w:color w:val="auto"/>
              </w:rPr>
            </w:pPr>
            <w:r>
              <w:rPr>
                <w:rFonts w:ascii="Arial" w:cs="Arial" w:eastAsia="Arial" w:hAnsi="Arial"/>
                <w:sz w:val="14"/>
                <w:szCs w:val="14"/>
                <w:color w:val="auto"/>
              </w:rPr>
              <w:t>2011</w:t>
            </w:r>
          </w:p>
        </w:tc>
        <w:tc>
          <w:tcPr>
            <w:tcW w:w="6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6"/>
              <w:spacing w:after="0" w:line="159" w:lineRule="exact"/>
              <w:rPr>
                <w:sz w:val="20"/>
                <w:szCs w:val="20"/>
                <w:color w:val="auto"/>
              </w:rPr>
            </w:pPr>
            <w:r>
              <w:rPr>
                <w:rFonts w:ascii="Arial" w:cs="Arial" w:eastAsia="Arial" w:hAnsi="Arial"/>
                <w:sz w:val="14"/>
                <w:szCs w:val="14"/>
                <w:color w:val="auto"/>
              </w:rPr>
              <w:t>2012</w:t>
            </w:r>
          </w:p>
        </w:tc>
        <w:tc>
          <w:tcPr>
            <w:tcW w:w="3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line="159"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6"/>
              <w:spacing w:after="0" w:line="159"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3"/>
                <w:szCs w:val="13"/>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Energy Management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612"/>
              <w:spacing w:after="0"/>
              <w:rPr>
                <w:sz w:val="20"/>
                <w:szCs w:val="20"/>
                <w:color w:val="auto"/>
              </w:rPr>
            </w:pPr>
            <w:r>
              <w:rPr>
                <w:rFonts w:ascii="Arial" w:cs="Arial" w:eastAsia="Arial" w:hAnsi="Arial"/>
                <w:sz w:val="18"/>
                <w:szCs w:val="18"/>
                <w:color w:val="auto"/>
              </w:rPr>
              <w:t>17,014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12,600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657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(1,758)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1,207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Corporate and Other</w:t>
            </w:r>
          </w:p>
        </w:tc>
        <w:tc>
          <w:tcPr>
            <w:tcW w:w="8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(1,327)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(1,423)</w:t>
            </w:r>
          </w:p>
        </w:tc>
      </w:tr>
      <w:tr>
        <w:trPr>
          <w:trHeight w:val="27"/>
        </w:trPr>
        <w:tc>
          <w:tcPr>
            <w:tcW w:w="4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18,221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15,310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(3,577)</w:t>
            </w:r>
          </w:p>
        </w:tc>
      </w:tr>
      <w:tr>
        <w:trPr>
          <w:trHeight w:val="20"/>
        </w:trPr>
        <w:tc>
          <w:tcPr>
            <w:tcW w:w="4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left="819"/>
              <w:spacing w:after="0" w:line="145" w:lineRule="exact"/>
              <w:rPr>
                <w:sz w:val="20"/>
                <w:szCs w:val="20"/>
                <w:color w:val="auto"/>
              </w:rPr>
            </w:pPr>
            <w:r>
              <w:rPr>
                <w:rFonts w:ascii="Arial" w:cs="Arial" w:eastAsia="Arial" w:hAnsi="Arial"/>
                <w:sz w:val="14"/>
                <w:szCs w:val="14"/>
                <w:b w:val="1"/>
                <w:bCs w:val="1"/>
                <w:color w:val="auto"/>
                <w:w w:val="84"/>
              </w:rPr>
              <w:t>Total Assets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left="680"/>
              <w:spacing w:after="0" w:line="145" w:lineRule="exact"/>
              <w:rPr>
                <w:sz w:val="20"/>
                <w:szCs w:val="20"/>
                <w:color w:val="auto"/>
              </w:rPr>
            </w:pPr>
            <w:r>
              <w:rPr>
                <w:rFonts w:ascii="Arial" w:cs="Arial" w:eastAsia="Arial" w:hAnsi="Arial"/>
                <w:sz w:val="14"/>
                <w:szCs w:val="14"/>
                <w:b w:val="1"/>
                <w:bCs w:val="1"/>
                <w:color w:val="auto"/>
                <w:w w:val="86"/>
              </w:rPr>
              <w:t>Deferred Revenue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4240" w:type="dxa"/>
            <w:vAlign w:val="bottom"/>
          </w:tcPr>
          <w:p>
            <w:pPr>
              <w:spacing w:after="0" w:line="159" w:lineRule="exact"/>
              <w:rPr>
                <w:sz w:val="20"/>
                <w:szCs w:val="20"/>
                <w:color w:val="auto"/>
              </w:rPr>
            </w:pPr>
            <w:r>
              <w:rPr>
                <w:rFonts w:ascii="Arial" w:cs="Arial" w:eastAsia="Arial" w:hAnsi="Arial"/>
                <w:sz w:val="14"/>
                <w:szCs w:val="14"/>
                <w:color w:val="auto"/>
              </w:rPr>
              <w:t>(dollars in thousands)</w:t>
            </w:r>
          </w:p>
        </w:tc>
        <w:tc>
          <w:tcPr>
            <w:tcW w:w="80" w:type="dxa"/>
            <w:vAlign w:val="bottom"/>
          </w:tcPr>
          <w:p>
            <w:pPr>
              <w:spacing w:after="0"/>
              <w:rPr>
                <w:sz w:val="13"/>
                <w:szCs w:val="13"/>
                <w:color w:val="auto"/>
              </w:rPr>
            </w:pPr>
          </w:p>
        </w:tc>
        <w:tc>
          <w:tcPr>
            <w:tcW w:w="1640" w:type="dxa"/>
            <w:vAlign w:val="bottom"/>
            <w:gridSpan w:val="2"/>
          </w:tcPr>
          <w:p>
            <w:pPr>
              <w:jc w:val="center"/>
              <w:ind w:right="672"/>
              <w:spacing w:after="0" w:line="159" w:lineRule="exact"/>
              <w:rPr>
                <w:sz w:val="20"/>
                <w:szCs w:val="20"/>
                <w:color w:val="auto"/>
              </w:rPr>
            </w:pPr>
            <w:r>
              <w:rPr>
                <w:rFonts w:ascii="Arial" w:cs="Arial" w:eastAsia="Arial" w:hAnsi="Arial"/>
                <w:sz w:val="14"/>
                <w:szCs w:val="14"/>
                <w:color w:val="auto"/>
                <w:w w:val="88"/>
              </w:rPr>
              <w:t>March 31, 2012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440"/>
              <w:spacing w:after="0" w:line="159" w:lineRule="exact"/>
              <w:rPr>
                <w:sz w:val="20"/>
                <w:szCs w:val="20"/>
                <w:color w:val="auto"/>
              </w:rPr>
            </w:pPr>
            <w:r>
              <w:rPr>
                <w:rFonts w:ascii="Arial" w:cs="Arial" w:eastAsia="Arial" w:hAnsi="Arial"/>
                <w:sz w:val="14"/>
                <w:szCs w:val="14"/>
                <w:color w:val="auto"/>
                <w:w w:val="83"/>
              </w:rPr>
              <w:t>June 30, 2012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w w:val="86"/>
              </w:rPr>
              <w:t>March 31, 2012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83"/>
              </w:rPr>
              <w:t>June 30, 2012</w:t>
            </w: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Segments:</w:t>
            </w: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Energy Management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612"/>
              <w:spacing w:after="0"/>
              <w:rPr>
                <w:sz w:val="20"/>
                <w:szCs w:val="20"/>
                <w:color w:val="auto"/>
              </w:rPr>
            </w:pPr>
            <w:r>
              <w:rPr>
                <w:rFonts w:ascii="Arial" w:cs="Arial" w:eastAsia="Arial" w:hAnsi="Arial"/>
                <w:sz w:val="18"/>
                <w:szCs w:val="18"/>
                <w:color w:val="auto"/>
              </w:rPr>
              <w:t>61,873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60,517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734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13,424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Corporate and Other</w:t>
            </w:r>
          </w:p>
        </w:tc>
        <w:tc>
          <w:tcPr>
            <w:tcW w:w="80" w:type="dxa"/>
            <w:vAlign w:val="bottom"/>
          </w:tcPr>
          <w:p>
            <w:pPr>
              <w:spacing w:after="0"/>
              <w:rPr>
                <w:sz w:val="18"/>
                <w:szCs w:val="18"/>
                <w:color w:val="auto"/>
              </w:rPr>
            </w:pPr>
          </w:p>
        </w:tc>
        <w:tc>
          <w:tcPr>
            <w:tcW w:w="1640" w:type="dxa"/>
            <w:vAlign w:val="bottom"/>
            <w:gridSpan w:val="2"/>
          </w:tcPr>
          <w:p>
            <w:pPr>
              <w:jc w:val="right"/>
              <w:ind w:right="612"/>
              <w:spacing w:after="0"/>
              <w:rPr>
                <w:sz w:val="20"/>
                <w:szCs w:val="20"/>
                <w:color w:val="auto"/>
              </w:rPr>
            </w:pPr>
            <w:r>
              <w:rPr>
                <w:rFonts w:ascii="Arial" w:cs="Arial" w:eastAsia="Arial" w:hAnsi="Arial"/>
                <w:sz w:val="18"/>
                <w:szCs w:val="18"/>
                <w:color w:val="auto"/>
              </w:rPr>
              <w:t>50,353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46,895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125,650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118,897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5,662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5,796</w:t>
            </w:r>
          </w:p>
        </w:tc>
      </w:tr>
      <w:tr>
        <w:trPr>
          <w:trHeight w:val="20"/>
        </w:trPr>
        <w:tc>
          <w:tcPr>
            <w:tcW w:w="4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elsewhere in this Form 10-Q as well as our audited consolidated financial statements and related notes included in our Annual Report on Form 10-K for the fiscal year ended March 31,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fiscal 2012 Annual Report filed on Form 10-K for the fiscal year ended March 31, 2012 and elsewhere in this Quarterly Report.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design, manufacture, market and implement energy management systems consisting primarily of high-performance, energy efficient lighting systems, controls and related services and market and implement renewable energy systems consisting primarily of solar generating photovoltaic, or PV, systems and wind turbines. We operate in two business segments, which we refer to as our Energy Management Division and our Engineered Systems Division.</w:t>
      </w:r>
    </w:p>
    <w:p>
      <w:pPr>
        <w:spacing w:after="0" w:line="10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typically generate the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11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We have more recently increased our product development activities surrounding light emitting diode, or LED, lighting and energy management systems. We believe that we have taken a responsible approach to this emerging technology. Based upon recent improvements, including drastic reduction of chip prices, availability of name-brand drivers and the integration with our InteLite controls offerings, we believe that LED will become a larger part of our overall interior lighting strategy in the future.</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have sold and installed more than 2,345,000 of our HIF lighting systems in over 8,212 facilities from December 1, 2001 through June 30, 2012. We have sold our products to 144 Fortune 500 companies, many of which have installed our HIF lighting systems in multiple facilities. Our top direct customers by revenue in fiscal 2012 included Coca-Cola Enterprises, Inc., International Paper Company, U.S. Foodservice, SYSCO Corp., and United Stationers, Inc.</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fiscal year ends on March 31. We call our prior fiscal year which ended on March 31, 2012, “fiscal 2012”. We call our current fiscal year, which will end on March 31, 2013, “fiscal 2013.” Our fiscal first quarter of each fiscal year ends on June 30, our fiscal second quarter ends on September 30, our fiscal third quarter ends on December 31 and our fiscal fourth quarter ends on March 31.</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the recessed state of the global economy since 2009, especially as it has impacted capital equipment manufacturers, our results for fiscal 2012 and the first quarter of fiscal 2013 continued to be adversely affected by lengthened customer sales cycles and sluggish customer capital spending. To address these difficult economic conditions, we implemented several cost reduction initiatives. During the first quarter of fiscal 2010, we implemented $3.2 million of annualized cost reductions. These cost containment initiatives included reductions related to headcount, work hours and discretionary spending and began to show results in the second half of fiscal 2010 and the first half of fiscal 2011. During the second quarter of fiscal 2011, we identified an additional $1 million of annualized cost reductions related to decreased product costs, improved manufacturing efficiencies and reduced operating expenses. We realized these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cost reductions beginning during the fiscal 2011 third quarter through reduction in general and administrative expenses and improved product margins for our HIF lighting systems. During fiscal 2012, in recognition of an improving economy compared to the previous year, we focused our efforts on activities to increase revenue. These investments included the creation of a telemarketing call center for the purpose of customer lead generation, the establishment of a sales office and hiring of personnel in Houston, Texas and headcount additions to our retail sales force and our Engineered Systems Division.</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response to the constraints on our customers’ capital spending budgets, we have more aggressively promoted the advantages to our customers of purchasing our energy management systems through our Orion Throughput Agreement, or OTA, financing program. Our OTA financing program provides for our customer’s purchase of our energy management systems without an up-front capital outlay. During fiscal 2012, we entered into an arrangement with a national equipment finance company to provide immediate non-recourse funding of pre-credit approved OTA finance contracts upon project completion and customer acceptance. Additionally, we completed a $5.0 million OTA line-of-credit with immediate availability for the purpose of funding OTA projects upon the project completion and customer acceptance, for which we chose to hold the contracts internally. We now have secured multiple funding sources for our OTA projects. We expect that the number of customers who choose to purchase our systems by using our OTA financing program will continue to increase in future periods. Additionally, we have provided a financing program to our alternative renewable energy system customers called a solar Power Purchase Agreement, or PPA, as an alternative to purchasing our systems for cash. The PPA is a supply side agreement for the generation of electricity and subsequent sale to the end user. We do not intend to use our own cash balances to fund future PPA opportunities and have been able to secure several external sources of funding for PPA’s on behalf of our customers.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Despite these recent economic challenges, we remain optimistic about our near-term and long-term financial performance. Our near-term optimism is based upon our record level of revenue in fiscal 2012 along with our return to profitability, our strong backlog of orders entering fiscal 2013, our fiscal 2012 investments in revenue generation initiatives (specifically the creation of our call center, the establishment of a sales office and staff in Texas and in headcount additions to our retail sales force), the completion of financing arrangements providing multiple capital sources to grow our OTA program and the increasing volume of unit sales of our new products, specifically our exterior HIF fixtures. Our long-term optimism is based upon the considerable size of the existing market opportunity for lighting retrofits, the continued development of our new products and product enhancements, the opportunity for additional revenue from sales of renewable technologies through our Orion Engineered Systems Division, the opportunity for recurring revenue from the replacement parts aftermarket and the opportunity to increase gross margins through the leverage of our under-utilized manufacturing capacity.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Annual Report on Form 10-K for the fiscal year ended March 31, 2012 provides additional information about our business and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sell our energy management products and services directly to commercial and industrial customers, and indirectly to end users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service revenues are recognized when services are complete and customer acceptance has been received. In fiscal 2010 and 2011, we increased our efforts to expand our value-added reseller channels, including through developing a partner standard operating procedural kit, providing our partners with product marketing materials and providing training to channel partners on our sales methodologies. These wholesale channels accounted for approximately 64% of our total revenue in fiscal 2012, not taking into consideration our renewable technologies revenue generated through our Orion Engineered Systems Division. During the fiscal 2013 first quarter, wholesale revenues accounted for approximately 62% of our total revenue, not taking into consideration our renewable technologies revenue generated through our Orion Engineered Systems Division, compared to 64% for the fiscal 2012 first quarter. In fiscal 2012, we focused our expansion efforts on our direct retail sales channel through the creation of a telemarketing call center for the purpose of customer lead generation, the establishment of a sales office and personnel in Houston, Texas and headcount additions to our retail sales force and our Engineered Systems Division.</w:t>
      </w:r>
    </w:p>
    <w:p>
      <w:pPr>
        <w:spacing w:after="0" w:line="12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Additionally, we offer our OTA sales-type financing program under which we finance the customer’s purchase of our energy management systems. The OTA program was established to assist customers who are interested in purchasing our energy management systems but who have capital expenditure budget limitations. Our OTA contracts are capital leases under GAAP and we record revenue at the present value of the future payments at the time customer acceptance of the installed and operating system is complete.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w:t>
      </w:r>
    </w:p>
    <w:p>
      <w:pPr>
        <w:ind w:firstLine="8"/>
        <w:spacing w:after="0" w:line="290" w:lineRule="auto"/>
        <w:tabs>
          <w:tab w:leader="none" w:pos="258"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We recognize revenue from OTA contracts at the net present value of the future cash flows at the completion date of the installation of the energy management systems and the customer’s acknowledgement that the system is operating as specified. Upon completion of the installation, we may choose to sell the future cash flows and residual rights to the equipment on a non-recourse basis to third party finance companies in exchange for cash and future payments.</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fiscal 2012, we recognized $10.2 million of revenue from 139 completed OTA contracts. For the three months ended June 30, 2012, we recognized $1.8 million of revenue from 19 completed OTA contracts. In the future, we expect an increase in the volume of OTA contracts as our customers take advantage of the value proposition without incurring any up-front capital cost.</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2012, we recognized $0.6 million of revenue from completed PPAs. In the first quarter of fiscal 2013, we recognized $0.3 million of revenue from completed PPAs. As of June 30, 2012, we had signed one customer to two separate PPAs representing future potential discounted revenue streams of $3.0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June 30, 2012 (in thousands):</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Fiscal 2014</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Fiscal 2016</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Beyond</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expected future discounted revenue from PPAs</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3,081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For sales of our solar PV systems, which are governed by customer contracts that require us to deliver functioning solar power systems and are generally completed within three to 15 months, we recognize revenue from fixed price construction contracts using the percentage-of-completion method. Under this method, revenue arising from fixed price construction contracts is recognized as work is performed based upon the percentage of incurred costs to estimated total forecasted costs. We have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We perform periodic evaluations of the progress of the installation of the solar PV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0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recognize revenue on product only sales of our lighting and energy management systems at the time of shipment. For lighting and energy management systems projects consisting of multiple elements of revenue, such as a combination of product sales and services, we recognize revenue by allocating the total contract revenue to each element based on their relative selling prices. We determine the selling price of products based upon the price charged when these products are sold separately. For services, we determine the selling price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retrofit and multi-facility roll-out projects. Our top 10 customers accounted for approximately 36% and 34% of our total revenue for the first quarter of fiscal 2012 and fiscal 2013, respectively. No customer accounted for more than 10% of our total revenue in the first quarter of fiscal 2012 or fiscal 2013. To the extent that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44"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Our level of total revenue for any given period is dependent upon a number of factors, including (i) the demand for our products and systems, including our OTA and PPA programs and any new products, applications and service that we may introduce through our Engineered Systems Division; (ii) the number and timing of large retrofit and multi-facility retrofit, or “roll-out,” projects; (iii) the level of our wholesale sales; (iv) our ability to realize revenue from our services;</w:t>
      </w:r>
    </w:p>
    <w:p>
      <w:pPr>
        <w:spacing w:after="0" w:line="1" w:lineRule="exact"/>
        <w:rPr>
          <w:sz w:val="20"/>
          <w:szCs w:val="20"/>
          <w:color w:val="auto"/>
        </w:rPr>
      </w:pPr>
    </w:p>
    <w:p>
      <w:pPr>
        <w:ind w:right="20" w:firstLine="8"/>
        <w:spacing w:after="0" w:line="281"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market conditions; (vi) our execution of our sales process; (vii) our ability to compete in a highly competitive market and our ability to respond successfully to market competition; (viii) the selling price of our products and services; (ix) changes in capital investment levels by our customers and prospects; and</w:t>
      </w:r>
    </w:p>
    <w:p>
      <w:pPr>
        <w:spacing w:after="0" w:line="1" w:lineRule="exact"/>
        <w:rPr>
          <w:rFonts w:ascii="Arial" w:cs="Arial" w:eastAsia="Arial" w:hAnsi="Arial"/>
          <w:sz w:val="16"/>
          <w:szCs w:val="16"/>
          <w:color w:val="auto"/>
        </w:rPr>
      </w:pPr>
    </w:p>
    <w:p>
      <w:pPr>
        <w:ind w:right="260" w:firstLine="8"/>
        <w:spacing w:after="0" w:line="261"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sales and budget cycles. As a result, our total revenue may be subject to quarterly variations and our total revenue for any particular fiscal quarter may not be indicative of future results.</w:t>
      </w:r>
    </w:p>
    <w:p>
      <w:pPr>
        <w:spacing w:after="0" w:line="13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We define backlog as the total contractual value of all firm orders received for our lighting and solar products and services where delivery of</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June 30, 2012, we had a backlog of firm purchase orders of approximately $50.5 million, which included $44.3 million of solar PV orders. As of March 31, 2012, we had a backlog of firm purchase orders of approximately $41.4 million, which included $36.1 million of solar PV orders. We currently expect approximately $25.4 million of our June 30, 2012 backlog to be recognized as revenue in fiscal 2013 and the remainder in future years. We typically expect the non-solar portion of our backlog to be recognized as revenue within 90 days from receipt of order. Our solar PV orders are typically longer-term construction type projects and we expect revenue to be recognized over a period of between three and 24 months from receipt of order, dependent upon the size and complexity of the project. As a result of the increased volume of our solar PV orders, the continued lengthening of our customer’s purchasing decisions because of current recessed economic conditions and related factors, the continued shortening of our installation cycles and the number of projects sold through OTAs, a comparison of backlog from period to period is not necessarily meaningful and may not be indicative of actual revenue recognized in future periods.</w:t>
      </w:r>
    </w:p>
    <w:p>
      <w:pPr>
        <w:spacing w:after="0" w:line="12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total cost of revenue consists of costs for: (i) raw materials, including sheet, coiled and specialty reflective aluminum; (ii) electrical</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including ballasts, power supplies and lamps; (iii) materials for sales of solar PV systems through our Engineered Systems Division, including solar panels, inverters and wiring; (iv) wages and related personnel expenses, including stock-based compensation charges, for our fabricating, coating, assembly, logistics and project installation service organizations; (v) manufacturing facilities, including depreciation on our manufacturing facilities and equipment, taxes, insurance and utilities; (vi) warranty expenses; (vii) installation and integration; and (viii)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Previously, we purchased most of our ballast and lamp components from a single supplier. Purchases from this supplier accounted for 15% of total cost of revenue during our fiscal 2012 first quarter. Currently, we purchase these components from multiple suppliers. For the fiscal 2013 first quarter, no purchases from suppliers accounted for more than 10% of total cost of revenue. Our cost of revenue from OTA projects is recorded upon customer acceptance and acknowledgement that the system is operating as specified. Our production labor force is non-union and, as a result, our production labor costs have been relatively stable. We have been expanding our network of qualified third-party installers to realize efficiencies in the installation process. During fiscal 2011 and fiscal 2012, we reduced headcounts and improved production product flow through reengineering of our assembly stations.</w:t>
      </w:r>
    </w:p>
    <w:p>
      <w:pPr>
        <w:spacing w:after="0" w:line="121"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has been, and will continue to be, affected by the relative levels of our total revenue and our total cost of revenue, and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our gross profit may be subject to quarterly variation. Our gross profit as a percentage of total revenue, or gross margin, is affected by a number of factors, including: (i) our level of solar PV sales which generally have lower relative gross margins than our traditional energy management systems; (ii) our mix of large retrofit and multi-facility roll-out projects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with national accounts; (iii) the level of our wholesale and partner sales (which generally have historically resulted in lower relative gross margins, but higher relative net margins, than our sales to direct customers); (iv) our realization rate on our billable services; (v) our project pricing; (vi) our level of warranty claims;</w:t>
      </w:r>
    </w:p>
    <w:p>
      <w:pPr>
        <w:ind w:right="80" w:firstLine="8"/>
        <w:spacing w:after="0" w:line="323" w:lineRule="auto"/>
        <w:tabs>
          <w:tab w:leader="none" w:pos="346"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level of utilization of our manufacturing facilities and production equipment and related absorption of our manufacturing overhead costs; (viii) our level of efficiencies in our manufacturing operations; and (ix) our level of efficiencies from our subcontracted installation service providers.</w:t>
      </w:r>
    </w:p>
    <w:p>
      <w:pPr>
        <w:spacing w:after="0" w:line="9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Our operating expenses consist of: (i) general and administrative expenses; (ii) sales and marketing expenses; and (iii)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expenses. Personnel related costs are our largest operating expense. In fiscal 2012, we increased headcount in our sales areas for telemarketing and direct sales employees. In fiscal 2013, we expect to continue to selectively increase headcount in our sales areas.</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 (iv) professional services fees; (v) technology related costs and amortization; (vi) bad debt and asset impairment charges; and (vii) corporate-related travel.</w:t>
      </w:r>
    </w:p>
    <w:p>
      <w:pPr>
        <w:spacing w:after="0" w:line="14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10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fiscal 2012, we invested in sales expansion initiatives, including the creation of a telemarketing call center for the purpose of customer lead generation, the establishment of a sales office and hiring of personnel in Houston, Texas and headcount additions to our retail sales force and our Engineered Systems Division. We expense all pre-sale costs incurred in connection with our sales process prior to obtaining a purchase order. These pre-sale costs may reduce our net income in a given period prior to recognizing any corresponding revenue. For fiscal 2013, we intend to continue to invest in headcount additions to our telemarketing call center and may add selectively to our retail sales force dependent upon geographic market opportunities and availability of sales talent. We also intend to continue investing in our research and development of new and enhanced energy management products and services.</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recognize compensation expense for the fair value of our stock option and restricted stock awards granted over their related vesting period. We recognized $0.4 million for both the first quarter of fiscal 2013 and fiscal 2012. As a result of prior option and restricted stock grants, we expect to recognize an additional $4.2 million of stock-based compensation over a weighted average period of approximately seven years, including $1.0 million over the remaining quarters of fiscal 2013.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4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previously incurred financing costs. We amortize deferred financing costs to interest expense over the life of the related debt instrument, ranging from two to ten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We report interest income earned from our financed OTA contracts and on our cash and cash equivalents and short term investments.</w:t>
      </w:r>
    </w:p>
    <w:p>
      <w:pPr>
        <w:spacing w:after="0" w:line="194" w:lineRule="exact"/>
        <w:rPr>
          <w:sz w:val="20"/>
          <w:szCs w:val="20"/>
          <w:color w:val="auto"/>
        </w:rPr>
      </w:pPr>
    </w:p>
    <w:p>
      <w:pPr>
        <w:jc w:val="both"/>
        <w:ind w:right="120" w:firstLine="456"/>
        <w:spacing w:after="0" w:line="318"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As of June 30, 2012, we had net operating loss carryforwards of approximately $10.3 million for federal tax purposes and $5.9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state tax purposes. Included in these loss carryforwards were $3.2 million for federal and $2.3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$1.1 million and state credit carryforwards of approximately $0.4</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million. A full valuation allowance has been set up for the state tax credits. We believe it is more likely than not that we will realize the benefits of most of these assets and we have reserved for an allowance due to our state apportioned income and the potential expiration of the state tax credits due to the carryforward period. These federal and state net operating losses and credit carryforwards are available, subject to the discussion in the following paragraph, to offset future taxable income and, if not utilized, will begin to expire in varying amounts between 2019 and 2032.</w:t>
      </w:r>
    </w:p>
    <w:p>
      <w:pPr>
        <w:spacing w:after="0" w:line="11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There was no limitation that occurred for fiscal 2011 or fiscal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7"/>
              </w:rPr>
              <w:t>Three Months Ended June 30,</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Revenue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17,361</w:t>
            </w:r>
          </w:p>
        </w:tc>
        <w:tc>
          <w:tcPr>
            <w:tcW w:w="3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w:t>
            </w:r>
          </w:p>
        </w:tc>
        <w:tc>
          <w:tcPr>
            <w:tcW w:w="16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$13,580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1,730</w:t>
            </w:r>
          </w:p>
        </w:tc>
        <w:tc>
          <w:tcPr>
            <w:tcW w:w="4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18,221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11,592</w:t>
            </w:r>
          </w:p>
        </w:tc>
        <w:tc>
          <w:tcPr>
            <w:tcW w:w="30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63.6%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9,597</w:t>
            </w:r>
          </w:p>
        </w:tc>
        <w:tc>
          <w:tcPr>
            <w:tcW w:w="4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62.7%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115.4%</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12,214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10,937</w:t>
            </w:r>
          </w:p>
        </w:tc>
        <w:tc>
          <w:tcPr>
            <w:tcW w:w="4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71.4%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3,075</w:t>
            </w:r>
          </w:p>
        </w:tc>
        <w:tc>
          <w:tcPr>
            <w:tcW w:w="30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16.9%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3,302</w:t>
            </w:r>
          </w:p>
        </w:tc>
        <w:tc>
          <w:tcPr>
            <w:tcW w:w="4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21.6%</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697</w:t>
            </w:r>
          </w:p>
        </w:tc>
        <w:tc>
          <w:tcPr>
            <w:tcW w:w="4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(1,465)</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(3,578)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(0.5)%</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(161)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Dividend and 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(1,398)</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(7.7)%</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(3,514)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(23.0)%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(1,574)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159.7%</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(792)</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(4.3)%</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 (1,940)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decreased from $17.4 million for the fiscal 2012 first quarter to $13.6 million for the fiscal 2013 first quarter, a decrease of $3.8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22%. The decrease in product revenue was a result of decreased sales of our energy management products due to a difficult capital spending environment. Service revenue increased from $0.9 million for the fiscal 2012 first quarter to $1.7 million for the fiscal 2013 first quarter, an increase of $0.8 million, or 101%. The increase in service revenues was a result of the increase in sales of solar photovoltaic, or PV, systems and the related installation revenue as total revenue from solar PV systems was $2.7 million for the fiscal 2013 first quarter compared to $1.2 million for the fiscal 2012 first quarter. We believe that our HIF energy efficiency business continues to be challenged by a difficult capital spending environment. Accordingly, we believe that the opportunity for our OTA financed sales will increase during fiscal 2013.</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Our cost of product revenue decreased from $11.6 million for the fiscal 2012 first quarter to $9.6 million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2013 first quarter, a decrease of $2.0 million, or 17%. Our cost of service revenue increased from $0.6 million for the fiscal 2012 first quarter to $1.3 million for the fiscal 2013 first quarter, an increase of $0.7 million, or 115%. Total gross margin was 33.0% and 28.6% for the fiscal 2012 first quarter and fiscal 2013 first quarter, respectively. The decrease in total gross margin in the first quarter of fiscal 2013 was due to the reduced revenue from sales of our energy management systems and the impact of our fixed manufacturing costs on lower unit volumes of our HIF lighting energy management systems. Gross margins from the sale of our solar PV systems were 34.8% for the fiscal 2013 first quarter and our gross margins from the sale of our HIF energy management systems were 27.2% for the fiscal 2013 first quarter.</w:t>
      </w:r>
    </w:p>
    <w:p>
      <w:pPr>
        <w:spacing w:after="0" w:line="14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from $3.1 million for the fiscal 2012 first quarter to $3.3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2013 first quarter, an increase of $0.2 million, or 7%. The increase was a result of increased legal and audit expenses of $0.2 million related to the recent re-audit of our fiscal 2011 financial statements. We do not expect these legal and audit expenses to recur at the same level in future quarters.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increased from $3.8 million for the fiscal 2012 first quarter to $4.0 million for the fiscal 2013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an increase of $0.2 million, or 5%. The increase was a result of our prior year investment into the formation and staffing of our telemarketing function, the establishment and staffing of a Houston technology center, headcount additions for retail sales and sales and project management to support the increase in our solar PV revenue. Total sales and marketing employee headcount was 88 and 112 at June 30, 2011 and June 30, 2012, respectively.</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expenses increased from $0.6 million for the fiscal 2012 first quarter to $0.7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2013 first quarter, an increase of $0.1 million, or 12%. The increase in expenses for our fiscal 2013 first quarter was due to increased compensation expenses related to the development of new product offerings, including our light emitting diode, or LED, product and energy management controls initiatives.</w:t>
      </w:r>
    </w:p>
    <w:p>
      <w:pPr>
        <w:spacing w:after="0" w:line="107"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increased from $0.1 million for the fiscal 2012 first quarter to $0.2 million for the fiscal 2013 first quarter,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$0.1 million, or 85%. The increase in interest expense for the fiscal 2013 first quarter was due to the full year impact of additional debt funding completed during fiscal 2012 for the purpose of financing our OTA projects.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increased by $0.1 million for the fiscal 2013 first quarter when compared to the fiscal 2012 first quarter,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46%. Interest income increased due to an increase in the number and dollar amount of completed OTA contracts and the related interest income under the financing terms.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benefit increased from $0.6 million for the fiscal 2012 first quarter to $1.6 million for the fiscal 2013 first quarter,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$1.0 million or 160%. Our effective income tax rate for the fiscal 2012 first quarter was a benefit tax rate of 43.3%, compared to a benefit tax rate of 44.8% for the fiscal 2013 first quarter.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Management Segment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our Energy Management segment operating results: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0"/>
              </w:rPr>
              <w:t>For the Three Months Ended June 30,</w:t>
            </w:r>
          </w:p>
        </w:tc>
      </w:tr>
      <w:tr>
        <w:trPr>
          <w:trHeight w:val="161"/>
        </w:trPr>
        <w:tc>
          <w:tcPr>
            <w:tcW w:w="3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(dollars in thousands)</w:t>
            </w:r>
          </w:p>
        </w:tc>
        <w:tc>
          <w:tcPr>
            <w:tcW w:w="2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r>
      <w:tr>
        <w:trPr>
          <w:trHeight w:val="210"/>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2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1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657</w:t>
            </w:r>
          </w:p>
        </w:tc>
        <w:tc>
          <w:tcPr>
            <w:tcW w:w="520" w:type="dxa"/>
            <w:vAlign w:val="bottom"/>
          </w:tcPr>
          <w:p>
            <w:pPr>
              <w:spacing w:after="0"/>
              <w:rPr>
                <w:sz w:val="18"/>
                <w:szCs w:val="18"/>
                <w:color w:val="auto"/>
              </w:rPr>
            </w:pPr>
          </w:p>
        </w:tc>
        <w:tc>
          <w:tcPr>
            <w:tcW w:w="6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(1,758)</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Energy Management segment revenue decreased $4.4 million, or 26%, from $17.0 million for the fiscal 2012 first quarter to $12.6 million for the fiscal 2013 first quarter. The decrease in revenue for the quarter was due to reduced sales of our HIF lighting systems to our national account and wholesale customers due to a difficult capital spending environment.</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Energy Management segment operating income decreased $2.4 million, or 368%, from income of $0.7 million for the fiscal 2012 first quarter to a loss of $1.8 million for the fiscal 2013 first quarter. The decrease in operating income for the quarter was a result of decreased revenue and the negative gross margin impact of fixed costs in our manufacturing facility on reduced production volumes.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 Segment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our Engineered Systems segment operating results: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3"/>
              </w:rPr>
              <w:t>For the Three Months Ended June 30,</w:t>
            </w:r>
          </w:p>
        </w:tc>
      </w:tr>
      <w:tr>
        <w:trPr>
          <w:trHeight w:val="161"/>
        </w:trPr>
        <w:tc>
          <w:tcPr>
            <w:tcW w:w="3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r>
      <w:tr>
        <w:trPr>
          <w:trHeight w:val="210"/>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26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Operating loss</w:t>
            </w:r>
          </w:p>
        </w:tc>
        <w:tc>
          <w:tcPr>
            <w:tcW w:w="2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(795)</w:t>
            </w:r>
          </w:p>
        </w:tc>
        <w:tc>
          <w:tcPr>
            <w:tcW w:w="7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bl>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Engineered Systems segment revenue increased $1.5 million, or 125%, from $1.2 million for the fiscal 2012 first quarter to $2.7 million for the fiscal 2013 first quarter. The increase was due to increased sales of solar renewable technologies for the fiscal 2013 first quarter and the record level of projects contracted during fiscal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Engineered Systems segment operating loss decreased $0.4 million from $0.8 million for the fiscal 2012 first quarter to $0.4 million for the fiscal 2013 first quarter. The decrease in operating loss for the fiscal 2013 first quarter was a result of the increased revenue volume and resulting contribution margin from sales of solar renewable energy systems.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had approximately $19.0 million in cash and cash equivalents and $1.0 million in short-term investments as of June 30, 2012, compared to $23.0 million and $1.0 million at March 31, 2012. Our cash equivalents are invested in money market accounts with maturities of less than 90 days and an average yield of 0.24%. Our short-term investment account consists of a bank certificate of deposit in the amount of $1.0 million with an expiration date of September 2012 and a yield of 0.50%. Additionally, as of June 30, 2012, we had $13.3 million of borrowing availability under our revolving credit agreement. We also had $1.8 million of availability on our OTA credit agreement, which can be utilized for the sole purpose of funding customer OTA projects through September 2012. We did not borrow on the OTA credit agreement during the fiscal 2013 first quarter. We believe that our existing cash and cash equivalents, our anticipated cash flows from operating activities and our borrowing capacity under our revolving credit facility and our OTA credit facility will be sufficient to meet our anticipated cash needs for the remainder of fiscal 2013, dependent upon our growth opportunities with our cash and finance customers.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three months ended June 30, 2011 and 2012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9"/>
              </w:rPr>
              <w:t>Three Months Ended June 30,</w:t>
            </w:r>
          </w:p>
        </w:tc>
        <w:tc>
          <w:tcPr>
            <w:tcW w:w="0" w:type="dxa"/>
            <w:vAlign w:val="bottom"/>
          </w:tcPr>
          <w:p>
            <w:pPr>
              <w:spacing w:after="0"/>
              <w:rPr>
                <w:sz w:val="1"/>
                <w:szCs w:val="1"/>
                <w:color w:val="auto"/>
              </w:rPr>
            </w:pPr>
          </w:p>
        </w:tc>
      </w:tr>
      <w:tr>
        <w:trPr>
          <w:trHeight w:val="161"/>
        </w:trPr>
        <w:tc>
          <w:tcPr>
            <w:tcW w:w="6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vMerge w:val="continue"/>
          </w:tcPr>
          <w:p>
            <w:pPr>
              <w:spacing w:after="0"/>
              <w:rPr>
                <w:sz w:val="19"/>
                <w:szCs w:val="19"/>
                <w:color w:val="auto"/>
              </w:rPr>
            </w:pP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997</w:t>
            </w:r>
          </w:p>
        </w:tc>
        <w:tc>
          <w:tcPr>
            <w:tcW w:w="320" w:type="dxa"/>
            <w:vAlign w:val="bottom"/>
          </w:tcPr>
          <w:p>
            <w:pPr>
              <w:spacing w:after="0"/>
              <w:rPr>
                <w:sz w:val="19"/>
                <w:szCs w:val="19"/>
                <w:color w:val="auto"/>
              </w:rPr>
            </w:pP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provided by operating activities for the fiscal 2013 first quarter was break even and consisted of net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from changes in operating assets and liabilities of $1.9 million offset by a net loss adjusted for non-cash expense items of $1.9 million. Cash provided by working capital improvements was primarily due to a decrease in total accounts receivable of $3.3 million due to customer collections and reduced revenue and a decrease of $1.3 million in inventory due to reduced purchases during the fiscal 2013 first quarter. These benefits were partially offset by a decrease of $2.5 million in accounts payable related to payments made and reduced inventory purchases.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Cash used in operating activities for the first quarter of fiscal 2012 was $0.3 million and consisted of net cash used for changes in operating assets and liabilities of $0.5 million and a net loss adjusted for non-cash expense items of $0.2 million. Cash used for changes in operating assets and liabilities consisted of an increase of $2.9 million in total accounts receivable due to the increase in revenue and OTA finance contracts completed during the quarter and a $2.6 million increase in inventory for purchases of solar panel inventory and increases in our work-in-process and lighting fixture inventories for orders that are expected to ship during the fiscal 2012 second quarter, offset by a $4.0 increase in accounts payable, primarily due to inventory purchases.</w:t>
      </w:r>
    </w:p>
    <w:p>
      <w:pPr>
        <w:spacing w:after="0" w:line="1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 xml:space="preserve">Cash Flows Related to Investing Activities. </w:t>
      </w:r>
      <w:r>
        <w:rPr>
          <w:rFonts w:ascii="Arial" w:cs="Arial" w:eastAsia="Arial" w:hAnsi="Arial"/>
          <w:sz w:val="16"/>
          <w:szCs w:val="16"/>
          <w:color w:val="auto"/>
        </w:rPr>
        <w:t>For the fiscal 2013 first quarter, cash used in investing activities was $1.0 million for capital improvements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our product development, information technology systems, manufacturing improvements and facility investments.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the fiscal 2012 first quarter, cash used in investing activities was $1.0 million. This included a net $1.0 million for capital improvements related to our information technology systems, manufacturing and tooling improvements and facility investments.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For the fiscal 2013 first quarter, cash used in financing activities was $3.1 million. This included $2.5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common share repurchases and $0.7 million for repayment of long-term debt. Cash flows provided by financing activities included $0.1 million received from stock option exercises and for excess tax benefits from stock-based compensation.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fiscal 2012 first quarter, cash flows provided by financing activities were $2.3 million. This included $2.8 million in new debt borrowings to fund OTAs and $0.1 million received from stock option and warrant exercises. Cash flows used in financing activities included $0.3 million for repayment of long-term debt and $0.3 million for excess tax benefits from stock-based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Our net working capital as of June 30, 2012 was $38.5 million, consisting of $59.0 million in current assets and $20.5 million in current liabilities. Our net working capital as of March 31, 2012 was $44.5 million, consisting of $67.2 million in current assets and $22.7 million in current liabilities. Our current accounts receivables decreased from our fiscal 2012 year end by $2.8 million as a result of increased collections and our increased revenues from our solar PV systems.</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Our net collection terms for solar PV sales are typically net 25 days or less versus our 30-60 day collection terms for sales of our lighting and energy management systems. Our inventories decreased from our fiscal 2012 year end by $1.8 million due primarily to a decrease in the level of our fluorescent lamp inventories. During fiscal 2012, we had increased our inventories of fluorescent lamps due to concerns over shortages of rare earth minerals used in the production of fluorescent lamps. We believe that these supply shortage concerns have stabilized, but we continue to monitor them through conversations with our key vendors. Our accounts payable decreased from our fiscal 2012 year end by $2.5 million due to reduced inventory purchases and payments to vendors.</w:t>
      </w:r>
    </w:p>
    <w:p>
      <w:pPr>
        <w:spacing w:after="0" w:line="117"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 credit agreement (Credit Agreement) with JP Morgan Chase Bank, N.A. (JP Morgan). The Credit Agreement provides for a revolving credit facility (Credit Facility) that matures on June 30, 2013 (following the completion of an amendment to extend the maturity date by one year).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and 45% of certain inventory. The Credit Facility contains certain financial covenants, including minimum unencumbered liquidity requirements and requirements that the Company maintain a total liabilities to tangible net worth ratio not to exceed 0.50 to 1.00 as of the last day of any fiscal quarter. The Credit Facility also contains certain restrictions on our ability to make capital or lease expenditures over prescribed limits, incur additional indebtedness, consolidate or merge, guarantee obligations of third parties, make loans or advances, declare or pay any dividend or distribution on our stock, redeem or repurchase shares of our stock or pledge assets. We also may cause JP Morgan to issue letters of credit for our account in the aggregate principal amount of up to $2.0 million, with the dollar amount of each issued letter of credit counting against the overall limit on borrowings under the Credit Facility. As of June 30, 2012, we had outstanding letters of credit totaling $1.7 million, primarily for securing collateral requirements under equipment operating leases. We had no outstanding borrowings under the Credit Facility as of March 31, 2012 or June 30, 2012.</w:t>
      </w:r>
    </w:p>
    <w:p>
      <w:pPr>
        <w:spacing w:after="0" w:line="12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Credit Agreement is secured by a first lien security interest in our accounts receivable, inventory and general intangibles, and a second lien priority in our equipment and fixtures. All OTAs, PPAs, leases, supply agreements and/or similar agreements relating to solar PV and wind turbine systems or facilities, as well as all of our accounts receivable and assets related to the foregoing, are excluded from these liens.</w:t>
      </w:r>
    </w:p>
    <w:p>
      <w:pPr>
        <w:spacing w:after="0" w:line="10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Credit Agreement provides that we have the option to select whether borrowings under the Credit Facility will bear interest at either (i) a daily</w:t>
      </w:r>
    </w:p>
    <w:p>
      <w:pPr>
        <w:spacing w:after="0" w:line="3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borrowing LIBOR rate tied to a one-month maturity or (ii) a LIBOR rate tied to a maturity corresponding to an interest period selected plus, in the case of either</w:t>
      </w:r>
    </w:p>
    <w:p>
      <w:pPr>
        <w:spacing w:after="0" w:line="32" w:lineRule="exact"/>
        <w:rPr>
          <w:sz w:val="20"/>
          <w:szCs w:val="20"/>
          <w:color w:val="auto"/>
        </w:rPr>
      </w:pPr>
    </w:p>
    <w:p>
      <w:pPr>
        <w:ind w:right="220" w:firstLine="8"/>
        <w:spacing w:after="0" w:line="254"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 (ii), a per annum rate spread of 2.00%, 2.50% or 3.00%, depending on the ratio of (A) earnings before interest, taxes, depreciation and amortization less income taxes pain in cash less 50% of depreciation expense to (B) the sum of interest expense paid in cash in respect of indebtedness for borrowed money plus scheduled principal payments made with respect to indebtedness for borrowed money, all as determined for the 12-month period ending as of the end of the applicable fiscal quarter.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must pay a fee of 0.25% on the average daily unused amount of the Credit Facility and a fee of 2.00% on the daily average face amount of undrawn issued letters of credit. The fee on unused amounts is waived if we maintain funds on deposit with JP Morgan or its affiliates above a specified amount. The deposit threshold requirement was met as of June 30,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a credit agreement with JP Morgan that provides us with $5.0 million immediately available to fund completed customer contracts under our OTA finance program and an additional $5.0 million upon our achievement of meeting a trailing 12-month earnings before interest, taxes, depreciation and amortization (EBITDA) target of $8.0 million. We have one-year from the date of the commitment to borrow under the credit agreement. Through June 2012, we have $2.7 million outstanding against the credit agreement. There were no new borrowings during the first quarter of fiscal 2013. The borrowing is collateralized by the OTA-related equipment and the expected future monthly payments under the supporting 39 individual OTA customer contracts. The current borrowing under the credit agreement bears interest at LIBOR plus 4% and matures in December 2016. The credit agreement includes certain financial covenants, including funded debt to EBITDA and debt service coverage ratios. We were in compliance with all covenants in the credit agreement as of June 30,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Capital expenditures totaled $1.0 million for the fiscal 2013 first quarter due to investments in new product development, information technologies, training and research facility additions, as well as facility investments. We expect to incur a total of approximately $3.5 to $3.7 million in capital expenditures during fiscal year 2013, excluding capital to support our OTA contracts. Our capital spending plans predominantly consist of investments in new product development, improvements in our manufacturing and corporate facilities and investment in information technology systems. We consider the investments into new product development and information technologies critical to our ability to generate future earnings. We expect to finance these capital expenditures primarily through our existing cash, equipment secured loans and leases, to the extent needed, long-term debt financing, or by using our available capacity under our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summary of our long-term contractual obligations as of June 30, 2012 (dollars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Less than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w w:val="85"/>
              </w:rPr>
              <w:t>1 Year</w:t>
            </w: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1-3 Years</w:t>
            </w:r>
          </w:p>
        </w:tc>
        <w:tc>
          <w:tcPr>
            <w:tcW w:w="2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Bank debt obligations</w:t>
            </w:r>
          </w:p>
        </w:tc>
        <w:tc>
          <w:tcPr>
            <w:tcW w:w="2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Cash interest payments on debt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1,171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1,638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Purchase order and cap-ex commitments(1)</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15,989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33,334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11,102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2,645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non-cancellable purchase order commitments in the amount of $16.0 million for certain inventory items entered into in order to secure better pricing and ensure materials on hand.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2012. There have been no material changes in any of our accounting policies since March 31,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exposure to market risk was discussed in the “Quantitative and Qualitative Disclosures About Market Risk” section contained in our Annual Report on Form 10-K for the year ended March 31, 2012. There have been no material changes to such exposures since March 31,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2012 pursuant to Rule 13a-15(b) of the Securities Exchange Act of 1934 (the “Exchange Act”). Our Chief Executive Officer and our Chief Financial Officer have concluded that our disclosure controls and procedures were effective as of June 30,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first quarter of fiscal 2013, we made changes to our internal control structure resulting from the completion of our remediation plan described in our fiscal 2012 Form 10-K. During the first quarter of fiscal 2013, we developed and implemented a new sub-certification process with our management group in order to identify new revenue sources and identify legal contractual terms and conditions revisions that could impact revenue recognition. We believe that these new processes have effectively remediated the material weaknesses in internal controls previously identified in our fiscal 2012 Form 10-K. There were no other changes in our internal control over financial reporting that occurred during the quarter ended June 30, 2012 that has materially affected, or is reasonably likely to materially affect, our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2012, which we filed with the SEC on June 14, 2012. During the three months ended ended June 30, 2012, there were no material changes to the risk factors that were disclosed in Part I — Item 1A under the heading “Risk Factors” in our Annual Report on Form 10-K for the fiscal year ended March 31,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stock repurchases for the three-month period ended June 30,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Total Number of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36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Approximate Dollar Value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36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of Shares that May Yet Be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2"/>
              </w:rPr>
              <w:t>Period</w:t>
            </w:r>
          </w:p>
        </w:tc>
        <w:tc>
          <w:tcPr>
            <w:tcW w:w="2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700" w:type="dxa"/>
            <w:vAlign w:val="bottom"/>
          </w:tcPr>
          <w:p>
            <w:pPr>
              <w:spacing w:after="0"/>
              <w:rPr>
                <w:sz w:val="12"/>
                <w:szCs w:val="12"/>
                <w:color w:val="auto"/>
              </w:rPr>
            </w:pPr>
          </w:p>
        </w:tc>
        <w:tc>
          <w:tcPr>
            <w:tcW w:w="15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Purchased Under the</w:t>
            </w:r>
          </w:p>
        </w:tc>
        <w:tc>
          <w:tcPr>
            <w:tcW w:w="0" w:type="dxa"/>
            <w:vAlign w:val="bottom"/>
          </w:tcPr>
          <w:p>
            <w:pPr>
              <w:spacing w:after="0"/>
              <w:rPr>
                <w:sz w:val="1"/>
                <w:szCs w:val="1"/>
                <w:color w:val="auto"/>
              </w:rPr>
            </w:pPr>
          </w:p>
        </w:tc>
      </w:tr>
      <w:tr>
        <w:trPr>
          <w:trHeight w:val="168"/>
        </w:trPr>
        <w:tc>
          <w:tcPr>
            <w:tcW w:w="148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12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700" w:type="dxa"/>
            <w:vAlign w:val="bottom"/>
          </w:tcPr>
          <w:p>
            <w:pPr>
              <w:spacing w:after="0"/>
              <w:rPr>
                <w:sz w:val="14"/>
                <w:szCs w:val="14"/>
                <w:color w:val="auto"/>
              </w:rPr>
            </w:pPr>
          </w:p>
        </w:tc>
        <w:tc>
          <w:tcPr>
            <w:tcW w:w="15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Paid per Share</w:t>
            </w:r>
          </w:p>
        </w:tc>
        <w:tc>
          <w:tcPr>
            <w:tcW w:w="15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7"/>
              </w:rPr>
              <w:t>or Programs(1)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7"/>
              </w:rPr>
              <w:t>Plans or Programs(1)</w:t>
            </w:r>
          </w:p>
        </w:tc>
        <w:tc>
          <w:tcPr>
            <w:tcW w:w="0" w:type="dxa"/>
            <w:vAlign w:val="bottom"/>
          </w:tcPr>
          <w:p>
            <w:pPr>
              <w:spacing w:after="0"/>
              <w:rPr>
                <w:sz w:val="1"/>
                <w:szCs w:val="1"/>
                <w:color w:val="auto"/>
              </w:rPr>
            </w:pPr>
          </w:p>
        </w:tc>
      </w:tr>
      <w:tr>
        <w:trPr>
          <w:trHeight w:val="203"/>
        </w:trPr>
        <w:tc>
          <w:tcPr>
            <w:tcW w:w="1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1 - April 30, 2012</w:t>
            </w:r>
          </w:p>
        </w:tc>
        <w:tc>
          <w:tcPr>
            <w:tcW w:w="2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7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2.21</w:t>
            </w:r>
          </w:p>
        </w:tc>
        <w:tc>
          <w:tcPr>
            <w:tcW w:w="7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6,539,000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May 1 - May 31, 2012</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110,000</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2.14</w:t>
            </w:r>
          </w:p>
        </w:tc>
        <w:tc>
          <w:tcPr>
            <w:tcW w:w="70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110,000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6,304,000</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 2012</w:t>
            </w:r>
          </w:p>
        </w:tc>
        <w:tc>
          <w:tcPr>
            <w:tcW w:w="2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969,729</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7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969,729</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4,297,000</w:t>
            </w:r>
          </w:p>
        </w:tc>
        <w:tc>
          <w:tcPr>
            <w:tcW w:w="0" w:type="dxa"/>
            <w:vAlign w:val="bottom"/>
          </w:tcPr>
          <w:p>
            <w:pPr>
              <w:spacing w:after="0"/>
              <w:rPr>
                <w:sz w:val="1"/>
                <w:szCs w:val="1"/>
                <w:color w:val="auto"/>
              </w:rPr>
            </w:pPr>
          </w:p>
        </w:tc>
      </w:tr>
      <w:tr>
        <w:trPr>
          <w:trHeight w:val="221"/>
        </w:trPr>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1,179,729</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1,179,729</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68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April 27, 2012, we announced that our board of directors had authorized the repurchase, in the aggregate, of a maximum of $7.5 million of our outstanding common stock. Unless terminated earlier by resolution of our board of directors, this repurchase program will expire when we have repurchased all shares authorized for repurchase thereunder.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Data</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presents certain statistical data, cumulative from December 1, 2001 through June 30, 2012,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Cumulative From</w:t>
            </w:r>
          </w:p>
        </w:tc>
      </w:tr>
      <w:tr>
        <w:trPr>
          <w:trHeight w:val="149"/>
        </w:trPr>
        <w:tc>
          <w:tcPr>
            <w:tcW w:w="5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December 1, 2001</w:t>
            </w:r>
          </w:p>
        </w:tc>
      </w:tr>
      <w:tr>
        <w:trPr>
          <w:trHeight w:val="161"/>
        </w:trPr>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Through June 30, 2012</w:t>
            </w:r>
          </w:p>
        </w:tc>
      </w:tr>
      <w:tr>
        <w:trPr>
          <w:trHeight w:val="142"/>
        </w:trPr>
        <w:tc>
          <w:tcPr>
            <w:tcW w:w="5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(in thousands, unaudited)</w:t>
            </w:r>
          </w:p>
        </w:tc>
        <w:tc>
          <w:tcPr>
            <w:tcW w:w="6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HIF lighting systems sold (1)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Total units sold (including HIF lighting systems)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3,195</w:t>
            </w:r>
          </w:p>
        </w:tc>
        <w:tc>
          <w:tcPr>
            <w:tcW w:w="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kilowatt demand reduction (2)</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Customer kilowatt hours saved (2)(3)</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21,981,743</w:t>
            </w:r>
          </w:p>
        </w:tc>
        <w:tc>
          <w:tcPr>
            <w:tcW w:w="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electricity costs saved (4)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1,692,280</w:t>
            </w:r>
          </w:p>
        </w:tc>
        <w:tc>
          <w:tcPr>
            <w:tcW w:w="60" w:type="dxa"/>
            <w:vAlign w:val="bottom"/>
            <w:shd w:val="clear" w:color="auto" w:fill="CCEEFF"/>
          </w:tcPr>
          <w:p>
            <w:pPr>
              <w:spacing w:after="0"/>
              <w:rPr>
                <w:sz w:val="18"/>
                <w:szCs w:val="18"/>
                <w:color w:val="auto"/>
              </w:rPr>
            </w:pPr>
          </w:p>
        </w:tc>
      </w:tr>
      <w:tr>
        <w:trPr>
          <w:trHeight w:val="208"/>
        </w:trPr>
        <w:tc>
          <w:tcPr>
            <w:tcW w:w="5500" w:type="dxa"/>
            <w:vAlign w:val="bottom"/>
          </w:tcPr>
          <w:p>
            <w:pPr>
              <w:spacing w:after="0"/>
              <w:rPr>
                <w:sz w:val="20"/>
                <w:szCs w:val="20"/>
                <w:color w:val="auto"/>
              </w:rPr>
            </w:pPr>
            <w:r>
              <w:rPr>
                <w:rFonts w:ascii="Arial" w:cs="Arial" w:eastAsia="Arial" w:hAnsi="Arial"/>
                <w:sz w:val="18"/>
                <w:szCs w:val="18"/>
                <w:color w:val="auto"/>
              </w:rPr>
              <w:t>Indirect carbon dioxide emission reductions from customers’ energy</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500" w:type="dxa"/>
            <w:vAlign w:val="bottom"/>
          </w:tcPr>
          <w:p>
            <w:pPr>
              <w:ind w:left="220"/>
              <w:spacing w:after="0"/>
              <w:rPr>
                <w:sz w:val="20"/>
                <w:szCs w:val="20"/>
                <w:color w:val="auto"/>
              </w:rPr>
            </w:pPr>
            <w:r>
              <w:rPr>
                <w:rFonts w:ascii="Arial" w:cs="Arial" w:eastAsia="Arial" w:hAnsi="Arial"/>
                <w:sz w:val="18"/>
                <w:szCs w:val="18"/>
                <w:color w:val="auto"/>
              </w:rPr>
              <w:t>savings (tons) (5)</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14,511</w:t>
            </w:r>
          </w:p>
        </w:tc>
        <w:tc>
          <w:tcPr>
            <w:tcW w:w="60" w:type="dxa"/>
            <w:vAlign w:val="bottom"/>
          </w:tcPr>
          <w:p>
            <w:pPr>
              <w:spacing w:after="0"/>
              <w:rPr>
                <w:sz w:val="19"/>
                <w:szCs w:val="19"/>
                <w:color w:val="auto"/>
              </w:rPr>
            </w:pPr>
          </w:p>
        </w:tc>
      </w:tr>
      <w:tr>
        <w:trPr>
          <w:trHeight w:val="218"/>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Square footage retrofitted (6)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1,210,790</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15"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3.2 million units).</w:t>
      </w:r>
    </w:p>
    <w:p>
      <w:pPr>
        <w:spacing w:after="0" w:line="6"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calculate the number of kilowatt hours saved on a cumulative basis by assuming the demand (kW) reduction for each fixture and assuming that each such unit has averaged 7,500 annual operating hours since its installation.</w:t>
      </w:r>
    </w:p>
    <w:p>
      <w:pPr>
        <w:ind w:left="460" w:right="8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calculate our customers’ electricity costs saved by multiplying the cumulative total customer kilowatt hours saved indicated in the table by $0.077 per kilowatt hour. The national average rate for 2011, which is the most current full year for which this information is available, was $0.1002 per kilowatt hour according to the United States Energy Information Administration.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80" w:hanging="452"/>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w:t>
      </w:r>
    </w:p>
    <w:p>
      <w:pPr>
        <w:ind w:left="46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3.2 million total units sold, which contain a total of approximately 16.0 million lamps. Each lamp illuminates approximately 75 square feet. The majority of our installed fixtures contain six lamps and typically illuminate approximately 450 square feet.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10.1</w:t>
            </w:r>
          </w:p>
        </w:tc>
        <w:tc>
          <w:tcPr>
            <w:tcW w:w="10260" w:type="dxa"/>
            <w:vAlign w:val="bottom"/>
          </w:tcPr>
          <w:p>
            <w:pPr>
              <w:ind w:left="240"/>
              <w:spacing w:after="0"/>
              <w:rPr>
                <w:sz w:val="20"/>
                <w:szCs w:val="20"/>
                <w:color w:val="auto"/>
              </w:rPr>
            </w:pPr>
            <w:r>
              <w:rPr>
                <w:rFonts w:ascii="Arial" w:cs="Arial" w:eastAsia="Arial" w:hAnsi="Arial"/>
                <w:sz w:val="18"/>
                <w:szCs w:val="18"/>
                <w:color w:val="auto"/>
              </w:rPr>
              <w:t>Summary of Non-Employee Director Compensation. +</w:t>
            </w:r>
          </w:p>
        </w:tc>
      </w:tr>
      <w:tr>
        <w:trPr>
          <w:trHeight w:val="324"/>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10.2</w:t>
            </w:r>
          </w:p>
        </w:tc>
        <w:tc>
          <w:tcPr>
            <w:tcW w:w="10260" w:type="dxa"/>
            <w:vAlign w:val="bottom"/>
          </w:tcPr>
          <w:p>
            <w:pPr>
              <w:ind w:left="240"/>
              <w:spacing w:after="0"/>
              <w:rPr>
                <w:sz w:val="20"/>
                <w:szCs w:val="20"/>
                <w:color w:val="auto"/>
              </w:rPr>
            </w:pPr>
            <w:r>
              <w:rPr>
                <w:rFonts w:ascii="Arial" w:cs="Arial" w:eastAsia="Arial" w:hAnsi="Arial"/>
                <w:sz w:val="18"/>
                <w:szCs w:val="18"/>
                <w:color w:val="auto"/>
              </w:rPr>
              <w:t>Form of Restricted Stock Award Agreement under the Orion Energy Systems, Inc. 2004 Stock and Incentive Awards Plan. +</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31.1</w:t>
            </w:r>
          </w:p>
        </w:tc>
        <w:tc>
          <w:tcPr>
            <w:tcW w:w="10260" w:type="dxa"/>
            <w:vAlign w:val="bottom"/>
          </w:tcPr>
          <w:p>
            <w:pPr>
              <w:ind w:left="240"/>
              <w:spacing w:after="0"/>
              <w:rPr>
                <w:sz w:val="20"/>
                <w:szCs w:val="20"/>
                <w:color w:val="auto"/>
              </w:rPr>
            </w:pPr>
            <w:r>
              <w:rPr>
                <w:rFonts w:ascii="Arial" w:cs="Arial" w:eastAsia="Arial" w:hAnsi="Arial"/>
                <w:sz w:val="18"/>
                <w:szCs w:val="18"/>
                <w:color w:val="auto"/>
                <w:w w:val="90"/>
              </w:rPr>
              <w:t>Certification of Chief Executive Officer of Orion Energy Systems, Inc. pursuant to Rule 13a-14(a) or Rule 15d-14(a) promulgated under the</w:t>
            </w:r>
          </w:p>
        </w:tc>
      </w:tr>
      <w:tr>
        <w:trPr>
          <w:trHeight w:val="222"/>
        </w:trPr>
        <w:tc>
          <w:tcPr>
            <w:tcW w:w="920" w:type="dxa"/>
            <w:vAlign w:val="bottom"/>
          </w:tcPr>
          <w:p>
            <w:pPr>
              <w:spacing w:after="0"/>
              <w:rPr>
                <w:sz w:val="19"/>
                <w:szCs w:val="19"/>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31.2</w:t>
            </w:r>
          </w:p>
        </w:tc>
        <w:tc>
          <w:tcPr>
            <w:tcW w:w="10260" w:type="dxa"/>
            <w:vAlign w:val="bottom"/>
          </w:tcPr>
          <w:p>
            <w:pPr>
              <w:ind w:left="240"/>
              <w:spacing w:after="0"/>
              <w:rPr>
                <w:sz w:val="20"/>
                <w:szCs w:val="20"/>
                <w:color w:val="auto"/>
              </w:rPr>
            </w:pPr>
            <w:r>
              <w:rPr>
                <w:rFonts w:ascii="Arial" w:cs="Arial" w:eastAsia="Arial" w:hAnsi="Arial"/>
                <w:sz w:val="18"/>
                <w:szCs w:val="18"/>
                <w:color w:val="auto"/>
                <w:w w:val="91"/>
              </w:rPr>
              <w:t>Certification of Chief Financial Officer of Orion Energy Systems, Inc. pursuant to Rule 13a-14(a) or Rule 15d-14(a) promulgated under the</w:t>
            </w:r>
          </w:p>
        </w:tc>
      </w:tr>
      <w:tr>
        <w:trPr>
          <w:trHeight w:val="222"/>
        </w:trPr>
        <w:tc>
          <w:tcPr>
            <w:tcW w:w="920" w:type="dxa"/>
            <w:vAlign w:val="bottom"/>
          </w:tcPr>
          <w:p>
            <w:pPr>
              <w:spacing w:after="0"/>
              <w:rPr>
                <w:sz w:val="19"/>
                <w:szCs w:val="19"/>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32.1</w:t>
            </w:r>
          </w:p>
        </w:tc>
        <w:tc>
          <w:tcPr>
            <w:tcW w:w="10260" w:type="dxa"/>
            <w:vAlign w:val="bottom"/>
          </w:tcPr>
          <w:p>
            <w:pPr>
              <w:ind w:left="240"/>
              <w:spacing w:after="0"/>
              <w:rPr>
                <w:sz w:val="20"/>
                <w:szCs w:val="20"/>
                <w:color w:val="auto"/>
              </w:rPr>
            </w:pPr>
            <w:r>
              <w:rPr>
                <w:rFonts w:ascii="Arial" w:cs="Arial" w:eastAsia="Arial" w:hAnsi="Arial"/>
                <w:sz w:val="18"/>
                <w:szCs w:val="18"/>
                <w:color w:val="auto"/>
                <w:w w:val="89"/>
              </w:rPr>
              <w:t>Certification of Chief Executive Officer of Orion Energy Systems, Inc. pursuant to Rule 13a-14(b) promulgated under the Securities Exchange</w:t>
            </w:r>
          </w:p>
        </w:tc>
      </w:tr>
      <w:tr>
        <w:trPr>
          <w:trHeight w:val="222"/>
        </w:trPr>
        <w:tc>
          <w:tcPr>
            <w:tcW w:w="920" w:type="dxa"/>
            <w:vAlign w:val="bottom"/>
          </w:tcPr>
          <w:p>
            <w:pPr>
              <w:spacing w:after="0"/>
              <w:rPr>
                <w:sz w:val="19"/>
                <w:szCs w:val="19"/>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w w:val="98"/>
              </w:rPr>
              <w:t>Act of 1934, as amended, and 18 U.S.C. Section 1350, as adopted pursuant to Section 906 of the Sarbanes-Oxley Act of 2002.</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32.2</w:t>
            </w:r>
          </w:p>
        </w:tc>
        <w:tc>
          <w:tcPr>
            <w:tcW w:w="10260" w:type="dxa"/>
            <w:vAlign w:val="bottom"/>
          </w:tcPr>
          <w:p>
            <w:pPr>
              <w:ind w:left="240"/>
              <w:spacing w:after="0"/>
              <w:rPr>
                <w:sz w:val="20"/>
                <w:szCs w:val="20"/>
                <w:color w:val="auto"/>
              </w:rPr>
            </w:pPr>
            <w:r>
              <w:rPr>
                <w:rFonts w:ascii="Arial" w:cs="Arial" w:eastAsia="Arial" w:hAnsi="Arial"/>
                <w:sz w:val="18"/>
                <w:szCs w:val="18"/>
                <w:color w:val="auto"/>
                <w:w w:val="89"/>
              </w:rPr>
              <w:t>Certification of Chief Financial Officer of Orion Energy Systems, Inc. pursuant to Rule 13a-14(b) promulgated under the Securities Exchange</w:t>
            </w:r>
          </w:p>
        </w:tc>
      </w:tr>
      <w:tr>
        <w:trPr>
          <w:trHeight w:val="222"/>
        </w:trPr>
        <w:tc>
          <w:tcPr>
            <w:tcW w:w="920" w:type="dxa"/>
            <w:vAlign w:val="bottom"/>
          </w:tcPr>
          <w:p>
            <w:pPr>
              <w:spacing w:after="0"/>
              <w:rPr>
                <w:sz w:val="19"/>
                <w:szCs w:val="19"/>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w w:val="98"/>
              </w:rPr>
              <w:t>Act of 1934, as amended, and 18 U.S.C. Section 1350, as adopted pursuant 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9,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ORION ENERGY SYSTEMS,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Scott R. Jensen</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Chief Financial Officer, Chief Accounting Officer and</w:t>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(Principal Financial Officer and Authorized Signatory)</w:t>
      </w:r>
    </w:p>
    <w:p>
      <w:pPr>
        <w:spacing w:after="0" w:line="18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240" w:top="459" w:right="6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Exhibit Index to Form 10-Q for the Period Ended June 30, 2012</w:t>
            </w:r>
          </w:p>
        </w:tc>
      </w:tr>
      <w:tr>
        <w:trPr>
          <w:trHeight w:val="20"/>
        </w:trPr>
        <w:tc>
          <w:tcPr>
            <w:tcW w:w="9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37"/>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10.1</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Summary of Non-Employee Director Compensation. +</w:t>
            </w:r>
          </w:p>
        </w:tc>
      </w:tr>
      <w:tr>
        <w:trPr>
          <w:trHeight w:val="324"/>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10.2</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Form of Restricted Stock Award Agreement under the Orion Energy Systems, Inc. 2004 Stock and Incentive Awards Plan. +</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31.1</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of Chief Executive Officer of Orion Energy Systems, Inc. pursuant to Rule 13a-14(a) or Rule 15d-14(a) promulgated under the</w:t>
            </w:r>
          </w:p>
        </w:tc>
      </w:tr>
      <w:tr>
        <w:trPr>
          <w:trHeight w:val="222"/>
        </w:trPr>
        <w:tc>
          <w:tcPr>
            <w:tcW w:w="92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31.2</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1"/>
              </w:rPr>
              <w:t>Certification of Chief Financial Officer of Orion Energy Systems, Inc. pursuant to Rule 13a-14(a) or Rule 15d-14(a) promulgated under the</w:t>
            </w:r>
          </w:p>
        </w:tc>
      </w:tr>
      <w:tr>
        <w:trPr>
          <w:trHeight w:val="222"/>
        </w:trPr>
        <w:tc>
          <w:tcPr>
            <w:tcW w:w="92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32.1</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89"/>
              </w:rPr>
              <w:t>Certification of Chief Executive Officer of Orion Energy Systems, Inc. pursuant to Rule 13a-14(b) promulgated under the Securities Exchange</w:t>
            </w:r>
          </w:p>
        </w:tc>
      </w:tr>
      <w:tr>
        <w:trPr>
          <w:trHeight w:val="222"/>
        </w:trPr>
        <w:tc>
          <w:tcPr>
            <w:tcW w:w="92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8"/>
              </w:rPr>
              <w:t>Act of 1934, as amended, and 18 U.S.C. Section 1350, as adopted pursuant to Section 906 of the Sarbanes-Oxley Act of 2002.</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32.2</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89"/>
              </w:rPr>
              <w:t>Certification of Chief Financial Officer of Orion Energy Systems, Inc. pursuant to Rule 13a-14(b) promulgated under the Securities Exchange</w:t>
            </w:r>
          </w:p>
        </w:tc>
      </w:tr>
      <w:tr>
        <w:trPr>
          <w:trHeight w:val="222"/>
        </w:trPr>
        <w:tc>
          <w:tcPr>
            <w:tcW w:w="92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8"/>
              </w:rPr>
              <w:t>Act of 1934, as amended, and 18 U.S.C. Section 1350, as adopted pursuant 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7480" w:type="dxa"/>
            <w:vAlign w:val="bottom"/>
          </w:tcPr>
          <w:p>
            <w:pPr>
              <w:ind w:left="6380"/>
              <w:spacing w:after="0"/>
              <w:rPr>
                <w:sz w:val="20"/>
                <w:szCs w:val="20"/>
                <w:color w:val="auto"/>
              </w:rPr>
            </w:pPr>
            <w:r>
              <w:rPr>
                <w:rFonts w:ascii="Arial" w:cs="Arial" w:eastAsia="Arial" w:hAnsi="Arial"/>
                <w:sz w:val="18"/>
                <w:szCs w:val="18"/>
                <w:b w:val="1"/>
                <w:bCs w:val="1"/>
                <w:color w:val="auto"/>
                <w:w w:val="97"/>
              </w:rPr>
              <w:t>EXHIBIT 10.1</w:t>
            </w:r>
          </w:p>
        </w:tc>
      </w:tr>
      <w:tr>
        <w:trPr>
          <w:trHeight w:val="372"/>
        </w:trPr>
        <w:tc>
          <w:tcPr>
            <w:tcW w:w="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480" w:type="dxa"/>
            <w:vAlign w:val="bottom"/>
          </w:tcPr>
          <w:p>
            <w:pPr>
              <w:jc w:val="center"/>
              <w:ind w:right="3852"/>
              <w:spacing w:after="0"/>
              <w:rPr>
                <w:sz w:val="20"/>
                <w:szCs w:val="20"/>
                <w:color w:val="auto"/>
              </w:rPr>
            </w:pPr>
            <w:r>
              <w:rPr>
                <w:rFonts w:ascii="Arial" w:cs="Arial" w:eastAsia="Arial" w:hAnsi="Arial"/>
                <w:sz w:val="18"/>
                <w:szCs w:val="18"/>
                <w:color w:val="auto"/>
                <w:w w:val="88"/>
              </w:rPr>
              <w:t>Orion Energy Systems, Inc.</w:t>
            </w:r>
          </w:p>
        </w:tc>
      </w:tr>
      <w:tr>
        <w:trPr>
          <w:trHeight w:val="216"/>
        </w:trPr>
        <w:tc>
          <w:tcPr>
            <w:tcW w:w="3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480" w:type="dxa"/>
            <w:vAlign w:val="bottom"/>
          </w:tcPr>
          <w:p>
            <w:pPr>
              <w:jc w:val="center"/>
              <w:ind w:right="3832"/>
              <w:spacing w:after="0"/>
              <w:rPr>
                <w:sz w:val="20"/>
                <w:szCs w:val="20"/>
                <w:color w:val="auto"/>
              </w:rPr>
            </w:pPr>
            <w:r>
              <w:rPr>
                <w:rFonts w:ascii="Arial" w:cs="Arial" w:eastAsia="Arial" w:hAnsi="Arial"/>
                <w:sz w:val="18"/>
                <w:szCs w:val="18"/>
                <w:color w:val="auto"/>
                <w:w w:val="89"/>
              </w:rPr>
              <w:t>Non-Employee Director Compensation Plan</w:t>
            </w:r>
          </w:p>
        </w:tc>
      </w:tr>
      <w:tr>
        <w:trPr>
          <w:trHeight w:val="222"/>
        </w:trPr>
        <w:tc>
          <w:tcPr>
            <w:tcW w:w="3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7480" w:type="dxa"/>
            <w:vAlign w:val="bottom"/>
          </w:tcPr>
          <w:p>
            <w:pPr>
              <w:jc w:val="center"/>
              <w:ind w:right="3832"/>
              <w:spacing w:after="0"/>
              <w:rPr>
                <w:sz w:val="20"/>
                <w:szCs w:val="20"/>
                <w:color w:val="auto"/>
              </w:rPr>
            </w:pPr>
            <w:r>
              <w:rPr>
                <w:rFonts w:ascii="Arial" w:cs="Arial" w:eastAsia="Arial" w:hAnsi="Arial"/>
                <w:sz w:val="18"/>
                <w:szCs w:val="18"/>
                <w:color w:val="auto"/>
                <w:w w:val="89"/>
              </w:rPr>
              <w:t>Updated June 14, 2012 (Effective April 1, 2012)</w:t>
            </w:r>
          </w:p>
        </w:tc>
      </w:tr>
      <w:tr>
        <w:trPr>
          <w:trHeight w:val="419"/>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3620" w:type="dxa"/>
            <w:vAlign w:val="bottom"/>
          </w:tcPr>
          <w:p>
            <w:pPr>
              <w:ind w:left="80"/>
              <w:spacing w:after="0"/>
              <w:rPr>
                <w:sz w:val="20"/>
                <w:szCs w:val="20"/>
                <w:color w:val="auto"/>
              </w:rPr>
            </w:pPr>
            <w:r>
              <w:rPr>
                <w:rFonts w:ascii="Arial" w:cs="Arial" w:eastAsia="Arial" w:hAnsi="Arial"/>
                <w:sz w:val="18"/>
                <w:szCs w:val="18"/>
                <w:color w:val="auto"/>
              </w:rPr>
              <w:t>Annual cash retainer:</w:t>
            </w:r>
          </w:p>
        </w:tc>
        <w:tc>
          <w:tcPr>
            <w:tcW w:w="7480" w:type="dxa"/>
            <w:vAlign w:val="bottom"/>
          </w:tcPr>
          <w:p>
            <w:pPr>
              <w:ind w:left="2120"/>
              <w:spacing w:after="0"/>
              <w:rPr>
                <w:sz w:val="20"/>
                <w:szCs w:val="20"/>
                <w:color w:val="auto"/>
              </w:rPr>
            </w:pPr>
            <w:r>
              <w:rPr>
                <w:rFonts w:ascii="Arial" w:cs="Arial" w:eastAsia="Arial" w:hAnsi="Arial"/>
                <w:sz w:val="18"/>
                <w:szCs w:val="18"/>
                <w:color w:val="auto"/>
              </w:rPr>
              <w:t>$40,000 (cash or stock)</w:t>
            </w:r>
            <w:r>
              <w:rPr>
                <w:rFonts w:ascii="Arial" w:cs="Arial" w:eastAsia="Arial" w:hAnsi="Arial"/>
                <w:sz w:val="11"/>
                <w:szCs w:val="11"/>
                <w:color w:val="auto"/>
              </w:rPr>
              <w:t>1</w:t>
            </w:r>
            <w:r>
              <w:rPr>
                <w:rFonts w:ascii="Arial" w:cs="Arial" w:eastAsia="Arial" w:hAnsi="Arial"/>
                <w:sz w:val="18"/>
                <w:szCs w:val="18"/>
                <w:color w:val="auto"/>
              </w:rPr>
              <w:t xml:space="preserve"> ($10,000 paid quarterly)</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3620" w:type="dxa"/>
            <w:vAlign w:val="bottom"/>
          </w:tcPr>
          <w:p>
            <w:pPr>
              <w:ind w:left="80"/>
              <w:spacing w:after="0"/>
              <w:rPr>
                <w:sz w:val="20"/>
                <w:szCs w:val="20"/>
                <w:color w:val="auto"/>
              </w:rPr>
            </w:pPr>
            <w:r>
              <w:rPr>
                <w:rFonts w:ascii="Arial" w:cs="Arial" w:eastAsia="Arial" w:hAnsi="Arial"/>
                <w:sz w:val="18"/>
                <w:szCs w:val="18"/>
                <w:color w:val="auto"/>
              </w:rPr>
              <w:t>Board meeting fee:</w:t>
            </w:r>
          </w:p>
        </w:tc>
        <w:tc>
          <w:tcPr>
            <w:tcW w:w="7480" w:type="dxa"/>
            <w:vAlign w:val="bottom"/>
          </w:tcPr>
          <w:p>
            <w:pPr>
              <w:ind w:left="2120"/>
              <w:spacing w:after="0"/>
              <w:rPr>
                <w:sz w:val="20"/>
                <w:szCs w:val="20"/>
                <w:color w:val="auto"/>
              </w:rPr>
            </w:pPr>
            <w:r>
              <w:rPr>
                <w:rFonts w:ascii="Arial" w:cs="Arial" w:eastAsia="Arial" w:hAnsi="Arial"/>
                <w:sz w:val="18"/>
                <w:szCs w:val="18"/>
                <w:color w:val="auto"/>
              </w:rPr>
              <w:t>None</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3620" w:type="dxa"/>
            <w:vAlign w:val="bottom"/>
          </w:tcPr>
          <w:p>
            <w:pPr>
              <w:ind w:left="80"/>
              <w:spacing w:after="0"/>
              <w:rPr>
                <w:sz w:val="20"/>
                <w:szCs w:val="20"/>
                <w:color w:val="auto"/>
              </w:rPr>
            </w:pPr>
            <w:r>
              <w:rPr>
                <w:rFonts w:ascii="Arial" w:cs="Arial" w:eastAsia="Arial" w:hAnsi="Arial"/>
                <w:sz w:val="18"/>
                <w:szCs w:val="18"/>
                <w:color w:val="auto"/>
              </w:rPr>
              <w:t>Committee meeting fee</w:t>
            </w:r>
          </w:p>
        </w:tc>
        <w:tc>
          <w:tcPr>
            <w:tcW w:w="7480" w:type="dxa"/>
            <w:vAlign w:val="bottom"/>
          </w:tcPr>
          <w:p>
            <w:pPr>
              <w:ind w:left="2120"/>
              <w:spacing w:after="0"/>
              <w:rPr>
                <w:sz w:val="20"/>
                <w:szCs w:val="20"/>
                <w:color w:val="auto"/>
              </w:rPr>
            </w:pPr>
            <w:r>
              <w:rPr>
                <w:rFonts w:ascii="Arial" w:cs="Arial" w:eastAsia="Arial" w:hAnsi="Arial"/>
                <w:sz w:val="18"/>
                <w:szCs w:val="18"/>
                <w:color w:val="auto"/>
              </w:rPr>
              <w:t>None</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3620" w:type="dxa"/>
            <w:vAlign w:val="bottom"/>
          </w:tcPr>
          <w:p>
            <w:pPr>
              <w:ind w:left="80"/>
              <w:spacing w:after="0"/>
              <w:rPr>
                <w:sz w:val="20"/>
                <w:szCs w:val="20"/>
                <w:color w:val="auto"/>
              </w:rPr>
            </w:pPr>
            <w:r>
              <w:rPr>
                <w:rFonts w:ascii="Arial" w:cs="Arial" w:eastAsia="Arial" w:hAnsi="Arial"/>
                <w:sz w:val="18"/>
                <w:szCs w:val="18"/>
                <w:color w:val="auto"/>
              </w:rPr>
              <w:t>Annual option grant:</w:t>
            </w:r>
          </w:p>
        </w:tc>
        <w:tc>
          <w:tcPr>
            <w:tcW w:w="7480" w:type="dxa"/>
            <w:vAlign w:val="bottom"/>
          </w:tcPr>
          <w:p>
            <w:pPr>
              <w:ind w:left="2120"/>
              <w:spacing w:after="0"/>
              <w:rPr>
                <w:sz w:val="20"/>
                <w:szCs w:val="20"/>
                <w:color w:val="auto"/>
              </w:rPr>
            </w:pPr>
            <w:r>
              <w:rPr>
                <w:rFonts w:ascii="Arial" w:cs="Arial" w:eastAsia="Arial" w:hAnsi="Arial"/>
                <w:sz w:val="18"/>
                <w:szCs w:val="18"/>
                <w:color w:val="auto"/>
              </w:rPr>
              <w:t>$45,000 grant date fair market value</w:t>
            </w:r>
            <w:r>
              <w:rPr>
                <w:rFonts w:ascii="Arial" w:cs="Arial" w:eastAsia="Arial" w:hAnsi="Arial"/>
                <w:sz w:val="11"/>
                <w:szCs w:val="11"/>
                <w:color w:val="auto"/>
              </w:rPr>
              <w:t>2</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3620" w:type="dxa"/>
            <w:vAlign w:val="bottom"/>
          </w:tcPr>
          <w:p>
            <w:pPr>
              <w:ind w:left="80"/>
              <w:spacing w:after="0"/>
              <w:rPr>
                <w:sz w:val="20"/>
                <w:szCs w:val="20"/>
                <w:color w:val="auto"/>
              </w:rPr>
            </w:pPr>
            <w:r>
              <w:rPr>
                <w:rFonts w:ascii="Arial" w:cs="Arial" w:eastAsia="Arial" w:hAnsi="Arial"/>
                <w:sz w:val="18"/>
                <w:szCs w:val="18"/>
                <w:color w:val="auto"/>
              </w:rPr>
              <w:t>Annual Chairman retainer:</w:t>
            </w:r>
          </w:p>
        </w:tc>
        <w:tc>
          <w:tcPr>
            <w:tcW w:w="7480" w:type="dxa"/>
            <w:vAlign w:val="bottom"/>
          </w:tcPr>
          <w:p>
            <w:pPr>
              <w:ind w:left="2120"/>
              <w:spacing w:after="0"/>
              <w:rPr>
                <w:sz w:val="20"/>
                <w:szCs w:val="20"/>
                <w:color w:val="auto"/>
              </w:rPr>
            </w:pPr>
            <w:r>
              <w:rPr>
                <w:rFonts w:ascii="Arial" w:cs="Arial" w:eastAsia="Arial" w:hAnsi="Arial"/>
                <w:sz w:val="18"/>
                <w:szCs w:val="18"/>
                <w:color w:val="auto"/>
              </w:rPr>
              <w:t>$40,000 (cash or stock)</w:t>
            </w:r>
            <w:r>
              <w:rPr>
                <w:rFonts w:ascii="Arial" w:cs="Arial" w:eastAsia="Arial" w:hAnsi="Arial"/>
                <w:sz w:val="11"/>
                <w:szCs w:val="11"/>
                <w:color w:val="auto"/>
              </w:rPr>
              <w:t>1</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3620" w:type="dxa"/>
            <w:vAlign w:val="bottom"/>
          </w:tcPr>
          <w:p>
            <w:pPr>
              <w:ind w:left="80"/>
              <w:spacing w:after="0"/>
              <w:rPr>
                <w:sz w:val="20"/>
                <w:szCs w:val="20"/>
                <w:color w:val="auto"/>
              </w:rPr>
            </w:pPr>
            <w:r>
              <w:rPr>
                <w:rFonts w:ascii="Arial" w:cs="Arial" w:eastAsia="Arial" w:hAnsi="Arial"/>
                <w:sz w:val="18"/>
                <w:szCs w:val="18"/>
                <w:color w:val="auto"/>
              </w:rPr>
              <w:t>Annual Lead Independent Director retainer:</w:t>
            </w:r>
          </w:p>
        </w:tc>
        <w:tc>
          <w:tcPr>
            <w:tcW w:w="7480" w:type="dxa"/>
            <w:vAlign w:val="bottom"/>
          </w:tcPr>
          <w:p>
            <w:pPr>
              <w:ind w:left="2120"/>
              <w:spacing w:after="0"/>
              <w:rPr>
                <w:sz w:val="20"/>
                <w:szCs w:val="20"/>
                <w:color w:val="auto"/>
              </w:rPr>
            </w:pPr>
            <w:r>
              <w:rPr>
                <w:rFonts w:ascii="Arial" w:cs="Arial" w:eastAsia="Arial" w:hAnsi="Arial"/>
                <w:sz w:val="18"/>
                <w:szCs w:val="18"/>
                <w:color w:val="auto"/>
              </w:rPr>
              <w:t>$20,000 (cash or stock)</w:t>
            </w:r>
            <w:r>
              <w:rPr>
                <w:rFonts w:ascii="Arial" w:cs="Arial" w:eastAsia="Arial" w:hAnsi="Arial"/>
                <w:sz w:val="11"/>
                <w:szCs w:val="11"/>
                <w:color w:val="auto"/>
              </w:rPr>
              <w:t>1</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3620" w:type="dxa"/>
            <w:vAlign w:val="bottom"/>
          </w:tcPr>
          <w:p>
            <w:pPr>
              <w:ind w:left="80"/>
              <w:spacing w:after="0"/>
              <w:rPr>
                <w:sz w:val="20"/>
                <w:szCs w:val="20"/>
                <w:color w:val="auto"/>
              </w:rPr>
            </w:pPr>
            <w:r>
              <w:rPr>
                <w:rFonts w:ascii="Arial" w:cs="Arial" w:eastAsia="Arial" w:hAnsi="Arial"/>
                <w:sz w:val="18"/>
                <w:szCs w:val="18"/>
                <w:color w:val="auto"/>
              </w:rPr>
              <w:t>Annual Audit Committee Chairman retainer:</w:t>
            </w:r>
          </w:p>
        </w:tc>
        <w:tc>
          <w:tcPr>
            <w:tcW w:w="7480" w:type="dxa"/>
            <w:vAlign w:val="bottom"/>
          </w:tcPr>
          <w:p>
            <w:pPr>
              <w:ind w:left="2120"/>
              <w:spacing w:after="0"/>
              <w:rPr>
                <w:sz w:val="20"/>
                <w:szCs w:val="20"/>
                <w:color w:val="auto"/>
              </w:rPr>
            </w:pPr>
            <w:r>
              <w:rPr>
                <w:rFonts w:ascii="Arial" w:cs="Arial" w:eastAsia="Arial" w:hAnsi="Arial"/>
                <w:sz w:val="18"/>
                <w:szCs w:val="18"/>
                <w:color w:val="auto"/>
              </w:rPr>
              <w:t>$30,000 (cash or stock)</w:t>
            </w:r>
            <w:r>
              <w:rPr>
                <w:rFonts w:ascii="Arial" w:cs="Arial" w:eastAsia="Arial" w:hAnsi="Arial"/>
                <w:sz w:val="11"/>
                <w:szCs w:val="11"/>
                <w:color w:val="auto"/>
              </w:rPr>
              <w:t>1</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3620" w:type="dxa"/>
            <w:vAlign w:val="bottom"/>
          </w:tcPr>
          <w:p>
            <w:pPr>
              <w:ind w:left="80"/>
              <w:spacing w:after="0"/>
              <w:rPr>
                <w:sz w:val="20"/>
                <w:szCs w:val="20"/>
                <w:color w:val="auto"/>
              </w:rPr>
            </w:pPr>
            <w:r>
              <w:rPr>
                <w:rFonts w:ascii="Arial" w:cs="Arial" w:eastAsia="Arial" w:hAnsi="Arial"/>
                <w:sz w:val="18"/>
                <w:szCs w:val="18"/>
                <w:color w:val="auto"/>
                <w:w w:val="90"/>
              </w:rPr>
              <w:t>Annual Compensation Committee Chair retainer:</w:t>
            </w:r>
          </w:p>
        </w:tc>
        <w:tc>
          <w:tcPr>
            <w:tcW w:w="7480" w:type="dxa"/>
            <w:vAlign w:val="bottom"/>
          </w:tcPr>
          <w:p>
            <w:pPr>
              <w:ind w:left="2120"/>
              <w:spacing w:after="0"/>
              <w:rPr>
                <w:sz w:val="20"/>
                <w:szCs w:val="20"/>
                <w:color w:val="auto"/>
              </w:rPr>
            </w:pPr>
            <w:r>
              <w:rPr>
                <w:rFonts w:ascii="Arial" w:cs="Arial" w:eastAsia="Arial" w:hAnsi="Arial"/>
                <w:sz w:val="18"/>
                <w:szCs w:val="18"/>
                <w:color w:val="auto"/>
              </w:rPr>
              <w:t>$20,000 (cash or stock)</w:t>
            </w:r>
            <w:r>
              <w:rPr>
                <w:rFonts w:ascii="Arial" w:cs="Arial" w:eastAsia="Arial" w:hAnsi="Arial"/>
                <w:sz w:val="11"/>
                <w:szCs w:val="11"/>
                <w:color w:val="auto"/>
              </w:rPr>
              <w:t>1</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3620" w:type="dxa"/>
            <w:vAlign w:val="bottom"/>
          </w:tcPr>
          <w:p>
            <w:pPr>
              <w:ind w:left="80"/>
              <w:spacing w:after="0"/>
              <w:rPr>
                <w:sz w:val="20"/>
                <w:szCs w:val="20"/>
                <w:color w:val="auto"/>
              </w:rPr>
            </w:pPr>
            <w:r>
              <w:rPr>
                <w:rFonts w:ascii="Arial" w:cs="Arial" w:eastAsia="Arial" w:hAnsi="Arial"/>
                <w:sz w:val="18"/>
                <w:szCs w:val="18"/>
                <w:color w:val="auto"/>
                <w:w w:val="95"/>
              </w:rPr>
              <w:t>Annual Governance Committee Chair retainer:</w:t>
            </w:r>
          </w:p>
        </w:tc>
        <w:tc>
          <w:tcPr>
            <w:tcW w:w="7480" w:type="dxa"/>
            <w:vAlign w:val="bottom"/>
          </w:tcPr>
          <w:p>
            <w:pPr>
              <w:ind w:left="2120"/>
              <w:spacing w:after="0"/>
              <w:rPr>
                <w:sz w:val="20"/>
                <w:szCs w:val="20"/>
                <w:color w:val="auto"/>
              </w:rPr>
            </w:pPr>
            <w:r>
              <w:rPr>
                <w:rFonts w:ascii="Arial" w:cs="Arial" w:eastAsia="Arial" w:hAnsi="Arial"/>
                <w:sz w:val="18"/>
                <w:szCs w:val="18"/>
                <w:color w:val="auto"/>
              </w:rPr>
              <w:t xml:space="preserve">$10,000 (cash or stock) </w:t>
            </w:r>
            <w:r>
              <w:rPr>
                <w:rFonts w:ascii="Arial" w:cs="Arial" w:eastAsia="Arial" w:hAnsi="Arial"/>
                <w:sz w:val="11"/>
                <w:szCs w:val="11"/>
                <w:color w:val="auto"/>
              </w:rPr>
              <w:t>1</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3620" w:type="dxa"/>
            <w:vAlign w:val="bottom"/>
          </w:tcPr>
          <w:p>
            <w:pPr>
              <w:ind w:left="80"/>
              <w:spacing w:after="0"/>
              <w:rPr>
                <w:sz w:val="20"/>
                <w:szCs w:val="20"/>
                <w:color w:val="auto"/>
              </w:rPr>
            </w:pPr>
            <w:r>
              <w:rPr>
                <w:rFonts w:ascii="Arial" w:cs="Arial" w:eastAsia="Arial" w:hAnsi="Arial"/>
                <w:sz w:val="18"/>
                <w:szCs w:val="18"/>
                <w:color w:val="auto"/>
              </w:rPr>
              <w:t>Reimburse out-of-pocket expenses:</w:t>
            </w:r>
          </w:p>
        </w:tc>
        <w:tc>
          <w:tcPr>
            <w:tcW w:w="7480" w:type="dxa"/>
            <w:vAlign w:val="bottom"/>
          </w:tcPr>
          <w:p>
            <w:pPr>
              <w:ind w:left="2120"/>
              <w:spacing w:after="0"/>
              <w:rPr>
                <w:sz w:val="20"/>
                <w:szCs w:val="20"/>
                <w:color w:val="auto"/>
              </w:rPr>
            </w:pPr>
            <w:r>
              <w:rPr>
                <w:rFonts w:ascii="Arial" w:cs="Arial" w:eastAsia="Arial" w:hAnsi="Arial"/>
                <w:sz w:val="18"/>
                <w:szCs w:val="18"/>
                <w:color w:val="auto"/>
              </w:rPr>
              <w:t>Yes</w:t>
            </w:r>
          </w:p>
        </w:tc>
      </w:tr>
      <w:tr>
        <w:trPr>
          <w:trHeight w:val="426"/>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3620" w:type="dxa"/>
            <w:vAlign w:val="bottom"/>
          </w:tcPr>
          <w:p>
            <w:pPr>
              <w:ind w:left="80"/>
              <w:spacing w:after="0"/>
              <w:rPr>
                <w:sz w:val="20"/>
                <w:szCs w:val="20"/>
                <w:color w:val="auto"/>
              </w:rPr>
            </w:pPr>
            <w:r>
              <w:rPr>
                <w:rFonts w:ascii="Arial" w:cs="Arial" w:eastAsia="Arial" w:hAnsi="Arial"/>
                <w:sz w:val="18"/>
                <w:szCs w:val="18"/>
                <w:color w:val="auto"/>
              </w:rPr>
              <w:t>New independent director award:</w:t>
            </w:r>
          </w:p>
        </w:tc>
        <w:tc>
          <w:tcPr>
            <w:tcW w:w="7480" w:type="dxa"/>
            <w:vAlign w:val="bottom"/>
          </w:tcPr>
          <w:p>
            <w:pPr>
              <w:ind w:left="2120"/>
              <w:spacing w:after="0"/>
              <w:rPr>
                <w:sz w:val="20"/>
                <w:szCs w:val="20"/>
                <w:color w:val="auto"/>
              </w:rPr>
            </w:pPr>
            <w:r>
              <w:rPr>
                <w:rFonts w:ascii="Arial" w:cs="Arial" w:eastAsia="Arial" w:hAnsi="Arial"/>
                <w:sz w:val="18"/>
                <w:szCs w:val="18"/>
                <w:color w:val="auto"/>
                <w:w w:val="98"/>
              </w:rPr>
              <w:t>TBD cash or equity-based award (but potentially significant to attract</w:t>
            </w:r>
          </w:p>
        </w:tc>
      </w:tr>
      <w:tr>
        <w:trPr>
          <w:trHeight w:val="222"/>
        </w:trPr>
        <w:tc>
          <w:tcPr>
            <w:tcW w:w="3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7480" w:type="dxa"/>
            <w:vAlign w:val="bottom"/>
          </w:tcPr>
          <w:p>
            <w:pPr>
              <w:ind w:left="2120"/>
              <w:spacing w:after="0"/>
              <w:rPr>
                <w:sz w:val="20"/>
                <w:szCs w:val="20"/>
                <w:color w:val="auto"/>
              </w:rPr>
            </w:pPr>
            <w:r>
              <w:rPr>
                <w:rFonts w:ascii="Arial" w:cs="Arial" w:eastAsia="Arial" w:hAnsi="Arial"/>
                <w:sz w:val="18"/>
                <w:szCs w:val="18"/>
                <w:color w:val="auto"/>
              </w:rPr>
              <w:t>highly-qualified additional independent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Form of compensation to be chosen by each individual prior to each fiscal year. Number of shares to be issued on third business day after release of annual (or quarterly, in case of quarterly retainer payments) earnings announcement based on closing price on such date.</w:t>
      </w:r>
    </w:p>
    <w:p>
      <w:pPr>
        <w:ind w:right="180"/>
        <w:spacing w:after="0" w:line="261" w:lineRule="auto"/>
        <w:rPr>
          <w:sz w:val="20"/>
          <w:szCs w:val="20"/>
          <w:color w:val="auto"/>
        </w:rPr>
      </w:pPr>
      <w:r>
        <w:rPr>
          <w:rFonts w:ascii="Arial" w:cs="Arial" w:eastAsia="Arial" w:hAnsi="Arial"/>
          <w:sz w:val="18"/>
          <w:szCs w:val="18"/>
          <w:color w:val="auto"/>
        </w:rPr>
        <w:t>Annual option grant on third business day after annual earnings announcement with exercise price equal to closing sale price on such date – vest 1/3 each year.</w:t>
      </w:r>
    </w:p>
    <w:p>
      <w:pPr>
        <w:sectPr>
          <w:pgSz w:w="11900" w:h="16838" w:orient="portrait"/>
          <w:cols w:equalWidth="0" w:num="2">
            <w:col w:w="60" w:space="400"/>
            <w:col w:w="10960"/>
          </w:cols>
          <w:pgMar w:left="240" w:top="125" w:right="2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STOCK AND INCENTIVE AWARDS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December 24,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Amended October 27, 2010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AWARD AGREEMENT</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THIS AGREEMENT, made and entered into as of June 18, 2012 by and between Orion Energy Systems, Inc., a Wisconsin corporation (the</w:t>
      </w:r>
    </w:p>
    <w:p>
      <w:pPr>
        <w:spacing w:after="0" w:line="15"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“Company”), and</w:t>
      </w:r>
      <w:r>
        <w:rPr>
          <w:sz w:val="20"/>
          <w:szCs w:val="20"/>
          <w:color w:val="auto"/>
        </w:rPr>
        <w:tab/>
      </w:r>
      <w:r>
        <w:rPr>
          <w:rFonts w:ascii="Arial" w:cs="Arial" w:eastAsia="Arial" w:hAnsi="Arial"/>
          <w:sz w:val="16"/>
          <w:szCs w:val="16"/>
          <w:color w:val="auto"/>
        </w:rPr>
        <w:t>(“Grantee”).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The Company maintains the Orion Energy Systems, Inc. 2004 Stock and Incentive Awards Plan, as amended and restated (the “Plan”), and Grantee has been selected by the Committee to receive a Restricted Stock Award under the Plan;</w:t>
      </w:r>
    </w:p>
    <w:p>
      <w:pPr>
        <w:spacing w:after="0" w:line="132"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As a condition to this Restricted Stock Award, Grantee reaffirms and agrees to be bound by the confidentiality, inventions, non-solicitation and non-competition provisions set forth in prior agreements between the Grantee and the Company, which are incorporated by reference herein, in consideration for receipt of the Restricted Stock award pursuant hereto, continued employment, and other good and valuable consideration.</w:t>
      </w:r>
    </w:p>
    <w:p>
      <w:pPr>
        <w:spacing w:after="0" w:line="2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 by and between the Company and Grantee, as follows:</w:t>
      </w:r>
    </w:p>
    <w:p>
      <w:pPr>
        <w:spacing w:after="0" w:line="28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Award of Restricted Stock</w:t>
      </w:r>
    </w:p>
    <w:p>
      <w:pPr>
        <w:spacing w:after="0" w:line="96"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1.1 The Company hereby grants to Grantee an award of shares of restricted stock (“Restricted Stock”), subject to, and in accordance with, the restrictions, terms, and conditions set forth in the Plan and this Agreement. The grant date of this award of Restricted Stock is June 18, 2012 (the “Grant Date”).</w:t>
      </w:r>
    </w:p>
    <w:p>
      <w:pPr>
        <w:spacing w:after="0" w:line="85"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1.2 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40"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1.3 This award of Restricted Stock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 timely accepted by execution or by such electronic means, the award of Restricted Stock may be cancelled by the Committee.</w:t>
      </w:r>
    </w:p>
    <w:p>
      <w:pPr>
        <w:spacing w:after="0" w:line="25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w:t>
      </w:r>
    </w:p>
    <w:p>
      <w:pPr>
        <w:spacing w:after="0" w:line="96" w:lineRule="exact"/>
        <w:rPr>
          <w:sz w:val="20"/>
          <w:szCs w:val="20"/>
          <w:color w:val="auto"/>
        </w:rPr>
      </w:pPr>
    </w:p>
    <w:p>
      <w:pPr>
        <w:ind w:right="300" w:firstLine="913"/>
        <w:spacing w:after="0" w:line="306" w:lineRule="auto"/>
        <w:rPr>
          <w:sz w:val="20"/>
          <w:szCs w:val="20"/>
          <w:color w:val="auto"/>
        </w:rPr>
      </w:pPr>
      <w:r>
        <w:rPr>
          <w:rFonts w:ascii="Arial" w:cs="Arial" w:eastAsia="Arial" w:hAnsi="Arial"/>
          <w:sz w:val="16"/>
          <w:szCs w:val="16"/>
          <w:color w:val="auto"/>
        </w:rPr>
        <w:t>2.1 Subject to the terms of the Plan and this Agreement, if the Grantee remains employed by the Company, the Restricted Stock shall vest twenty percent (20%) per year on each of the first five (5) anniversaries of the Grant Date set forth herein. For purposes of this Agreement, employment with a Subsidiary of the Company or service as a member of the Board of Directors of the Company shall be considered employment with the Company.</w:t>
      </w:r>
    </w:p>
    <w:p>
      <w:pPr>
        <w:spacing w:after="0" w:line="107"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2.2 Subject to vesting in accordance with Section 2.1 and the terms of the Plan and this Agreement, Grantee shall own the vested Restricted Stock free and clear of all restrictions imposed by this Agreement. The Company shall transfer the vested Restricted Stock (less any applicable withholding pursuant to Section 5) to an unrestricted account in the name of the Grantee as soon as practical after each applicable anniversary of the Grant Date.</w:t>
      </w:r>
    </w:p>
    <w:p>
      <w:pPr>
        <w:sectPr>
          <w:pgSz w:w="11900" w:h="16838" w:orient="portrait"/>
          <w:cols w:equalWidth="0" w:num="1">
            <w:col w:w="11420"/>
          </w:cols>
          <w:pgMar w:left="240" w:top="125" w:right="239" w:bottom="1440" w:gutter="0" w:footer="0" w:header="0"/>
        </w:sectPr>
      </w:pPr>
    </w:p>
    <w:bookmarkStart w:id="36" w:name="page37"/>
    <w:bookmarkEnd w:id="36"/>
    <w:p>
      <w:pPr>
        <w:ind w:right="4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 In the event, prior to vesting, (i) Grantee dies while actively employed by the Company, or (ii) Grantee has his or her employment terminated by reason of disability (within the meaning of Section 22(e)(3) of the Internal Revenue Code of 1986, as amended (the “Code”)) (“Disability”), any Restricted Stock shall become fully vested and nonforfeitable as of the date of Grantee’s death or Disability. The Company shall transfer the Restricted Stock, free and clear of any restrictions imposed by this Agreement to Grantee (or, in the event of death, his or her surviving spouse or, if none, to his or her estate) as soon as practical after his or her date of death or termination for Disability.</w:t>
      </w:r>
    </w:p>
    <w:p>
      <w:pPr>
        <w:spacing w:after="0" w:line="143"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2.4 In exchange for receipt of consideration in the form of the Restricted Stock award pursuant to this Agreement,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40"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2.5 Except for death or Disability as provided in Section 2.3, or except as otherwise provided in a severance agreement with Grantee, if Grantee terminates his or her employment or if the Company terminates Grantee prior to vesting, the Restricted Stock shall cease to vest further, the unvested Restricted Stock shall be immediately forfeited, and Grantee shall only be entitled to the Restricted Stock that has vested as of his or her date of termination.</w:t>
      </w:r>
    </w:p>
    <w:p>
      <w:pPr>
        <w:spacing w:after="0" w:line="107"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2.6 Notwithstanding the other provisions of this Agreement, in the event of a Change of Control prior to vesting, all Restricted Stock shall become fully vested and nonforfeitable as of the date of the Change of Control. The Company shall transfer the Restricted Stock that become vested pursuant to this Section 2.6 to an unrestricted account in the name of Grantee as soon as practical after the date of the Change of Control.</w:t>
      </w:r>
    </w:p>
    <w:p>
      <w:pPr>
        <w:spacing w:after="0" w:line="107"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2.7 The Restricted Stock may not be sold, assigned, transferred, pledged, or otherwise encumbered prior to the date Grantee becomes vested in the Restricted Stock,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259"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 Dividends; Voting</w:t>
      </w:r>
    </w:p>
    <w:p>
      <w:pPr>
        <w:spacing w:after="0" w:line="9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3.1 The Restricted Stock shall be registered in the name of Grantee as of the respective Grant Date for such shares of Restricted Stock. The Company may evidence the registration of the Restricted Stock in such manner as the Committee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20" w:lineRule="exact"/>
        <w:rPr>
          <w:sz w:val="20"/>
          <w:szCs w:val="20"/>
          <w:color w:val="auto"/>
        </w:rPr>
      </w:pPr>
    </w:p>
    <w:p>
      <w:pPr>
        <w:ind w:right="220" w:firstLine="913"/>
        <w:spacing w:after="0" w:line="298" w:lineRule="auto"/>
        <w:rPr>
          <w:sz w:val="20"/>
          <w:szCs w:val="20"/>
          <w:color w:val="auto"/>
        </w:rPr>
      </w:pPr>
      <w:r>
        <w:rPr>
          <w:rFonts w:ascii="Arial" w:cs="Arial" w:eastAsia="Arial" w:hAnsi="Arial"/>
          <w:sz w:val="16"/>
          <w:szCs w:val="16"/>
          <w:color w:val="auto"/>
        </w:rPr>
        <w:t>3.2 During the period the Restricted Stock is not vested, the Grantee shall be entitled to receive dividends or similar distributions declared on such Restricted Stock and Grantee shall be entitled to vote such Restricted Stock, in each case so long as the applicable record date occurs prior to a forfeiture of the Restricted Stock. If any such dividends or distributions are paid in shares of the Company’s common stock, the shares shall be subject to the same vesting schedule and restrictions on transferability as the shares of Restricted Stock with respect to which they were paid.</w:t>
      </w:r>
    </w:p>
    <w:p>
      <w:pPr>
        <w:spacing w:after="0" w:line="11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3.3 In the event of a change in capitalization or another corporate event described in Section 6.4 of the Plan, the number and type of shares subject to this Agreement shall be adjusted to the extent provided in Section 6.4 of the Plan.</w:t>
      </w:r>
    </w:p>
    <w:p>
      <w:pPr>
        <w:spacing w:after="0" w:line="248"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Continued Employment or Additional Grants</w:t>
      </w:r>
    </w:p>
    <w:p>
      <w:pPr>
        <w:spacing w:after="0" w:line="96" w:lineRule="exact"/>
        <w:rPr>
          <w:sz w:val="20"/>
          <w:szCs w:val="20"/>
          <w:color w:val="auto"/>
        </w:rPr>
      </w:pPr>
    </w:p>
    <w:p>
      <w:pPr>
        <w:ind w:right="20" w:firstLine="1484"/>
        <w:spacing w:after="0" w:line="256" w:lineRule="auto"/>
        <w:rPr>
          <w:sz w:val="20"/>
          <w:szCs w:val="20"/>
          <w:color w:val="auto"/>
        </w:rPr>
      </w:pPr>
      <w:r>
        <w:rPr>
          <w:rFonts w:ascii="Arial" w:cs="Arial" w:eastAsia="Arial" w:hAnsi="Arial"/>
          <w:sz w:val="18"/>
          <w:szCs w:val="18"/>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The Plan may be terminated at any time, and, even if the Plan is not terminated, Grantee shall not be entitled to any additional awards under the Plan.</w:t>
      </w:r>
    </w:p>
    <w:p>
      <w:pPr>
        <w:sectPr>
          <w:pgSz w:w="11900" w:h="16838" w:orient="portrait"/>
          <w:cols w:equalWidth="0" w:num="1">
            <w:col w:w="11420"/>
          </w:cols>
          <w:pgMar w:left="240" w:top="280" w:right="239" w:bottom="1440" w:gutter="0" w:footer="0" w:header="0"/>
        </w:sectPr>
      </w:pPr>
    </w:p>
    <w:bookmarkStart w:id="37" w:name="page38"/>
    <w:bookmarkEnd w:id="37"/>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 and Withholding</w:t>
      </w:r>
    </w:p>
    <w:p>
      <w:pPr>
        <w:spacing w:after="0" w:line="96"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color w:val="auto"/>
        </w:rPr>
        <w:t>Grantee shall be responsible for all federal, state, local and foreign taxes payable with respect to this award of Restricted Stock and dividends or other distributions paid on such Restricted Stock. Grantee shall have the right to make such elections under the Code as are available in connection with this award of Restricted Stock.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in a manner consistent with the Company’s reporting for income tax purposes. The Company shall have the right to retain and withhold from any payment of Restricted Stock or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w:t>
      </w:r>
    </w:p>
    <w:p>
      <w:pPr>
        <w:spacing w:after="0" w:line="243"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Grantee Bound by the Plan</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Grantee hereby acknowledges receipt of a copy of the Plan and the prospectus for the Plan, and agrees to be bound by all the terms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provisions thereof.</w:t>
      </w:r>
    </w:p>
    <w:p>
      <w:pPr>
        <w:spacing w:after="0" w:line="28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Agreement</w:t>
      </w:r>
    </w:p>
    <w:p>
      <w:pPr>
        <w:spacing w:after="0" w:line="96" w:lineRule="exact"/>
        <w:rPr>
          <w:sz w:val="20"/>
          <w:szCs w:val="20"/>
          <w:color w:val="auto"/>
        </w:rPr>
      </w:pPr>
    </w:p>
    <w:p>
      <w:pPr>
        <w:ind w:right="420" w:firstLine="1484"/>
        <w:spacing w:after="0" w:line="268" w:lineRule="auto"/>
        <w:rPr>
          <w:sz w:val="20"/>
          <w:szCs w:val="20"/>
          <w:color w:val="auto"/>
        </w:rPr>
      </w:pPr>
      <w:r>
        <w:rPr>
          <w:rFonts w:ascii="Arial" w:cs="Arial" w:eastAsia="Arial" w:hAnsi="Arial"/>
          <w:sz w:val="18"/>
          <w:szCs w:val="18"/>
          <w:color w:val="auto"/>
        </w:rPr>
        <w:t>This Agreement may be modified, amended, suspended, or terminated, and any terms or conditions may be waived, but only by mutual agreement of the parties in writing except as otherwise provided in Section 19.1 of the Plan.</w:t>
      </w:r>
    </w:p>
    <w:p>
      <w:pPr>
        <w:spacing w:after="0" w:line="248"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96" w:lineRule="exact"/>
        <w:rPr>
          <w:sz w:val="20"/>
          <w:szCs w:val="20"/>
          <w:color w:val="auto"/>
        </w:rPr>
      </w:pPr>
    </w:p>
    <w:p>
      <w:pPr>
        <w:ind w:right="500" w:firstLine="1484"/>
        <w:spacing w:after="0" w:line="332" w:lineRule="auto"/>
        <w:rPr>
          <w:sz w:val="20"/>
          <w:szCs w:val="20"/>
          <w:color w:val="auto"/>
        </w:rPr>
      </w:pPr>
      <w:r>
        <w:rPr>
          <w:rFonts w:ascii="Arial" w:cs="Arial" w:eastAsia="Arial" w:hAnsi="Arial"/>
          <w:sz w:val="16"/>
          <w:szCs w:val="16"/>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20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60" w:firstLine="1484"/>
        <w:spacing w:after="0" w:line="268" w:lineRule="auto"/>
        <w:rPr>
          <w:sz w:val="20"/>
          <w:szCs w:val="20"/>
          <w:color w:val="auto"/>
        </w:rPr>
      </w:pPr>
      <w:r>
        <w:rPr>
          <w:rFonts w:ascii="Arial" w:cs="Arial" w:eastAsia="Arial" w:hAnsi="Arial"/>
          <w:sz w:val="18"/>
          <w:szCs w:val="18"/>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248"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in Interest</w:t>
      </w:r>
    </w:p>
    <w:p>
      <w:pPr>
        <w:spacing w:after="0" w:line="96" w:lineRule="exact"/>
        <w:rPr>
          <w:sz w:val="20"/>
          <w:szCs w:val="20"/>
          <w:color w:val="auto"/>
        </w:rPr>
      </w:pPr>
    </w:p>
    <w:p>
      <w:pPr>
        <w:ind w:right="100" w:firstLine="1484"/>
        <w:spacing w:after="0" w:line="256" w:lineRule="auto"/>
        <w:rPr>
          <w:sz w:val="20"/>
          <w:szCs w:val="20"/>
          <w:color w:val="auto"/>
        </w:rPr>
      </w:pPr>
      <w:r>
        <w:rPr>
          <w:rFonts w:ascii="Arial" w:cs="Arial" w:eastAsia="Arial" w:hAnsi="Arial"/>
          <w:sz w:val="18"/>
          <w:szCs w:val="18"/>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2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of Disputes</w:t>
      </w:r>
    </w:p>
    <w:p>
      <w:pPr>
        <w:spacing w:after="0" w:line="96" w:lineRule="exact"/>
        <w:rPr>
          <w:sz w:val="20"/>
          <w:szCs w:val="20"/>
          <w:color w:val="auto"/>
        </w:rPr>
      </w:pPr>
    </w:p>
    <w:p>
      <w:pPr>
        <w:ind w:right="40" w:firstLine="1484"/>
        <w:spacing w:after="0" w:line="259" w:lineRule="auto"/>
        <w:rPr>
          <w:sz w:val="20"/>
          <w:szCs w:val="20"/>
          <w:color w:val="auto"/>
        </w:rPr>
      </w:pPr>
      <w:r>
        <w:rPr>
          <w:rFonts w:ascii="Arial" w:cs="Arial" w:eastAsia="Arial" w:hAnsi="Arial"/>
          <w:sz w:val="18"/>
          <w:szCs w:val="18"/>
          <w:color w:val="auto"/>
        </w:rPr>
        <w:t>Any dispute or disagreement which may arise under, or as a result of, or in any way relate to the interpretation, construction, or application of this Agreement shall be determined by the Committee. Any determination made hereunder shall be final, binding, and conclusive on Grantee and the Company for all purposes.</w:t>
      </w:r>
    </w:p>
    <w:p>
      <w:pPr>
        <w:sectPr>
          <w:pgSz w:w="11900" w:h="16838" w:orient="portrait"/>
          <w:cols w:equalWidth="0" w:num="1">
            <w:col w:w="11420"/>
          </w:cols>
          <w:pgMar w:left="240" w:top="274" w:right="239" w:bottom="1440" w:gutter="0" w:footer="0" w:header="0"/>
        </w:sectPr>
      </w:pPr>
    </w:p>
    <w:bookmarkStart w:id="38" w:name="page39"/>
    <w:bookmarkEnd w:id="38"/>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Pronouns; Including</w:t>
      </w:r>
    </w:p>
    <w:p>
      <w:pPr>
        <w:spacing w:after="0" w:line="96" w:lineRule="exact"/>
        <w:rPr>
          <w:sz w:val="20"/>
          <w:szCs w:val="20"/>
          <w:color w:val="auto"/>
        </w:rPr>
      </w:pPr>
    </w:p>
    <w:p>
      <w:pPr>
        <w:ind w:right="380" w:firstLine="1484"/>
        <w:spacing w:after="0" w:line="268" w:lineRule="auto"/>
        <w:rPr>
          <w:sz w:val="20"/>
          <w:szCs w:val="20"/>
          <w:color w:val="auto"/>
        </w:rPr>
      </w:pPr>
      <w:r>
        <w:rPr>
          <w:rFonts w:ascii="Arial" w:cs="Arial" w:eastAsia="Arial" w:hAnsi="Arial"/>
          <w:sz w:val="18"/>
          <w:szCs w:val="18"/>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  Scott Gilson</w:t>
            </w:r>
          </w:p>
        </w:tc>
        <w:tc>
          <w:tcPr>
            <w:tcW w:w="2960" w:type="dxa"/>
            <w:vAlign w:val="bottom"/>
          </w:tcPr>
          <w:p>
            <w:pPr>
              <w:spacing w:after="0"/>
              <w:rPr>
                <w:sz w:val="20"/>
                <w:szCs w:val="20"/>
                <w:color w:val="auto"/>
              </w:rPr>
            </w:pP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Grantee</w:t>
            </w:r>
          </w:p>
        </w:tc>
      </w:tr>
      <w:tr>
        <w:trPr>
          <w:trHeight w:val="222"/>
        </w:trPr>
        <w:tc>
          <w:tcPr>
            <w:tcW w:w="4360" w:type="dxa"/>
            <w:vAlign w:val="bottom"/>
          </w:tcPr>
          <w:p>
            <w:pPr>
              <w:ind w:left="380"/>
              <w:spacing w:after="0"/>
              <w:rPr>
                <w:sz w:val="20"/>
                <w:szCs w:val="20"/>
                <w:color w:val="auto"/>
              </w:rPr>
            </w:pPr>
            <w:r>
              <w:rPr>
                <w:rFonts w:ascii="Arial" w:cs="Arial" w:eastAsia="Arial" w:hAnsi="Arial"/>
                <w:sz w:val="18"/>
                <w:szCs w:val="18"/>
                <w:color w:val="auto"/>
              </w:rPr>
              <w:t>Vice President – Human Resources</w:t>
            </w:r>
          </w:p>
        </w:tc>
        <w:tc>
          <w:tcPr>
            <w:tcW w:w="2960" w:type="dxa"/>
            <w:vAlign w:val="bottom"/>
          </w:tcPr>
          <w:p>
            <w:pPr>
              <w:spacing w:after="0"/>
              <w:rPr>
                <w:sz w:val="19"/>
                <w:szCs w:val="19"/>
                <w:color w:val="auto"/>
              </w:rPr>
            </w:pPr>
          </w:p>
        </w:tc>
        <w:tc>
          <w:tcPr>
            <w:tcW w:w="410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Neal R. Verfuerth, certify that:</w:t>
      </w:r>
    </w:p>
    <w:p>
      <w:pPr>
        <w:spacing w:after="0" w:line="17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80" w:firstLine="8"/>
        <w:spacing w:after="0" w:line="268"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Neal R. Verfuerth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71"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8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R. Jensen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Chief Accounting Officer and Treasurer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2012, as filed with the Securities and Exchange Commission on the date hereof (the “Report”), I, Neal R. Verfuerth, Chief Executive Officer of the Company, certify, pursuant to 18 U.S.C. 1350, as adopted pursuant to Section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9, 2012</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Neal R. Verfuerth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2012,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9, 2012</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R. Jensen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Chief Accounting Officer and Treasurer</w:t>
      </w:r>
    </w:p>
    <w:p>
      <w:pPr>
        <w:spacing w:after="0" w:line="18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upperLetter"/>
      <w:start w:val="1"/>
    </w:lvl>
  </w:abstractNum>
  <w:abstractNum w:abstractNumId="4">
    <w:nsid w:val="3F2DBA31"/>
    <w:multiLevelType w:val="hybridMultilevel"/>
    <w:lvl w:ilvl="0">
      <w:lvlJc w:val="left"/>
      <w:lvlText w:val="(%1)"/>
      <w:numFmt w:val="lowerRoman"/>
      <w:start w:val="2"/>
    </w:lvl>
  </w:abstractNum>
  <w:abstractNum w:abstractNumId="5">
    <w:nsid w:val="7C83E458"/>
    <w:multiLevelType w:val="hybridMultilevel"/>
    <w:lvl w:ilvl="0">
      <w:lvlJc w:val="left"/>
      <w:lvlText w:val="(%1)"/>
      <w:numFmt w:val="lowerRoman"/>
      <w:start w:val="5"/>
    </w:lvl>
  </w:abstractNum>
  <w:abstractNum w:abstractNumId="6">
    <w:nsid w:val="257130A3"/>
    <w:multiLevelType w:val="hybridMultilevel"/>
    <w:lvl w:ilvl="0">
      <w:lvlJc w:val="left"/>
      <w:lvlText w:val="(%1)"/>
      <w:numFmt w:val="lowerRoman"/>
      <w:start w:val="10"/>
    </w:lvl>
  </w:abstractNum>
  <w:abstractNum w:abstractNumId="7">
    <w:nsid w:val="62BBD95A"/>
    <w:multiLevelType w:val="hybridMultilevel"/>
    <w:lvl w:ilvl="0">
      <w:lvlJc w:val="left"/>
      <w:lvlText w:val="(%1)"/>
      <w:numFmt w:val="lowerRoman"/>
      <w:start w:val="7"/>
    </w:lvl>
  </w:abstractNum>
  <w:abstractNum w:abstractNumId="8">
    <w:nsid w:val="436C6125"/>
    <w:multiLevelType w:val="hybridMultilevel"/>
    <w:lvl w:ilvl="0">
      <w:lvlJc w:val="left"/>
      <w:lvlText w:val="(%1)"/>
      <w:numFmt w:val="lowerRoman"/>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5"/>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2"/>
    </w:lvl>
  </w:abstractNum>
  <w:abstractNum w:abstractNumId="16">
    <w:nsid w:val="8EDBDAB"/>
    <w:multiLevelType w:val="hybridMultilevel"/>
    <w:lvl w:ilvl="0">
      <w:lvlJc w:val="left"/>
      <w:lvlText w:val="%1."/>
      <w:numFmt w:val="decimal"/>
      <w:start w:val="3"/>
    </w:lvl>
  </w:abstractNum>
  <w:abstractNum w:abstractNumId="17">
    <w:nsid w:val="79838CB2"/>
    <w:multiLevelType w:val="hybridMultilevel"/>
    <w:lvl w:ilvl="0">
      <w:lvlJc w:val="left"/>
      <w:lvlText w:val="%1."/>
      <w:numFmt w:val="decimal"/>
      <w:start w:val="4"/>
    </w:lvl>
  </w:abstractNum>
  <w:abstractNum w:abstractNumId="18">
    <w:nsid w:val="4353D0CD"/>
    <w:multiLevelType w:val="hybridMultilevel"/>
    <w:lvl w:ilvl="0">
      <w:lvlJc w:val="left"/>
      <w:lvlText w:val="%1."/>
      <w:numFmt w:val="decimal"/>
      <w:start w:val="5"/>
    </w:lvl>
  </w:abstractNum>
  <w:abstractNum w:abstractNumId="19">
    <w:nsid w:val="B03E0C6"/>
    <w:multiLevelType w:val="hybridMultilevel"/>
    <w:lvl w:ilvl="0">
      <w:lvlJc w:val="left"/>
      <w:lvlText w:val="%1."/>
      <w:numFmt w:val="decimal"/>
      <w:start w:val="6"/>
    </w:lvl>
  </w:abstractNum>
  <w:abstractNum w:abstractNumId="20">
    <w:nsid w:val="189A769B"/>
    <w:multiLevelType w:val="hybridMultilevel"/>
    <w:lvl w:ilvl="0">
      <w:lvlJc w:val="left"/>
      <w:lvlText w:val="%1."/>
      <w:numFmt w:val="decimal"/>
      <w:start w:val="7"/>
    </w:lvl>
  </w:abstractNum>
  <w:abstractNum w:abstractNumId="21">
    <w:nsid w:val="54E49EB4"/>
    <w:multiLevelType w:val="hybridMultilevel"/>
    <w:lvl w:ilvl="0">
      <w:lvlJc w:val="left"/>
      <w:lvlText w:val="%1."/>
      <w:numFmt w:val="decimal"/>
      <w:start w:val="8"/>
    </w:lvl>
  </w:abstractNum>
  <w:abstractNum w:abstractNumId="22">
    <w:nsid w:val="71F32454"/>
    <w:multiLevelType w:val="hybridMultilevel"/>
    <w:lvl w:ilvl="0">
      <w:lvlJc w:val="left"/>
      <w:lvlText w:val="%1."/>
      <w:numFmt w:val="decimal"/>
      <w:start w:val="9"/>
    </w:lvl>
  </w:abstractNum>
  <w:abstractNum w:abstractNumId="23">
    <w:nsid w:val="2CA88611"/>
    <w:multiLevelType w:val="hybridMultilevel"/>
    <w:lvl w:ilvl="0">
      <w:lvlJc w:val="left"/>
      <w:lvlText w:val="%1."/>
      <w:numFmt w:val="decimal"/>
      <w:start w:val="10"/>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decimal"/>
      <w:start w:val="12"/>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5"/>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5"/>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2019-12-09T19:02:12Z</dcterms:created>
  <dcterms:modified xsi:type="dcterms:W3CDTF">2019-12-09T19:02:12Z</dcterms:modified>
</cp:coreProperties>
</file>