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00" w:type="dxa"/>
            <w:vAlign w:val="bottom"/>
          </w:tcPr>
          <w:p>
            <w:pPr>
              <w:jc w:val="center"/>
              <w:ind w:right="16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500"/>
        </w:trPr>
        <w:tc>
          <w:tcPr>
            <w:tcW w:w="21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18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3"/>
              </w:rPr>
              <w:t>Smaller reporting company x</w:t>
            </w:r>
          </w:p>
        </w:tc>
      </w:tr>
      <w:tr>
        <w:trPr>
          <w:trHeight w:val="567"/>
        </w:trPr>
        <w:tc>
          <w:tcPr>
            <w:tcW w:w="834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r>
      <w:tr>
        <w:trPr>
          <w:trHeight w:val="412"/>
        </w:trPr>
        <w:tc>
          <w:tcPr>
            <w:tcW w:w="8340" w:type="dxa"/>
            <w:vAlign w:val="bottom"/>
            <w:gridSpan w:val="2"/>
          </w:tcPr>
          <w:p>
            <w:pPr>
              <w:spacing w:after="0"/>
              <w:rPr>
                <w:sz w:val="20"/>
                <w:szCs w:val="20"/>
                <w:color w:val="auto"/>
              </w:rPr>
            </w:pPr>
            <w:r>
              <w:rPr>
                <w:rFonts w:ascii="Arial" w:cs="Arial" w:eastAsia="Arial" w:hAnsi="Arial"/>
                <w:sz w:val="18"/>
                <w:szCs w:val="18"/>
                <w:color w:val="auto"/>
              </w:rPr>
              <w:t>There were 28,252,123 shares of the Registrant’s common stock outstanding on October 28, 2016.</w:t>
            </w:r>
          </w:p>
        </w:tc>
        <w:tc>
          <w:tcPr>
            <w:tcW w:w="228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SEPTEMBER 30, 2016</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Page(s)</w:t>
            </w:r>
          </w:p>
        </w:tc>
      </w:tr>
      <w:tr>
        <w:trPr>
          <w:trHeight w:val="196"/>
        </w:trPr>
        <w:tc>
          <w:tcPr>
            <w:tcW w:w="3380" w:type="dxa"/>
            <w:vAlign w:val="bottom"/>
            <w:tcBorders>
              <w:bottom w:val="single" w:sz="8" w:color="auto"/>
            </w:tcBorders>
            <w:gridSpan w:val="10"/>
          </w:tcPr>
          <w:p>
            <w:pPr>
              <w:spacing w:after="0" w:line="170" w:lineRule="exact"/>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7020" w:type="dxa"/>
            <w:vAlign w:val="bottom"/>
            <w:gridSpan w:val="7"/>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17"/>
                <w:szCs w:val="17"/>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6"/>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(unaudited)</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6320" w:type="dxa"/>
            <w:vAlign w:val="bottom"/>
            <w:tcBorders>
              <w:bottom w:val="single" w:sz="8" w:color="auto"/>
            </w:tcBorders>
            <w:gridSpan w:val="12"/>
          </w:tcPr>
          <w:p>
            <w:pPr>
              <w:spacing w:after="0"/>
              <w:rPr>
                <w:rFonts w:ascii="Arial" w:cs="Arial" w:eastAsia="Arial" w:hAnsi="Arial"/>
                <w:sz w:val="18"/>
                <w:szCs w:val="18"/>
                <w:color w:val="auto"/>
                <w:w w:val="88"/>
              </w:rPr>
            </w:pPr>
            <w:hyperlink w:anchor="page3">
              <w:r>
                <w:rPr>
                  <w:rFonts w:ascii="Arial" w:cs="Arial" w:eastAsia="Arial" w:hAnsi="Arial"/>
                  <w:sz w:val="18"/>
                  <w:szCs w:val="18"/>
                  <w:color w:val="auto"/>
                  <w:w w:val="88"/>
                </w:rPr>
                <w:t>Condensed Consolidated Balance Sheets as of September 30, 2016 and March 31, 2016</w:t>
              </w:r>
            </w:hyperlink>
          </w:p>
        </w:tc>
        <w:tc>
          <w:tcPr>
            <w:tcW w:w="3080" w:type="dxa"/>
            <w:vAlign w:val="bottom"/>
            <w:gridSpan w:val="4"/>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w w:val="90"/>
              </w:rPr>
            </w:pPr>
            <w:hyperlink w:anchor="page4">
              <w:r>
                <w:rPr>
                  <w:rFonts w:ascii="Arial" w:cs="Arial" w:eastAsia="Arial" w:hAnsi="Arial"/>
                  <w:sz w:val="18"/>
                  <w:szCs w:val="18"/>
                  <w:color w:val="auto"/>
                  <w:w w:val="90"/>
                </w:rPr>
                <w:t>Condensed Consolidated Statements of Operations for the Three and Six Months Ended September 30, 2016 and September 30,</w:t>
              </w:r>
            </w:hyperlink>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360" w:type="dxa"/>
            <w:vAlign w:val="bottom"/>
            <w:tcBorders>
              <w:top w:val="single" w:sz="8" w:color="auto"/>
              <w:bottom w:val="single" w:sz="8" w:color="auto"/>
            </w:tcBorders>
            <w:gridSpan w:val="2"/>
          </w:tcPr>
          <w:p>
            <w:pPr>
              <w:spacing w:after="0" w:line="196" w:lineRule="exact"/>
              <w:rPr>
                <w:rFonts w:ascii="Arial" w:cs="Arial" w:eastAsia="Arial" w:hAnsi="Arial"/>
                <w:sz w:val="18"/>
                <w:szCs w:val="18"/>
                <w:color w:val="auto"/>
                <w:w w:val="84"/>
              </w:rPr>
            </w:pPr>
            <w:hyperlink w:anchor="page4">
              <w:r>
                <w:rPr>
                  <w:rFonts w:ascii="Arial" w:cs="Arial" w:eastAsia="Arial" w:hAnsi="Arial"/>
                  <w:sz w:val="18"/>
                  <w:szCs w:val="18"/>
                  <w:color w:val="auto"/>
                  <w:w w:val="84"/>
                </w:rPr>
                <w:t>2015</w:t>
              </w:r>
            </w:hyperlink>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96" w:lineRule="exact"/>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20" w:type="dxa"/>
            <w:vAlign w:val="bottom"/>
          </w:tcPr>
          <w:p>
            <w:pPr>
              <w:spacing w:after="0"/>
              <w:rPr>
                <w:sz w:val="17"/>
                <w:szCs w:val="17"/>
                <w:color w:val="auto"/>
              </w:rPr>
            </w:pPr>
          </w:p>
        </w:tc>
      </w:tr>
      <w:tr>
        <w:trPr>
          <w:trHeight w:val="250"/>
        </w:trPr>
        <w:tc>
          <w:tcPr>
            <w:tcW w:w="1000" w:type="dxa"/>
            <w:vAlign w:val="bottom"/>
          </w:tcPr>
          <w:p>
            <w:pPr>
              <w:spacing w:after="0"/>
              <w:rPr>
                <w:sz w:val="21"/>
                <w:szCs w:val="21"/>
                <w:color w:val="auto"/>
              </w:rPr>
            </w:pPr>
          </w:p>
        </w:tc>
        <w:tc>
          <w:tcPr>
            <w:tcW w:w="8920" w:type="dxa"/>
            <w:vAlign w:val="bottom"/>
            <w:tcBorders>
              <w:bottom w:val="single" w:sz="8" w:color="auto"/>
            </w:tcBorders>
            <w:gridSpan w:val="14"/>
          </w:tcPr>
          <w:p>
            <w:pPr>
              <w:spacing w:after="0"/>
              <w:rPr>
                <w:rFonts w:ascii="Arial" w:cs="Arial" w:eastAsia="Arial" w:hAnsi="Arial"/>
                <w:sz w:val="18"/>
                <w:szCs w:val="18"/>
                <w:color w:val="auto"/>
                <w:w w:val="89"/>
              </w:rPr>
            </w:pPr>
            <w:hyperlink w:anchor="page5">
              <w:r>
                <w:rPr>
                  <w:rFonts w:ascii="Arial" w:cs="Arial" w:eastAsia="Arial" w:hAnsi="Arial"/>
                  <w:sz w:val="18"/>
                  <w:szCs w:val="18"/>
                  <w:color w:val="auto"/>
                  <w:w w:val="89"/>
                </w:rPr>
                <w:t>Condensed Consolidated Statements of Cash Flows for the Six Months Ended September 30, 2016 and September 30, 2015</w:t>
              </w:r>
            </w:hyperlink>
          </w:p>
        </w:tc>
        <w:tc>
          <w:tcPr>
            <w:tcW w:w="480" w:type="dxa"/>
            <w:vAlign w:val="bottom"/>
            <w:gridSpan w:val="2"/>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rPr>
            </w:pPr>
            <w:hyperlink w:anchor="page6">
              <w:r>
                <w:rPr>
                  <w:rFonts w:ascii="Arial" w:cs="Arial" w:eastAsia="Arial" w:hAnsi="Arial"/>
                  <w:sz w:val="18"/>
                  <w:szCs w:val="18"/>
                  <w:color w:val="auto"/>
                </w:rPr>
                <w:t>Notes to the Condensed Consolidated Financial Statements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6"/>
          </w:tcPr>
          <w:p>
            <w:pPr>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2180" w:type="dxa"/>
            <w:vAlign w:val="bottom"/>
            <w:tcBorders>
              <w:left w:val="single" w:sz="8" w:color="auto"/>
            </w:tcBorders>
            <w:gridSpan w:val="2"/>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gridSpan w:val="11"/>
          </w:tcPr>
          <w:p>
            <w:pPr>
              <w:spacing w:after="0"/>
              <w:rPr>
                <w:rFonts w:ascii="Arial" w:cs="Arial" w:eastAsia="Arial" w:hAnsi="Arial"/>
                <w:sz w:val="18"/>
                <w:szCs w:val="18"/>
                <w:color w:val="auto"/>
                <w:w w:val="90"/>
              </w:rPr>
            </w:pPr>
            <w:hyperlink w:anchor="page31">
              <w:r>
                <w:rPr>
                  <w:rFonts w:ascii="Arial" w:cs="Arial" w:eastAsia="Arial" w:hAnsi="Arial"/>
                  <w:sz w:val="18"/>
                  <w:szCs w:val="18"/>
                  <w:color w:val="auto"/>
                  <w:w w:val="90"/>
                </w:rPr>
                <w:t>Quantitative and Qualitative Disclosures about Market Risk</w:t>
              </w:r>
            </w:hyperlink>
          </w:p>
        </w:tc>
        <w:tc>
          <w:tcPr>
            <w:tcW w:w="2180" w:type="dxa"/>
            <w:vAlign w:val="bottom"/>
            <w:gridSpan w:val="2"/>
          </w:tcPr>
          <w:p>
            <w:pPr>
              <w:spacing w:after="0"/>
              <w:rPr>
                <w:sz w:val="21"/>
                <w:szCs w:val="21"/>
                <w:color w:val="auto"/>
              </w:rPr>
            </w:pPr>
          </w:p>
        </w:tc>
        <w:tc>
          <w:tcPr>
            <w:tcW w:w="2940" w:type="dxa"/>
            <w:vAlign w:val="bottom"/>
            <w:gridSpan w:val="3"/>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5120" w:type="dxa"/>
            <w:vAlign w:val="bottom"/>
            <w:tcBorders>
              <w:left w:val="single" w:sz="8" w:color="auto"/>
            </w:tcBorders>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auto"/>
                <w:w w:val="88"/>
              </w:rPr>
            </w:pPr>
            <w:hyperlink w:anchor="page31">
              <w:r>
                <w:rPr>
                  <w:rFonts w:ascii="Arial" w:cs="Arial" w:eastAsia="Arial" w:hAnsi="Arial"/>
                  <w:sz w:val="18"/>
                  <w:szCs w:val="18"/>
                  <w:color w:val="auto"/>
                  <w:w w:val="88"/>
                </w:rPr>
                <w:t>Controls and Procedures</w:t>
              </w:r>
            </w:hyperlink>
          </w:p>
        </w:tc>
        <w:tc>
          <w:tcPr>
            <w:tcW w:w="2500" w:type="dxa"/>
            <w:vAlign w:val="bottom"/>
            <w:gridSpan w:val="4"/>
          </w:tcPr>
          <w:p>
            <w:pPr>
              <w:spacing w:after="0"/>
              <w:rPr>
                <w:sz w:val="21"/>
                <w:szCs w:val="21"/>
                <w:color w:val="auto"/>
              </w:rPr>
            </w:pPr>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7"/>
          </w:tcPr>
          <w:p>
            <w:pPr>
              <w:spacing w:after="0"/>
              <w:rPr>
                <w:rFonts w:ascii="Arial" w:cs="Arial" w:eastAsia="Arial" w:hAnsi="Arial"/>
                <w:sz w:val="18"/>
                <w:szCs w:val="18"/>
                <w:color w:val="auto"/>
              </w:rPr>
            </w:pPr>
            <w:hyperlink w:anchor="page34">
              <w:r>
                <w:rPr>
                  <w:rFonts w:ascii="Arial" w:cs="Arial" w:eastAsia="Arial" w:hAnsi="Arial"/>
                  <w:sz w:val="18"/>
                  <w:szCs w:val="18"/>
                  <w:color w:val="auto"/>
                </w:rPr>
                <w:t>PART II OTHER INFORMATION</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gridSpan w:val="6"/>
          </w:tcPr>
          <w:p>
            <w:pPr>
              <w:spacing w:after="0"/>
              <w:rPr>
                <w:rFonts w:ascii="Arial" w:cs="Arial" w:eastAsia="Arial" w:hAnsi="Arial"/>
                <w:sz w:val="18"/>
                <w:szCs w:val="18"/>
                <w:color w:val="auto"/>
              </w:rPr>
            </w:pPr>
            <w:hyperlink w:anchor="page34">
              <w:r>
                <w:rPr>
                  <w:rFonts w:ascii="Arial" w:cs="Arial" w:eastAsia="Arial" w:hAnsi="Arial"/>
                  <w:sz w:val="18"/>
                  <w:szCs w:val="18"/>
                  <w:color w:val="auto"/>
                </w:rPr>
                <w:t>Legal Proceedings</w:t>
              </w:r>
            </w:hyperlink>
          </w:p>
        </w:tc>
        <w:tc>
          <w:tcPr>
            <w:tcW w:w="7880" w:type="dxa"/>
            <w:vAlign w:val="bottom"/>
            <w:gridSpan w:val="10"/>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60" w:type="dxa"/>
            <w:vAlign w:val="bottom"/>
            <w:tcBorders>
              <w:left w:val="single" w:sz="8" w:color="auto"/>
            </w:tcBorders>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Risk Factors</w:t>
              </w:r>
            </w:hyperlink>
          </w:p>
        </w:tc>
        <w:tc>
          <w:tcPr>
            <w:tcW w:w="400" w:type="dxa"/>
            <w:vAlign w:val="bottom"/>
          </w:tcPr>
          <w:p>
            <w:pPr>
              <w:spacing w:after="0"/>
              <w:rPr>
                <w:sz w:val="21"/>
                <w:szCs w:val="21"/>
                <w:color w:val="auto"/>
              </w:rPr>
            </w:pPr>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6"/>
          </w:tcPr>
          <w:p>
            <w:pPr>
              <w:spacing w:after="0"/>
              <w:rPr>
                <w:rFonts w:ascii="Arial" w:cs="Arial" w:eastAsia="Arial" w:hAnsi="Arial"/>
                <w:sz w:val="18"/>
                <w:szCs w:val="18"/>
                <w:color w:val="auto"/>
              </w:rPr>
            </w:pPr>
            <w:hyperlink w:anchor="page34">
              <w:r>
                <w:rPr>
                  <w:rFonts w:ascii="Arial" w:cs="Arial" w:eastAsia="Arial" w:hAnsi="Arial"/>
                  <w:sz w:val="18"/>
                  <w:szCs w:val="18"/>
                  <w:color w:val="auto"/>
                </w:rPr>
                <w:t>Unregistered Sale of Equity Securities and Use of Proceeds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960" w:type="dxa"/>
            <w:vAlign w:val="bottom"/>
            <w:tcBorders>
              <w:left w:val="single" w:sz="8" w:color="auto"/>
            </w:tcBorders>
            <w:gridSpan w:val="6"/>
            <w:shd w:val="clear" w:color="auto" w:fill="000000"/>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4280" w:type="dxa"/>
            <w:vAlign w:val="bottom"/>
            <w:gridSpan w:val="11"/>
          </w:tcPr>
          <w:p>
            <w:pPr>
              <w:spacing w:after="0"/>
              <w:rPr>
                <w:rFonts w:ascii="Arial" w:cs="Arial" w:eastAsia="Arial" w:hAnsi="Arial"/>
                <w:sz w:val="18"/>
                <w:szCs w:val="18"/>
                <w:color w:val="auto"/>
              </w:rPr>
            </w:pPr>
            <w:hyperlink w:anchor="page34">
              <w:r>
                <w:rPr>
                  <w:rFonts w:ascii="Arial" w:cs="Arial" w:eastAsia="Arial" w:hAnsi="Arial"/>
                  <w:sz w:val="18"/>
                  <w:szCs w:val="18"/>
                  <w:color w:val="auto"/>
                </w:rPr>
                <w:t>Other Information</w:t>
              </w:r>
            </w:hyperlink>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auto"/>
              </w:rPr>
            </w:pPr>
            <w:hyperlink w:anchor="page35">
              <w:r>
                <w:rPr>
                  <w:rFonts w:ascii="Arial" w:cs="Arial" w:eastAsia="Arial" w:hAnsi="Arial"/>
                  <w:sz w:val="18"/>
                  <w:szCs w:val="18"/>
                  <w:color w:val="auto"/>
                </w:rPr>
                <w:t>Exhibits</w:t>
              </w:r>
            </w:hyperlink>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7"/>
          </w:tcPr>
          <w:p>
            <w:pPr>
              <w:spacing w:after="0"/>
              <w:rPr>
                <w:rFonts w:ascii="Arial" w:cs="Arial" w:eastAsia="Arial" w:hAnsi="Arial"/>
                <w:sz w:val="18"/>
                <w:szCs w:val="18"/>
                <w:color w:val="auto"/>
              </w:rPr>
            </w:pPr>
            <w:hyperlink w:anchor="page36">
              <w:r>
                <w:rPr>
                  <w:rFonts w:ascii="Arial" w:cs="Arial" w:eastAsia="Arial" w:hAnsi="Arial"/>
                  <w:sz w:val="18"/>
                  <w:szCs w:val="18"/>
                  <w:color w:val="auto"/>
                </w:rPr>
                <w:t>SIGNATURES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91"/>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31.1</w:t>
            </w:r>
          </w:p>
        </w:tc>
        <w:tc>
          <w:tcPr>
            <w:tcW w:w="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400" w:type="dxa"/>
            <w:vAlign w:val="bottom"/>
            <w:gridSpan w:val="17"/>
          </w:tcPr>
          <w:p>
            <w:pPr>
              <w:spacing w:after="0"/>
              <w:rPr>
                <w:sz w:val="20"/>
                <w:szCs w:val="20"/>
                <w:color w:val="auto"/>
              </w:rPr>
            </w:pPr>
            <w:r>
              <w:rPr>
                <w:rFonts w:ascii="Arial" w:cs="Arial" w:eastAsia="Arial" w:hAnsi="Arial"/>
                <w:sz w:val="18"/>
                <w:szCs w:val="18"/>
                <w:color w:val="auto"/>
              </w:rPr>
              <w:t>EX-101 INSTANCE DOCUMENT</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PRESENTATION LINKBASE DOCUMENT</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80" w:top="36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2016</w:t>
            </w:r>
          </w:p>
        </w:tc>
        <w:tc>
          <w:tcPr>
            <w:tcW w:w="14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6"/>
                <w:szCs w:val="16"/>
                <w:b w:val="1"/>
                <w:bCs w:val="1"/>
                <w:color w:val="auto"/>
                <w:w w:val="96"/>
              </w:rPr>
              <w:t>March 31, 2016</w:t>
            </w:r>
          </w:p>
        </w:tc>
      </w:tr>
      <w:tr>
        <w:trPr>
          <w:trHeight w:val="33"/>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18,734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15,542</w:t>
            </w: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10,889</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17,007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17,024</w:t>
            </w: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5,038</w:t>
            </w:r>
          </w:p>
        </w:tc>
      </w:tr>
      <w:tr>
        <w:trPr>
          <w:trHeight w:val="27"/>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48,530</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17,004</w:t>
            </w: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5,048</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Long-term accounts receivable</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37"/>
        </w:trPr>
        <w:tc>
          <w:tcPr>
            <w:tcW w:w="78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68,565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70,875</w:t>
            </w:r>
          </w:p>
        </w:tc>
      </w:tr>
      <w:tr>
        <w:trPr>
          <w:trHeight w:val="67"/>
        </w:trPr>
        <w:tc>
          <w:tcPr>
            <w:tcW w:w="78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7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12,383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11,716</w:t>
            </w: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6,586</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 and capital leases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37"/>
        </w:trPr>
        <w:tc>
          <w:tcPr>
            <w:tcW w:w="78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19,291</w:t>
            </w: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Long-term debt and capital leases, less current maturities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long-term</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558</w:t>
            </w:r>
          </w:p>
        </w:tc>
      </w:tr>
      <w:tr>
        <w:trPr>
          <w:trHeight w:val="27"/>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24,892</w:t>
            </w:r>
          </w:p>
        </w:tc>
      </w:tr>
      <w:tr>
        <w:trPr>
          <w:trHeight w:val="223"/>
        </w:trPr>
        <w:tc>
          <w:tcPr>
            <w:tcW w:w="78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7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7820" w:type="dxa"/>
            <w:vAlign w:val="bottom"/>
          </w:tcPr>
          <w:p>
            <w:pPr>
              <w:ind w:left="40"/>
              <w:spacing w:after="0"/>
              <w:rPr>
                <w:sz w:val="20"/>
                <w:szCs w:val="20"/>
                <w:color w:val="auto"/>
              </w:rPr>
            </w:pPr>
            <w:r>
              <w:rPr>
                <w:rFonts w:ascii="Arial" w:cs="Arial" w:eastAsia="Arial" w:hAnsi="Arial"/>
                <w:sz w:val="18"/>
                <w:szCs w:val="18"/>
                <w:color w:val="auto"/>
                <w:w w:val="94"/>
              </w:rPr>
              <w:t>Preferred stock, $0.01 par value: Shares authorized: 30,000,000 at September 30, 2016 and March 31,</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820" w:type="dxa"/>
            <w:vAlign w:val="bottom"/>
          </w:tcPr>
          <w:p>
            <w:pPr>
              <w:ind w:left="40"/>
              <w:spacing w:after="0"/>
              <w:rPr>
                <w:sz w:val="20"/>
                <w:szCs w:val="20"/>
                <w:color w:val="auto"/>
              </w:rPr>
            </w:pPr>
            <w:r>
              <w:rPr>
                <w:rFonts w:ascii="Arial" w:cs="Arial" w:eastAsia="Arial" w:hAnsi="Arial"/>
                <w:sz w:val="18"/>
                <w:szCs w:val="18"/>
                <w:color w:val="auto"/>
              </w:rPr>
              <w:t>2016; no shares issued and outstanding at September 30, 2016 and March 31, 2016</w:t>
            </w:r>
          </w:p>
        </w:tc>
        <w:tc>
          <w:tcPr>
            <w:tcW w:w="18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Common stock, no par value: Shares authorized: 200,000,000 at September 30, 2016 and March 31, 2016;</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shares issued: 37,641,409 at September 30, 2016 and 37,192,559 at March 31, 2016; shares outstanding:</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28,214,852 at September 30, 2016 and 27,767,138 at March 31, 2016</w:t>
            </w:r>
          </w:p>
        </w:tc>
        <w:tc>
          <w:tcPr>
            <w:tcW w:w="1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153,142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152,140</w:t>
            </w: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Treasury stock, common shares: 9,426,557 at September 30, 2016 and 9,425,421 at March 31, 2016</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(36,075)</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Shareholder notes receivable</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(70,078)</w:t>
            </w:r>
          </w:p>
        </w:tc>
      </w:tr>
      <w:tr>
        <w:trPr>
          <w:trHeight w:val="237"/>
        </w:trPr>
        <w:tc>
          <w:tcPr>
            <w:tcW w:w="782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45,983</w:t>
            </w:r>
          </w:p>
        </w:tc>
      </w:tr>
      <w:tr>
        <w:trPr>
          <w:trHeight w:val="27"/>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70,875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364" w:right="49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7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11,752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23,171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24,414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12,426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12,816</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24,034</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25,646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6,478</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14,517</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loss per share attributable to common shareholders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28,171,899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27,598,492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28,029,526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27,540,378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Weighted-average common shares and share equivalents outstanding</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28,171,899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27,598,492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28,029,526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27,540,378</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(7,252)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738</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sale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Changes in inventory reserves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bad debts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current and long-term</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contract costs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(2,309)</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 current and long-term</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Additions to patents and licenses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of long-term debt and capital leases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of revolving credit facility</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(27,125)</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common stock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employee equity exercises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20,002</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Orion includes Orion Energy Systems, Inc., a Wisconsin corporation, and all consolidated subsidiaries. Orion is a developer, manufacturer and seller of lighting and energy management systems to commercial and industrial businesses, predominantly in North America.</w:t>
      </w:r>
    </w:p>
    <w:p>
      <w:pPr>
        <w:spacing w:after="0" w:line="93"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Orion’s corporate offices and leased primary manufacturing operations are located in Manitowoc, Wisconsin. Orion leases office space in Jacksonville, Florida; Chicago, Illinois; and Houston, Texas. Orion also leases warehouse space in Manitowoc, Wisconsin and Augusta, Georgia.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2017 or other interim periods.</w:t>
      </w:r>
    </w:p>
    <w:p>
      <w:pPr>
        <w:spacing w:after="0" w:line="11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condensed consolidated balance sheet at March 31, 2016 has been derived from the audited and adjusted consolidated financial statements at that date but does not include all of the information required by GAAP for complete financial statements.</w:t>
      </w:r>
    </w:p>
    <w:p>
      <w:pPr>
        <w:spacing w:after="0" w:line="11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2016 filed with the Securities and Exchange Commission on June 23,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allowance for doubtful accounts, accruals for warranty and loss contingencies, income taxes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Orion considers all highly liquid, short-term investments with original maturities of three months or less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36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Orion’s financial instruments consist of cash and cash equivalents, accounts receivable, accounts payable, accrued expenses and other, revolving credit facility and long-term debt. The carrying amounts of Orion’s financial instruments approximate their respective fair values due to the relatively short-term nature of these instruments, or in the case of long-term debt and revolving credit facility, because of the interest rates currently available to Orion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16"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jc w:val="both"/>
        <w:ind w:right="80" w:firstLine="432"/>
        <w:spacing w:after="0" w:line="288" w:lineRule="auto"/>
        <w:rPr>
          <w:sz w:val="20"/>
          <w:szCs w:val="20"/>
          <w:color w:val="auto"/>
        </w:rPr>
      </w:pPr>
      <w:r>
        <w:rPr>
          <w:rFonts w:ascii="Arial" w:cs="Arial" w:eastAsia="Arial" w:hAnsi="Arial"/>
          <w:sz w:val="16"/>
          <w:szCs w:val="16"/>
          <w:color w:val="auto"/>
        </w:rPr>
        <w:t>Orion’s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w:t>
      </w:r>
    </w:p>
    <w:p>
      <w:pPr>
        <w:ind w:right="20"/>
        <w:spacing w:after="0" w:line="295" w:lineRule="auto"/>
        <w:rPr>
          <w:sz w:val="20"/>
          <w:szCs w:val="20"/>
          <w:color w:val="auto"/>
        </w:rPr>
      </w:pPr>
      <w:r>
        <w:rPr>
          <w:rFonts w:ascii="Arial" w:cs="Arial" w:eastAsia="Arial" w:hAnsi="Arial"/>
          <w:sz w:val="16"/>
          <w:szCs w:val="16"/>
          <w:color w:val="auto"/>
        </w:rPr>
        <w:t>Accounts receivable are stated at the amount Orion expects to collect from outstanding balances. Orion provides for probable uncollectible amounts through a charge to earnings and a credit to an allowance for doubtful accounts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doubtful accounts balances were as follows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Pr>
          <w:p>
            <w:pPr>
              <w:spacing w:after="0"/>
              <w:rPr>
                <w:sz w:val="16"/>
                <w:szCs w:val="16"/>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March 31, 2016</w:t>
            </w:r>
          </w:p>
        </w:tc>
      </w:tr>
      <w:tr>
        <w:trPr>
          <w:trHeight w:val="250"/>
        </w:trPr>
        <w:tc>
          <w:tcPr>
            <w:tcW w:w="8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gross</w:t>
            </w:r>
          </w:p>
        </w:tc>
        <w:tc>
          <w:tcPr>
            <w:tcW w:w="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11,394</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8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10,889</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Orion considers its lease balances included in consolidated current and long-term accounts receivable from its Orion Throughput Agreement, or OTA, sales-type leases to be financing receivables. Additional disclosures on the credit quality of Orion’s financing receivables are as follows: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 as of September 30, 2016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1-90 days</w:t>
            </w:r>
          </w:p>
        </w:tc>
        <w:tc>
          <w:tcPr>
            <w:tcW w:w="22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Greater than 90</w:t>
            </w:r>
          </w:p>
        </w:tc>
        <w:tc>
          <w:tcPr>
            <w:tcW w:w="22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 past due</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5"/>
              </w:rPr>
              <w:t>Lease balances included in consolidated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59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Aging Analysis as of March 31, 2016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1-90 days</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Greater than 90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past due</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days past due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5"/>
              </w:rPr>
              <w:t>Lease balances included in consolidated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market value with cost determined using the first-in, first-out (FIFO) method. Orion reduces the carrying value of its inventories for differences between the cost and estimated net realizable value, taking into consideration usage in the preceding 9 to 24 months, expected demand, and other information indicating obsolescence. Orion records, as a charge to cost of product revenue, the amount required to reduce the carrying value of inventory to net realizable value. Orion's inventory balances were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Obsolescence</w:t>
            </w:r>
          </w:p>
        </w:tc>
        <w:tc>
          <w:tcPr>
            <w:tcW w:w="280" w:type="dxa"/>
            <w:vAlign w:val="bottom"/>
          </w:tcPr>
          <w:p>
            <w:pPr>
              <w:spacing w:after="0"/>
              <w:rPr>
                <w:sz w:val="14"/>
                <w:szCs w:val="14"/>
                <w:color w:val="auto"/>
              </w:rPr>
            </w:pPr>
          </w:p>
        </w:tc>
        <w:tc>
          <w:tcPr>
            <w:tcW w:w="8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2016</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7,786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17,007</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2016</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ind w:right="760" w:firstLine="432"/>
        <w:spacing w:after="0" w:line="308" w:lineRule="auto"/>
        <w:rPr>
          <w:sz w:val="20"/>
          <w:szCs w:val="20"/>
          <w:color w:val="auto"/>
        </w:rPr>
      </w:pPr>
      <w:r>
        <w:rPr>
          <w:rFonts w:ascii="Arial" w:cs="Arial" w:eastAsia="Arial" w:hAnsi="Arial"/>
          <w:sz w:val="17"/>
          <w:szCs w:val="17"/>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unbilled revenue, prepaid taxes and miscellaneous receivables. Prepaid expenses and other current assets include the following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Pr>
          <w:p>
            <w:pPr>
              <w:spacing w:after="0"/>
              <w:rPr>
                <w:sz w:val="16"/>
                <w:szCs w:val="16"/>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March 31, 2016</w:t>
            </w:r>
          </w:p>
        </w:tc>
      </w:tr>
      <w:tr>
        <w:trPr>
          <w:trHeight w:val="250"/>
        </w:trPr>
        <w:tc>
          <w:tcPr>
            <w:tcW w:w="8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accounts receivable</w:t>
            </w:r>
          </w:p>
        </w:tc>
        <w:tc>
          <w:tcPr>
            <w:tcW w:w="46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4,307</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731</w:t>
            </w:r>
          </w:p>
        </w:tc>
      </w:tr>
      <w:tr>
        <w:trPr>
          <w:trHeight w:val="27"/>
        </w:trPr>
        <w:tc>
          <w:tcPr>
            <w:tcW w:w="8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5,038</w:t>
            </w:r>
          </w:p>
        </w:tc>
      </w:tr>
      <w:tr>
        <w:trPr>
          <w:trHeight w:val="20"/>
        </w:trPr>
        <w:tc>
          <w:tcPr>
            <w:tcW w:w="8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7"/>
          <w:szCs w:val="17"/>
          <w:color w:val="auto"/>
        </w:rPr>
        <w:t>Property and equipment are stated at cost. Expenditures for additions and improvements are capitalized, while replacements, maintenance and repairs which do not improve or extend the lives of the respective assets are expensed as incurred. Properties sold, or otherwise disposed of, are removed from the property accounts, with gains or losses on disposal credited or charged to income from operations.</w:t>
      </w:r>
    </w:p>
    <w:p>
      <w:pPr>
        <w:spacing w:after="0" w:line="111" w:lineRule="exact"/>
        <w:rPr>
          <w:sz w:val="20"/>
          <w:szCs w:val="20"/>
          <w:color w:val="auto"/>
        </w:rPr>
      </w:pPr>
    </w:p>
    <w:p>
      <w:pPr>
        <w:jc w:val="both"/>
        <w:ind w:right="60" w:firstLine="405"/>
        <w:spacing w:after="0" w:line="312" w:lineRule="auto"/>
        <w:rPr>
          <w:sz w:val="20"/>
          <w:szCs w:val="20"/>
          <w:color w:val="auto"/>
        </w:rPr>
      </w:pPr>
      <w:r>
        <w:rPr>
          <w:rFonts w:ascii="Arial" w:cs="Arial" w:eastAsia="Arial" w:hAnsi="Arial"/>
          <w:sz w:val="16"/>
          <w:szCs w:val="16"/>
          <w:color w:val="auto"/>
        </w:rPr>
        <w:t xml:space="preserve">Orion periodically reviews the carrying values of property and equipment for impairment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June 30, 2016, Orion completed the sale of its Manitowoc manufacturing and distribution facility to Tramontina U.S. Cookware, Inc. ("Tramontina") for gross cash proceeds of $2,600,000, which approximated the assets' net carrying values. In conjunction with the sale, Orion entered into an agreement with Tramontina to leaseback approximately 197,000 square feet of the building for not less than three years, subject to mutual options to reduce the amount of leased space.</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(dollars in thousands):</w:t>
      </w:r>
    </w:p>
    <w:p>
      <w:pPr>
        <w:spacing w:after="0" w:line="150" w:lineRule="exact"/>
        <w:rPr>
          <w:sz w:val="20"/>
          <w:szCs w:val="20"/>
          <w:color w:val="auto"/>
        </w:rPr>
      </w:pPr>
    </w:p>
    <w:tbl>
      <w:tblPr>
        <w:tblLayout w:type="fixed"/>
        <w:tblInd w:w="8980" w:type="dxa"/>
        <w:tblCellMar>
          <w:top w:w="0" w:type="dxa"/>
          <w:left w:w="0" w:type="dxa"/>
          <w:bottom w:w="0" w:type="dxa"/>
          <w:right w:w="0" w:type="dxa"/>
        </w:tblCellMar>
      </w:tblPr>
      <w:tr>
        <w:trPr>
          <w:trHeight w:val="161"/>
        </w:trPr>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2"/>
              </w:rPr>
              <w:t>March 31, 2016</w:t>
            </w:r>
          </w:p>
        </w:tc>
        <w:tc>
          <w:tcPr>
            <w:tcW w:w="0" w:type="dxa"/>
            <w:vAlign w:val="bottom"/>
          </w:tcPr>
          <w:p>
            <w:pPr>
              <w:spacing w:after="0"/>
              <w:rPr>
                <w:sz w:val="1"/>
                <w:szCs w:val="1"/>
                <w:color w:val="auto"/>
              </w:rPr>
            </w:pPr>
          </w:p>
        </w:tc>
      </w:tr>
      <w:tr>
        <w:trPr>
          <w:trHeight w:val="186"/>
        </w:trPr>
        <w:tc>
          <w:tcPr>
            <w:tcW w:w="11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Furniture, fixtures and office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Equipment leased to customers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Plant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accumulated depreciation and amortization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Equipment included above under capital leases was as follows (in thousands):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660"/>
        <w:spacing w:after="0"/>
        <w:tabs>
          <w:tab w:leader="none" w:pos="2500" w:val="left"/>
          <w:tab w:leader="none" w:pos="3020" w:val="left"/>
          <w:tab w:leader="none" w:pos="3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425</w:t>
        <w:tab/>
        <w:t>$</w:t>
      </w:r>
      <w:r>
        <w:rPr>
          <w:sz w:val="20"/>
          <w:szCs w:val="20"/>
          <w:color w:val="auto"/>
        </w:rPr>
        <w:tab/>
      </w:r>
      <w:r>
        <w:rPr>
          <w:rFonts w:ascii="Arial" w:cs="Arial" w:eastAsia="Arial" w:hAnsi="Arial"/>
          <w:sz w:val="16"/>
          <w:szCs w:val="16"/>
          <w:color w:val="auto"/>
        </w:rPr>
        <w:t>421</w:t>
      </w:r>
    </w:p>
    <w:p>
      <w:pPr>
        <w:spacing w:after="0" w:line="63" w:lineRule="exact"/>
        <w:rPr>
          <w:sz w:val="20"/>
          <w:szCs w:val="20"/>
          <w:color w:val="auto"/>
        </w:rPr>
      </w:pPr>
    </w:p>
    <w:p>
      <w:pPr>
        <w:ind w:left="2380"/>
        <w:spacing w:after="0"/>
        <w:tabs>
          <w:tab w:leader="none" w:pos="3640" w:val="left"/>
        </w:tabs>
        <w:rPr>
          <w:sz w:val="20"/>
          <w:szCs w:val="20"/>
          <w:color w:val="auto"/>
        </w:rPr>
      </w:pPr>
      <w:r>
        <w:rPr>
          <w:rFonts w:ascii="Arial" w:cs="Arial" w:eastAsia="Arial" w:hAnsi="Arial"/>
          <w:sz w:val="18"/>
          <w:szCs w:val="18"/>
          <w:color w:val="auto"/>
        </w:rPr>
        <w:t>9,245</w:t>
      </w:r>
      <w:r>
        <w:rPr>
          <w:sz w:val="20"/>
          <w:szCs w:val="20"/>
          <w:color w:val="auto"/>
        </w:rPr>
        <w:tab/>
      </w:r>
      <w:r>
        <w:rPr>
          <w:rFonts w:ascii="Arial" w:cs="Arial" w:eastAsia="Arial" w:hAnsi="Arial"/>
          <w:sz w:val="18"/>
          <w:szCs w:val="18"/>
          <w:color w:val="auto"/>
        </w:rPr>
        <w:t>11,849</w:t>
      </w:r>
    </w:p>
    <w:p>
      <w:pPr>
        <w:spacing w:after="0" w:line="63" w:lineRule="exact"/>
        <w:rPr>
          <w:sz w:val="20"/>
          <w:szCs w:val="20"/>
          <w:color w:val="auto"/>
        </w:rPr>
      </w:pPr>
    </w:p>
    <w:p>
      <w:pPr>
        <w:ind w:left="2380"/>
        <w:spacing w:after="0"/>
        <w:tabs>
          <w:tab w:leader="none" w:pos="3720" w:val="left"/>
        </w:tabs>
        <w:rPr>
          <w:sz w:val="20"/>
          <w:szCs w:val="20"/>
          <w:color w:val="auto"/>
        </w:rPr>
      </w:pPr>
      <w:r>
        <w:rPr>
          <w:rFonts w:ascii="Arial" w:cs="Arial" w:eastAsia="Arial" w:hAnsi="Arial"/>
          <w:sz w:val="18"/>
          <w:szCs w:val="18"/>
          <w:color w:val="auto"/>
        </w:rPr>
        <w:t>6,997</w:t>
      </w:r>
      <w:r>
        <w:rPr>
          <w:sz w:val="20"/>
          <w:szCs w:val="20"/>
          <w:color w:val="auto"/>
        </w:rPr>
        <w:tab/>
      </w:r>
      <w:r>
        <w:rPr>
          <w:rFonts w:ascii="Arial" w:cs="Arial" w:eastAsia="Arial" w:hAnsi="Arial"/>
          <w:sz w:val="18"/>
          <w:szCs w:val="18"/>
          <w:color w:val="auto"/>
        </w:rPr>
        <w:t>7,233</w:t>
      </w:r>
    </w:p>
    <w:p>
      <w:pPr>
        <w:spacing w:after="0" w:line="63" w:lineRule="exact"/>
        <w:rPr>
          <w:sz w:val="20"/>
          <w:szCs w:val="20"/>
          <w:color w:val="auto"/>
        </w:rPr>
      </w:pPr>
    </w:p>
    <w:p>
      <w:pPr>
        <w:ind w:left="2520"/>
        <w:spacing w:after="0"/>
        <w:tabs>
          <w:tab w:leader="none" w:pos="38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148</w:t>
      </w:r>
    </w:p>
    <w:p>
      <w:pPr>
        <w:spacing w:after="0" w:line="63" w:lineRule="exact"/>
        <w:rPr>
          <w:sz w:val="20"/>
          <w:szCs w:val="20"/>
          <w:color w:val="auto"/>
        </w:rPr>
      </w:pPr>
    </w:p>
    <w:p>
      <w:pPr>
        <w:ind w:left="2380"/>
        <w:spacing w:after="0"/>
        <w:tabs>
          <w:tab w:leader="none" w:pos="3720" w:val="left"/>
        </w:tabs>
        <w:rPr>
          <w:sz w:val="20"/>
          <w:szCs w:val="20"/>
          <w:color w:val="auto"/>
        </w:rPr>
      </w:pPr>
      <w:r>
        <w:rPr>
          <w:rFonts w:ascii="Arial" w:cs="Arial" w:eastAsia="Arial" w:hAnsi="Arial"/>
          <w:sz w:val="18"/>
          <w:szCs w:val="18"/>
          <w:color w:val="auto"/>
        </w:rPr>
        <w:t>4,997</w:t>
      </w:r>
      <w:r>
        <w:rPr>
          <w:sz w:val="20"/>
          <w:szCs w:val="20"/>
          <w:color w:val="auto"/>
        </w:rPr>
        <w:tab/>
      </w:r>
      <w:r>
        <w:rPr>
          <w:rFonts w:ascii="Arial" w:cs="Arial" w:eastAsia="Arial" w:hAnsi="Arial"/>
          <w:sz w:val="18"/>
          <w:szCs w:val="18"/>
          <w:color w:val="auto"/>
        </w:rPr>
        <w:t>4,997</w:t>
      </w:r>
    </w:p>
    <w:p>
      <w:pPr>
        <w:spacing w:after="0" w:line="63" w:lineRule="exact"/>
        <w:rPr>
          <w:sz w:val="20"/>
          <w:szCs w:val="20"/>
          <w:color w:val="auto"/>
        </w:rPr>
      </w:pPr>
    </w:p>
    <w:p>
      <w:pPr>
        <w:ind w:left="2300"/>
        <w:spacing w:after="0"/>
        <w:tabs>
          <w:tab w:leader="none" w:pos="3640" w:val="left"/>
        </w:tabs>
        <w:rPr>
          <w:sz w:val="20"/>
          <w:szCs w:val="20"/>
          <w:color w:val="auto"/>
        </w:rPr>
      </w:pPr>
      <w:r>
        <w:rPr>
          <w:rFonts w:ascii="Arial" w:cs="Arial" w:eastAsia="Arial" w:hAnsi="Arial"/>
          <w:sz w:val="18"/>
          <w:szCs w:val="18"/>
          <w:color w:val="auto"/>
        </w:rPr>
        <w:t>11,322</w:t>
      </w:r>
      <w:r>
        <w:rPr>
          <w:sz w:val="20"/>
          <w:szCs w:val="20"/>
          <w:color w:val="auto"/>
        </w:rPr>
        <w:tab/>
      </w:r>
      <w:r>
        <w:rPr>
          <w:rFonts w:ascii="Arial" w:cs="Arial" w:eastAsia="Arial" w:hAnsi="Arial"/>
          <w:sz w:val="18"/>
          <w:szCs w:val="18"/>
          <w:color w:val="auto"/>
        </w:rPr>
        <w:t>10,805</w:t>
      </w:r>
    </w:p>
    <w:p>
      <w:pPr>
        <w:spacing w:after="0" w:line="63" w:lineRule="exact"/>
        <w:rPr>
          <w:sz w:val="20"/>
          <w:szCs w:val="20"/>
          <w:color w:val="auto"/>
        </w:rPr>
      </w:pPr>
    </w:p>
    <w:p>
      <w:pPr>
        <w:ind w:left="2520"/>
        <w:spacing w:after="0"/>
        <w:tabs>
          <w:tab w:leader="none" w:pos="38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31750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p>
      <w:pPr>
        <w:ind w:left="2300"/>
        <w:spacing w:after="0"/>
        <w:tabs>
          <w:tab w:leader="none" w:pos="3640" w:val="left"/>
        </w:tabs>
        <w:rPr>
          <w:sz w:val="20"/>
          <w:szCs w:val="20"/>
          <w:color w:val="auto"/>
        </w:rPr>
      </w:pPr>
      <w:r>
        <w:rPr>
          <w:rFonts w:ascii="Arial" w:cs="Arial" w:eastAsia="Arial" w:hAnsi="Arial"/>
          <w:sz w:val="18"/>
          <w:szCs w:val="18"/>
          <w:color w:val="auto"/>
        </w:rPr>
        <w:t>33,300</w:t>
      </w:r>
      <w:r>
        <w:rPr>
          <w:sz w:val="20"/>
          <w:szCs w:val="20"/>
          <w:color w:val="auto"/>
        </w:rPr>
        <w:tab/>
      </w:r>
      <w:r>
        <w:rPr>
          <w:rFonts w:ascii="Arial" w:cs="Arial" w:eastAsia="Arial" w:hAnsi="Arial"/>
          <w:sz w:val="18"/>
          <w:szCs w:val="18"/>
          <w:color w:val="auto"/>
        </w:rPr>
        <w:t>35,581</w:t>
      </w:r>
    </w:p>
    <w:p>
      <w:pPr>
        <w:spacing w:after="0" w:line="63" w:lineRule="exact"/>
        <w:rPr>
          <w:sz w:val="20"/>
          <w:szCs w:val="20"/>
          <w:color w:val="auto"/>
        </w:rPr>
      </w:pPr>
    </w:p>
    <w:p>
      <w:pPr>
        <w:jc w:val="both"/>
        <w:ind w:left="2240"/>
        <w:spacing w:after="0"/>
        <w:tabs>
          <w:tab w:leader="none" w:pos="3580" w:val="left"/>
        </w:tabs>
        <w:rPr>
          <w:sz w:val="20"/>
          <w:szCs w:val="20"/>
          <w:color w:val="auto"/>
        </w:rPr>
      </w:pPr>
      <w:r>
        <w:rPr>
          <w:rFonts w:ascii="Arial" w:cs="Arial" w:eastAsia="Arial" w:hAnsi="Arial"/>
          <w:sz w:val="18"/>
          <w:szCs w:val="18"/>
          <w:color w:val="auto"/>
        </w:rPr>
        <w:t>(19,251)</w:t>
      </w:r>
      <w:r>
        <w:rPr>
          <w:sz w:val="20"/>
          <w:szCs w:val="20"/>
          <w:color w:val="auto"/>
        </w:rPr>
        <w:tab/>
      </w:r>
      <w:r>
        <w:rPr>
          <w:rFonts w:ascii="Arial" w:cs="Arial" w:eastAsia="Arial" w:hAnsi="Arial"/>
          <w:sz w:val="18"/>
          <w:szCs w:val="18"/>
          <w:color w:val="auto"/>
        </w:rPr>
        <w:t>(18,577)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31750</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p>
      <w:pPr>
        <w:ind w:left="1660"/>
        <w:spacing w:after="0"/>
        <w:tabs>
          <w:tab w:leader="none" w:pos="2280" w:val="left"/>
          <w:tab w:leader="none" w:pos="3020" w:val="left"/>
          <w:tab w:leader="none" w:pos="3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14,049</w:t>
        <w:tab/>
        <w:t>$</w:t>
      </w:r>
      <w:r>
        <w:rPr>
          <w:sz w:val="20"/>
          <w:szCs w:val="20"/>
          <w:color w:val="auto"/>
        </w:rPr>
        <w:tab/>
      </w:r>
      <w:r>
        <w:rPr>
          <w:rFonts w:ascii="Arial" w:cs="Arial" w:eastAsia="Arial" w:hAnsi="Arial"/>
          <w:sz w:val="16"/>
          <w:szCs w:val="16"/>
          <w:color w:val="auto"/>
        </w:rPr>
        <w:t>17,004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31750</wp:posOffset>
            </wp:positionV>
            <wp:extent cx="16637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2"/>
              </w:rPr>
              <w:t>March 31, 2016</w:t>
            </w:r>
          </w:p>
        </w:tc>
        <w:tc>
          <w:tcPr>
            <w:tcW w:w="0" w:type="dxa"/>
            <w:vAlign w:val="bottom"/>
          </w:tcPr>
          <w:p>
            <w:pPr>
              <w:spacing w:after="0"/>
              <w:rPr>
                <w:sz w:val="1"/>
                <w:szCs w:val="1"/>
                <w:color w:val="auto"/>
              </w:rPr>
            </w:pPr>
          </w:p>
        </w:tc>
      </w:tr>
      <w:tr>
        <w:trPr>
          <w:trHeight w:val="186"/>
        </w:trPr>
        <w:tc>
          <w:tcPr>
            <w:tcW w:w="10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440" w:space="720"/>
            <w:col w:w="4240"/>
          </w:cols>
          <w:pgMar w:left="240" w:top="611" w:right="25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7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7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Equipment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0"/>
        </w:trPr>
        <w:tc>
          <w:tcPr>
            <w:tcW w:w="7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Orion recorded depreciation expense of $366,000 and $755,000 for the three and six months ended September 30, 2016, respectively, and $766,000 and $1,561,000 for the three and six months ended September 30, 2015, respectively.</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11" w:right="259" w:bottom="1440" w:gutter="0" w:footer="0" w:header="0"/>
          <w:type w:val="continuous"/>
        </w:sectPr>
      </w:pPr>
    </w:p>
    <w:bookmarkStart w:id="9" w:name="page10"/>
    <w:bookmarkEnd w:id="9"/>
    <w:p>
      <w:pPr>
        <w:ind w:left="420"/>
        <w:spacing w:after="0"/>
        <w:rPr>
          <w:sz w:val="20"/>
          <w:szCs w:val="20"/>
          <w:color w:val="auto"/>
        </w:rPr>
      </w:pPr>
      <w:r>
        <w:rPr>
          <w:rFonts w:ascii="Arial" w:cs="Arial" w:eastAsia="Arial" w:hAnsi="Arial"/>
          <w:sz w:val="16"/>
          <w:szCs w:val="16"/>
          <w:color w:val="auto"/>
        </w:rPr>
        <w:t>Depreciable lives by asset category are as follows:</w:t>
      </w:r>
    </w:p>
    <w:p>
      <w:pPr>
        <w:sectPr>
          <w:pgSz w:w="11900" w:h="16838" w:orient="portrait"/>
          <w:cols w:equalWidth="0" w:num="1">
            <w:col w:w="11420"/>
          </w:cols>
          <w:pgMar w:left="240" w:top="908" w:right="239" w:bottom="1440" w:gutter="0" w:footer="0" w:header="0"/>
        </w:sectPr>
      </w:pP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Land improvements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10-15 years</w:t>
      </w:r>
    </w:p>
    <w:p>
      <w:pPr>
        <w:spacing w:after="0" w:line="97" w:lineRule="exact"/>
        <w:rPr>
          <w:sz w:val="20"/>
          <w:szCs w:val="20"/>
          <w:color w:val="auto"/>
        </w:rPr>
      </w:pPr>
    </w:p>
    <w:p>
      <w:pPr>
        <w:sectPr>
          <w:pgSz w:w="11900" w:h="16838" w:orient="portrait"/>
          <w:cols w:equalWidth="0" w:num="2">
            <w:col w:w="7440" w:space="720"/>
            <w:col w:w="3260"/>
          </w:cols>
          <w:pgMar w:left="240" w:top="90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Buildings and building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3-39 years</w:t>
      </w:r>
    </w:p>
    <w:p>
      <w:pPr>
        <w:spacing w:after="0" w:line="86" w:lineRule="exact"/>
        <w:rPr>
          <w:sz w:val="20"/>
          <w:szCs w:val="20"/>
          <w:color w:val="auto"/>
        </w:rPr>
      </w:pPr>
    </w:p>
    <w:p>
      <w:pPr>
        <w:sectPr>
          <w:pgSz w:w="11900" w:h="16838" w:orient="portrait"/>
          <w:cols w:equalWidth="0" w:num="2">
            <w:col w:w="7440" w:space="720"/>
            <w:col w:w="3260"/>
          </w:cols>
          <w:pgMar w:left="240" w:top="90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Furniture, fixtures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2-10 years</w:t>
      </w:r>
    </w:p>
    <w:p>
      <w:pPr>
        <w:spacing w:after="0" w:line="86" w:lineRule="exact"/>
        <w:rPr>
          <w:sz w:val="20"/>
          <w:szCs w:val="20"/>
          <w:color w:val="auto"/>
        </w:rPr>
      </w:pPr>
    </w:p>
    <w:p>
      <w:pPr>
        <w:sectPr>
          <w:pgSz w:w="11900" w:h="16838" w:orient="portrait"/>
          <w:cols w:equalWidth="0" w:num="2">
            <w:col w:w="7440" w:space="720"/>
            <w:col w:w="3260"/>
          </w:cols>
          <w:pgMar w:left="240" w:top="90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Shorter of asset life or life of lease</w:t>
      </w:r>
    </w:p>
    <w:p>
      <w:pPr>
        <w:spacing w:after="0" w:line="86" w:lineRule="exact"/>
        <w:rPr>
          <w:sz w:val="20"/>
          <w:szCs w:val="20"/>
          <w:color w:val="auto"/>
        </w:rPr>
      </w:pPr>
    </w:p>
    <w:p>
      <w:pPr>
        <w:sectPr>
          <w:pgSz w:w="11900" w:h="16838" w:orient="portrait"/>
          <w:cols w:equalWidth="0" w:num="2">
            <w:col w:w="7440" w:space="720"/>
            <w:col w:w="3260"/>
          </w:cols>
          <w:pgMar w:left="240" w:top="908"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Equipment leased to customers under Power Purchase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 years</w:t>
      </w:r>
    </w:p>
    <w:p>
      <w:pPr>
        <w:spacing w:after="0" w:line="86" w:lineRule="exact"/>
        <w:rPr>
          <w:sz w:val="20"/>
          <w:szCs w:val="20"/>
          <w:color w:val="auto"/>
        </w:rPr>
      </w:pPr>
    </w:p>
    <w:p>
      <w:pPr>
        <w:sectPr>
          <w:pgSz w:w="11900" w:h="16838" w:orient="portrait"/>
          <w:cols w:equalWidth="0" w:num="2">
            <w:col w:w="7440" w:space="720"/>
            <w:col w:w="3260"/>
          </w:cols>
          <w:pgMar w:left="240" w:top="90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Plant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3-10 years</w:t>
      </w:r>
    </w:p>
    <w:p>
      <w:pPr>
        <w:spacing w:after="0" w:line="200" w:lineRule="exact"/>
        <w:rPr>
          <w:sz w:val="20"/>
          <w:szCs w:val="20"/>
          <w:color w:val="auto"/>
        </w:rPr>
      </w:pPr>
    </w:p>
    <w:p>
      <w:pPr>
        <w:sectPr>
          <w:pgSz w:w="11900" w:h="16838" w:orient="portrait"/>
          <w:cols w:equalWidth="0" w:num="2">
            <w:col w:w="7440" w:space="720"/>
            <w:col w:w="3260"/>
          </w:cols>
          <w:pgMar w:left="240" w:top="908" w:right="2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ind w:right="40" w:firstLine="432"/>
        <w:spacing w:after="0" w:line="334" w:lineRule="auto"/>
        <w:rPr>
          <w:sz w:val="20"/>
          <w:szCs w:val="20"/>
          <w:color w:val="auto"/>
        </w:rPr>
      </w:pPr>
      <w:r>
        <w:rPr>
          <w:rFonts w:ascii="Arial" w:cs="Arial" w:eastAsia="Arial" w:hAnsi="Arial"/>
          <w:sz w:val="16"/>
          <w:szCs w:val="16"/>
          <w:color w:val="auto"/>
        </w:rPr>
        <w:t>The costs of specifically identifiable intangible assets that do not have an indefinite life are amortized over their estimated useful lives. Intangible assets with indefinite lives are not amortized and are reviewed for impairment annually, as of January 1, or more frequently if impairment indicators arise.</w:t>
      </w:r>
    </w:p>
    <w:p>
      <w:pPr>
        <w:spacing w:after="0" w:line="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Amortizable intangible assets are amortized over their estimated economic useful life to reflect the pattern of economic benefits consumed based upon the following lives and methods:</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Patents</w:t>
            </w:r>
          </w:p>
        </w:tc>
        <w:tc>
          <w:tcPr>
            <w:tcW w:w="1680" w:type="dxa"/>
            <w:vAlign w:val="bottom"/>
          </w:tcPr>
          <w:p>
            <w:pPr>
              <w:ind w:left="420"/>
              <w:spacing w:after="0"/>
              <w:rPr>
                <w:sz w:val="20"/>
                <w:szCs w:val="20"/>
                <w:color w:val="auto"/>
              </w:rPr>
            </w:pPr>
            <w:r>
              <w:rPr>
                <w:rFonts w:ascii="Arial" w:cs="Arial" w:eastAsia="Arial" w:hAnsi="Arial"/>
                <w:sz w:val="18"/>
                <w:szCs w:val="18"/>
                <w:color w:val="auto"/>
              </w:rPr>
              <w:t>10-17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Licenses</w:t>
            </w:r>
          </w:p>
        </w:tc>
        <w:tc>
          <w:tcPr>
            <w:tcW w:w="1680" w:type="dxa"/>
            <w:vAlign w:val="bottom"/>
          </w:tcPr>
          <w:p>
            <w:pPr>
              <w:ind w:left="420"/>
              <w:spacing w:after="0"/>
              <w:rPr>
                <w:sz w:val="20"/>
                <w:szCs w:val="20"/>
                <w:color w:val="auto"/>
              </w:rPr>
            </w:pPr>
            <w:r>
              <w:rPr>
                <w:rFonts w:ascii="Arial" w:cs="Arial" w:eastAsia="Arial" w:hAnsi="Arial"/>
                <w:sz w:val="18"/>
                <w:szCs w:val="18"/>
                <w:color w:val="auto"/>
              </w:rPr>
              <w:t>7-13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80" w:type="dxa"/>
            <w:vAlign w:val="bottom"/>
          </w:tcPr>
          <w:p>
            <w:pPr>
              <w:ind w:left="420"/>
              <w:spacing w:after="0"/>
              <w:rPr>
                <w:sz w:val="20"/>
                <w:szCs w:val="20"/>
                <w:color w:val="auto"/>
              </w:rPr>
            </w:pPr>
            <w:r>
              <w:rPr>
                <w:rFonts w:ascii="Arial" w:cs="Arial" w:eastAsia="Arial" w:hAnsi="Arial"/>
                <w:sz w:val="18"/>
                <w:szCs w:val="18"/>
                <w:color w:val="auto"/>
              </w:rPr>
              <w:t>5-8 years</w:t>
            </w:r>
          </w:p>
        </w:tc>
        <w:tc>
          <w:tcPr>
            <w:tcW w:w="5280" w:type="dxa"/>
            <w:vAlign w:val="bottom"/>
          </w:tcPr>
          <w:p>
            <w:pPr>
              <w:ind w:left="420"/>
              <w:spacing w:after="0"/>
              <w:rPr>
                <w:sz w:val="20"/>
                <w:szCs w:val="20"/>
                <w:color w:val="auto"/>
              </w:rPr>
            </w:pPr>
            <w:r>
              <w:rPr>
                <w:rFonts w:ascii="Arial" w:cs="Arial" w:eastAsia="Arial" w:hAnsi="Arial"/>
                <w:sz w:val="18"/>
                <w:szCs w:val="18"/>
                <w:color w:val="auto"/>
                <w:w w:val="89"/>
              </w:rPr>
              <w:t>Accelerated based upon the pattern of economic benefits consumed</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Developed technology</w:t>
            </w:r>
          </w:p>
        </w:tc>
        <w:tc>
          <w:tcPr>
            <w:tcW w:w="1680" w:type="dxa"/>
            <w:vAlign w:val="bottom"/>
          </w:tcPr>
          <w:p>
            <w:pPr>
              <w:ind w:left="420"/>
              <w:spacing w:after="0"/>
              <w:rPr>
                <w:sz w:val="20"/>
                <w:szCs w:val="20"/>
                <w:color w:val="auto"/>
              </w:rPr>
            </w:pPr>
            <w:r>
              <w:rPr>
                <w:rFonts w:ascii="Arial" w:cs="Arial" w:eastAsia="Arial" w:hAnsi="Arial"/>
                <w:sz w:val="18"/>
                <w:szCs w:val="18"/>
                <w:color w:val="auto"/>
              </w:rPr>
              <w:t>8 years</w:t>
            </w:r>
          </w:p>
        </w:tc>
        <w:tc>
          <w:tcPr>
            <w:tcW w:w="5280" w:type="dxa"/>
            <w:vAlign w:val="bottom"/>
          </w:tcPr>
          <w:p>
            <w:pPr>
              <w:ind w:left="420"/>
              <w:spacing w:after="0"/>
              <w:rPr>
                <w:sz w:val="20"/>
                <w:szCs w:val="20"/>
                <w:color w:val="auto"/>
              </w:rPr>
            </w:pPr>
            <w:r>
              <w:rPr>
                <w:rFonts w:ascii="Arial" w:cs="Arial" w:eastAsia="Arial" w:hAnsi="Arial"/>
                <w:sz w:val="18"/>
                <w:szCs w:val="18"/>
                <w:color w:val="auto"/>
                <w:w w:val="89"/>
              </w:rPr>
              <w:t>Accelerated based upon the pattern of economic benefits consumed</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680" w:type="dxa"/>
            <w:vAlign w:val="bottom"/>
          </w:tcPr>
          <w:p>
            <w:pPr>
              <w:ind w:left="420"/>
              <w:spacing w:after="0"/>
              <w:rPr>
                <w:sz w:val="20"/>
                <w:szCs w:val="20"/>
                <w:color w:val="auto"/>
              </w:rPr>
            </w:pPr>
            <w:r>
              <w:rPr>
                <w:rFonts w:ascii="Arial" w:cs="Arial" w:eastAsia="Arial" w:hAnsi="Arial"/>
                <w:sz w:val="18"/>
                <w:szCs w:val="18"/>
                <w:color w:val="auto"/>
              </w:rPr>
              <w:t>5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bl>
    <w:p>
      <w:pPr>
        <w:spacing w:after="0" w:line="17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Indefinite lived intangible assets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estimated by us, the asset may be deemed to be impaired and accordingly a write-down of the value of the asset determined by a discounted cash flow analysis or shorter amortization period may be required.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and changes in, the carrying amount of other intangible assets were as follows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2016</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6"/>
              </w:rPr>
              <w:t>March 31, 2016</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2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4,779</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on intangible assets was $239,000 and $353,000 for the three months ended September 30, 2016 and 2015, respectively.</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on intangible assets was $482,000 and $704,000 for the six months ended September 30, 2016 and 2015, respectively.</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2016, the weighted average useful life of intangible assets was 6.18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08"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w w:val="99"/>
              </w:rPr>
              <w:t>The estimated amortization expense for each of the next five years is shown below (dollars in thousands):</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2017</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Fiscal 2018</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2019</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Fiscal 2020</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2,814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Long-Term Assets</w:t>
            </w: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7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8700" w:type="dxa"/>
            <w:vAlign w:val="bottom"/>
          </w:tcPr>
          <w:p>
            <w:pPr>
              <w:ind w:left="360"/>
              <w:spacing w:after="0"/>
              <w:rPr>
                <w:sz w:val="20"/>
                <w:szCs w:val="20"/>
                <w:color w:val="auto"/>
              </w:rPr>
            </w:pPr>
            <w:r>
              <w:rPr>
                <w:rFonts w:ascii="Arial" w:cs="Arial" w:eastAsia="Arial" w:hAnsi="Arial"/>
                <w:sz w:val="18"/>
                <w:szCs w:val="18"/>
                <w:color w:val="auto"/>
              </w:rPr>
              <w:t>Other long-term assets include the following (dollars in thousands):</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b w:val="1"/>
                <w:bCs w:val="1"/>
                <w:color w:val="auto"/>
                <w:w w:val="94"/>
              </w:rPr>
              <w:t>March 31,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9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Security deposits</w:t>
            </w:r>
          </w:p>
        </w:tc>
        <w:tc>
          <w:tcPr>
            <w:tcW w:w="9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700" w:type="dxa"/>
            <w:vAlign w:val="bottom"/>
          </w:tcPr>
          <w:p>
            <w:pPr>
              <w:ind w:left="10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168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Deferred financing costs relate to Orion’s revolving credit agreement and are recognized to interest expense straight-line over the remaining term of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include the following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March 31, 2016</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Sales tax</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Legal and professional fees (1)</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40"/>
              <w:spacing w:after="0"/>
              <w:rPr>
                <w:sz w:val="20"/>
                <w:szCs w:val="20"/>
                <w:color w:val="auto"/>
              </w:rPr>
            </w:pPr>
            <w:r>
              <w:rPr>
                <w:rFonts w:ascii="Arial" w:cs="Arial" w:eastAsia="Arial" w:hAnsi="Arial"/>
                <w:sz w:val="18"/>
                <w:szCs w:val="18"/>
                <w:color w:val="auto"/>
              </w:rPr>
              <w:t>(1) Includes a $1,400 loss contingency recorded in fiscal 2016.</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Orion generally offers a limited warranty of one to ten years on its lighting products in addition to those standard warranties offered by major original equipment component manufacturers. The manufacturers’ warranties cover lamps and ballasts, which are significant components in Orion's lighting products.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Orion’s warranty accrual (both current and long-term) were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98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5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7"/>
              </w:rPr>
              <w:t>Six Months Ended September 30,</w:t>
            </w:r>
          </w:p>
        </w:tc>
      </w:tr>
      <w:tr>
        <w:trPr>
          <w:trHeight w:val="264"/>
        </w:trPr>
        <w:tc>
          <w:tcPr>
            <w:tcW w:w="560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 (1)</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Provision to product cost of revenue</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89</w:t>
            </w: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End of period (1)</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1,114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1,043</w:t>
            </w:r>
          </w:p>
        </w:tc>
      </w:tr>
      <w:tr>
        <w:trPr>
          <w:trHeight w:val="27"/>
        </w:trPr>
        <w:tc>
          <w:tcPr>
            <w:tcW w:w="56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Includes a $310 reserve related to solar operating system warranties.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 is recognized on the sales of Orion's lighting and related energy-efficiency systems and products when the following four criteria are met:</w:t>
      </w:r>
    </w:p>
    <w:p>
      <w:pPr>
        <w:spacing w:after="0" w:line="221" w:lineRule="exact"/>
        <w:rPr>
          <w:sz w:val="20"/>
          <w:szCs w:val="20"/>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These four criteria are met for Orion’s product-only revenue upon delivery of the product and title passing to the customer. At that time, Orion provides for estimated costs that may be incurred for product warranties and sales returns. Revenues are presented net of sales tax and other sales related taxes.</w:t>
      </w:r>
    </w:p>
    <w:p>
      <w:pPr>
        <w:spacing w:after="0" w:line="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 xml:space="preserve">For sales of Orion’s lighting and energy management technologies under multiple element arrangements, consisting of a combination of product sales and services, Orion determines revenue by allocating the total contract revenue to each element based on their relative selling prices in accordance with ASC 605-25, </w:t>
      </w:r>
      <w:r>
        <w:rPr>
          <w:rFonts w:ascii="Arial" w:cs="Arial" w:eastAsia="Arial" w:hAnsi="Arial"/>
          <w:sz w:val="18"/>
          <w:szCs w:val="18"/>
          <w:i w:val="1"/>
          <w:iCs w:val="1"/>
          <w:color w:val="auto"/>
        </w:rPr>
        <w:t>Revenue Recognition - Multiple Element Arrangements</w:t>
      </w:r>
      <w:r>
        <w:rPr>
          <w:rFonts w:ascii="Arial" w:cs="Arial" w:eastAsia="Arial" w:hAnsi="Arial"/>
          <w:sz w:val="18"/>
          <w:szCs w:val="18"/>
          <w:color w:val="auto"/>
        </w:rPr>
        <w:t>. In such circumstances, Orion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Orion determines estimated selling price is provided below).</w:t>
      </w:r>
    </w:p>
    <w:p>
      <w:pPr>
        <w:spacing w:after="0" w:line="139"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nature of Orion’s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2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To determine the selling price in multiple-element arrangements, Orion establishes the selling price for its energy management system products using management's best estimate of the selling price, as VSOE or TPE does not exist. Product revenue is recognized when products are shipped. For product revenue, management's best estimate of selling price is determined using a cost plus gross profit margin method. In addition, Orion records in service revenue the selling price for its installation and recycling services using management’s best estimate of selling price, as VSOE or TPE does not exist. Service revenue is recognized when services are completed and customer acceptance has been received. Recycling services provided in connection with installation entail the disposal of the customer’s legacy lighting fixtures. Orion’s service revenues, other than for installation and recycling that are completed prior to delivery of the product, are included in product revenue using management’s best estimate of selling price, as VSOE or TPE does not exist. These services include comprehensive site assessment, site field verification, utility incentive and government subsidy management, engineering design, and project management. For these services, along with Orion's installation and recycling services, under a multiple-element arrangement, management’s best estimate of selling price is determined by considering economic conditions and trends, customer demand, pricing practices, margin objectives, competition, geographies in which Orion offers its products and services and internal costs. The determination of an estimated selling price is made through consultation with and approval by management, taking into account the preceding factors.</w:t>
      </w:r>
    </w:p>
    <w:p>
      <w:pPr>
        <w:spacing w:after="0" w:line="45"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1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Orion offers a financing program, called a power purchase agreement, or PPA, for Orion’s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11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Condensed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1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3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For the three and six months ended September 30, 2016 and 2015, Orion was in a net loss position; therefore, the basic and diluted weighted average shares outstanding are equal because any increase to the basic shares would be anti-dilutive. The effect of net loss per common share is calculated based upon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 (in thousands)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28,171,899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27,598,492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28,029,526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27,540,378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Weighted-average common shares and common share equivalents</w:t>
            </w:r>
          </w:p>
        </w:tc>
        <w:tc>
          <w:tcPr>
            <w:tcW w:w="28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28,171,899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27,598,492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28,029,526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27,540,378</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dilution because their inclusion would have been anit-dilutive. Amounts are as of the end of each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2016</w:t>
            </w:r>
          </w:p>
        </w:tc>
        <w:tc>
          <w:tcPr>
            <w:tcW w:w="1460" w:type="dxa"/>
            <w:vAlign w:val="bottom"/>
          </w:tcPr>
          <w:p>
            <w:pPr>
              <w:jc w:val="right"/>
              <w:ind w:right="34"/>
              <w:spacing w:after="0"/>
              <w:rPr>
                <w:sz w:val="20"/>
                <w:szCs w:val="20"/>
                <w:color w:val="auto"/>
              </w:rPr>
            </w:pPr>
            <w:r>
              <w:rPr>
                <w:rFonts w:ascii="Arial" w:cs="Arial" w:eastAsia="Arial" w:hAnsi="Arial"/>
                <w:sz w:val="14"/>
                <w:szCs w:val="14"/>
                <w:b w:val="1"/>
                <w:bCs w:val="1"/>
                <w:color w:val="auto"/>
              </w:rPr>
              <w:t>September 30,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1,942,446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2,283,836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1,723,920</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1,053,865</w:t>
            </w: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3,666,366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3,337,701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right="580" w:firstLine="405"/>
        <w:spacing w:after="0" w:line="342" w:lineRule="auto"/>
        <w:rPr>
          <w:sz w:val="20"/>
          <w:szCs w:val="20"/>
          <w:color w:val="auto"/>
        </w:rPr>
      </w:pPr>
      <w:r>
        <w:rPr>
          <w:rFonts w:ascii="Arial" w:cs="Arial" w:eastAsia="Arial" w:hAnsi="Arial"/>
          <w:sz w:val="16"/>
          <w:szCs w:val="16"/>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risk on these balances.</w:t>
      </w:r>
    </w:p>
    <w:p>
      <w:pPr>
        <w:spacing w:after="0" w:line="7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the three and six months ended September 30, 2016 and 2015, no supplier accounted for more than 10% of total cost of revenue.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three and six months ended September 30, 2016 and 2015, no customer accounted for more than 10% of revenue.</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September 30, 2016, one customer accounted for more than 10% of accounts receivable. As of March 31, 2016, one customer accounted for more than 10% of accounts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August 2016, the Financial Accounting Standards Board (“FASB”) issued Accounting Standard Update (“ASU”) 2016-15, "Classification of Certain Cash Receipts and Cash Payments," which provides clarification and additional guidance as to the presentation and classification of certain cash receipts and cash payments in the statement of cash flows. Under this guidance, an entity will no longer have discretion to choose the classification for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The new standard will be effective for Orion in the first quarter of fiscal 2019 and will be applied through retrospective adjustment to all periods presented. Orion does not expect the adoption of this guidance to have a material impact on its consolidated financial statements.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changes how companies account for certain aspects of share-based payment awards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11"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employees, including the accounting for income taxes, forfeitures, and statutory tax withholding requirements, as well as the classification of related matters in the statement of cash flows. The ASU is effective for Orion in the first quarter of Orion's fiscal 2018. Management is currently assessing the impact of adoption on its consolidated financial statements.</w:t>
      </w:r>
    </w:p>
    <w:p>
      <w:pPr>
        <w:spacing w:after="0" w:line="12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February 2016, the FASB issued ASU 2016-02, “Leases (Subtopic 842)." This ASU requires that lessees recognize assets and liabilities on the balance sheet for the rights and obligations created by long-term leases and disclose additional quantitative and qualitative information about leasing arrangements. This ASU also provides clarifications surrounding the presentation of the effects of leases in the income statement and statement of cash flows. This guidance will be effective for Orion on April 1, 2019. Management is currently assessing the impact of adoption on its consolidated financial statements.</w:t>
      </w:r>
    </w:p>
    <w:p>
      <w:pPr>
        <w:spacing w:after="0" w:line="1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November 2015, the FASB issued ASU 2015-17, “Income Taxes (Topic 740): Balance Sheet Classification of Deferred Taxes,” to simplify the presentation of deferred taxes. The amendments in this update require that deferred tax assets and liabilities be classified as non-current on the balance sheet. This ASU is effective for Orion's annual reporting period, and interim periods therein, beginning on April 1, 2017 with earlier adoption permitted. The guidance may be adopted either prospectively or retrospectively. Orion does not expect adoption of this standard will have a significant impact on its consolidated financial statements.</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which changes the measurement principle for inventory from the lower of cost or market to the lower of cost or net realizable value for entities that measure inventory using first-in, first-out (FIFO) or average cost. Net realizable value is defined as the estimated selling prices in the ordinary course of business, less reasonably predictable costs of completion, disposal, and transportation. This ASU is effective for Orion on April 1, 2017. Orion is currently assessing the impact of this standard on its consolidated financial statements.</w:t>
      </w:r>
    </w:p>
    <w:p>
      <w:pPr>
        <w:spacing w:after="0" w:line="134" w:lineRule="exact"/>
        <w:rPr>
          <w:sz w:val="20"/>
          <w:szCs w:val="20"/>
          <w:color w:val="auto"/>
        </w:rPr>
      </w:pPr>
    </w:p>
    <w:p>
      <w:pPr>
        <w:ind w:right="320" w:firstLine="405"/>
        <w:spacing w:after="0" w:line="257" w:lineRule="auto"/>
        <w:rPr>
          <w:sz w:val="20"/>
          <w:szCs w:val="20"/>
          <w:color w:val="auto"/>
        </w:rPr>
      </w:pPr>
      <w:r>
        <w:rPr>
          <w:rFonts w:ascii="Arial" w:cs="Arial" w:eastAsia="Arial" w:hAnsi="Arial"/>
          <w:sz w:val="18"/>
          <w:szCs w:val="18"/>
          <w:color w:val="auto"/>
        </w:rPr>
        <w:t>In August 2014, the FASB issued Accounting Standards Update No. 2014-15, "Presentation of Financial Statements - Going Concern" ("ASU 2014-15"). ASU 2014-15 requires an entity's management to evaluate whether there are conditions or events, considered in the aggregate, that raise substantial doubt about the entity's ability to continue as a going concern and if those conditions exist, the required disclosures. The standard is effective for annual periods ending after December 15, 2016, and interim periods therein. Orion does not expect adoption of this standard will have a significant impact on its consolidated financial statements.</w:t>
      </w:r>
    </w:p>
    <w:p>
      <w:pPr>
        <w:spacing w:after="0" w:line="13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This ASU is a comprehensive new revenue recognition model that requires a company to recognize revenue to depict the transfer of goods or services to a customer at an amount that reflects the consideration it expects to receive in exchange for those goods or services. Since the issuance of this ASU the FASB has issued further ASU’s to provide additional guidance and clarification as to the application of ASU 2014-09 and delaying its original effective date. These ASU’s are effective for Orion beginning on April 1, 2018 (as amended by ASU 2015-14) and early adoption is not permitted. Companies may use either a full retrospective or modified retrospective approach to adopt this ASU. Orion is currently evaluating the impact and method of adoption of ASU 2014-09, ASU 2015-14, ASU 2016-08, ASU 2016-10, ASU 2016-11 and ASU 2016-12.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April 1, 2016. Orion adopted the provisions of ASU 2015-03 “Interest-Imputation of Interest (Subtopic 835-30): Simplifying the Presentation of Debt Issuance Costs” and the related ASU 2015-15 “Interest-Imputation of Interest (Subtopic 835-30): Presentation and Subsequent Measurement of Debt Issuance Costs Associated with Line of Credit Arrangements- Amendments to SEC Paragraphs Pursuant to Staff Announcement at June 18, 2015 EITF Meeting (SEC Update).” This guidance requires that debt issuance costs related to a recognized debt liability be presented in the balance sheet as a reduction of the carrying amount of that debt liability, consistent with debt discounts, with the exception of debt issuance costs associated with line of credit agreements which may remain classified as an asset and amortized ratably over the term of the line-of-credit arrangement, regardless of whether there are any outstanding borrowings on the line-of-credit arrangement. As Orion’s only deferred debt issuance costs relate to its revolving line of credit, upon adoption of these standards a reclassification of the deferred financing costs was not required and there was no impact on Orion’s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RELATED PARTY TRANSACTIONS</w:t>
      </w:r>
    </w:p>
    <w:p>
      <w:pPr>
        <w:spacing w:after="0" w:line="94"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During the three months ended September 30, 2016 and 2015, Orion purchased goods and services in the amount of approximately $25,000 and $0, respectively, from an entity for which a director of Orion is a minority owner and serves as president and chairman of the board of directors and from an immediate family member of a named executive officer.</w:t>
      </w:r>
    </w:p>
    <w:p>
      <w:pPr>
        <w:spacing w:after="0" w:line="4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During the six months ended September 30, 2016 and 2015, Orion purchased goods and services in the amount of approximately $32,000 and $6,000, respectively, from an entity for which a director of Orion is a minority owner and serves as president and chairman of the board of directors and from an immediate family member of a named executive officer.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March 31, 2016</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Harris seller's note</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5,097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February 6, 2015, Orion entered into a credit and security agreement (Credit Agreement) with Wells Fargo Bank, National Association. The Credit Agreement provides for a revolving credit facility (Credit Facility) that matures on February 6, 2018. Borrowings under the Credit Facility are initially limited to $15,000,000 subject to a borrowing base requirement based on eligible receivables and inventory. Such limit may increase to $20,000,000, subject to the borrowing base requirement, after July 31, 2016, if the Company satisfies certain conditions. The Credit Facility includes a $2,000,000 sublimit for the issuance of letters of credit.</w:t>
      </w:r>
    </w:p>
    <w:p>
      <w:pPr>
        <w:spacing w:after="0" w:line="13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From and after any increase in the Credit Facility limit from $15,000,000 to $20,000,000, the Credit Agreement will require Orion to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July 31, 2016, Orion has not satisfied the conditions necessary to increase the borrowing limit to $20,000,000.</w:t>
      </w:r>
    </w:p>
    <w:p>
      <w:pPr>
        <w:spacing w:after="0" w:line="171"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Each subsidiary of Orion is a joint and several co-borrower or guarantor under the Credit Agreement, and the Credit Agreement is secured by a security interest in substantially all of Orion’s and each subsidiary’s personal property (excluding various assets relating to customer OTAs) and a mortgage on certain real property.</w:t>
      </w:r>
    </w:p>
    <w:p>
      <w:pPr>
        <w:spacing w:after="0" w:line="12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$130,000, regardless of usage. As of September 30, 2016, the interest rate was 3.85%. Orion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7"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As of September 30, 2016, Orion had no outstanding letters of credit. Borrowings outstanding as of September 30, 2016, amounted to approximately $4,860,000 and are included in non-current liabilities in the accompanying Condensed Consolidated Balance Sheet. Orion estimates that as of September 30, 2016, it was eligible to borrow an additional $533,000 under the Credit Facility based upon current levels of eligible inventory and accounts receivable.</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Orion was in compliance with its covenants in the Credit Agreement as of September 30,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Harris Seller's Note</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July 1, 2013, Orion issued an unsecured and subordinated promissory note in the principal amount of $3,124,000 to partially fund the acquisition of Harris. The note is included in the table above as Harris seller's note. The note's interest rate was 4% per annum. Principal and interest were payable quarterly. The note matured in July 2016 and was paid in full upon maturity.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6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Equipment Lease Obligation</w:t>
      </w:r>
    </w:p>
    <w:p>
      <w:pPr>
        <w:spacing w:after="0" w:line="171"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In March 2016 and June 2015, Orion entered into two lease agreements with a financing company in the principal amount of $19,000 and $377,000, respectively, to fund certain equipment. The leases are secured by the related equipment. The leases bear interest at a rate of 5.94% and 3.6%, respectively, and mature in February 2018 and June 2020. Both leases contain a one dollar buyout option.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2014, Orion entered into a secured borrowing agreement with a financing company in the principal amount of $446,000 to fund completed customer contracts under its OTA finance program that were previously funded under the OTA credit agreement with a major bank, which was terminated in November 2014. This note is included in the table above as customer equipment finance notes payable. The loan amount is secured by the OTA-related equipment and the expected future monthly payments under the supporting 25 individual OTA customer contracts. The borrowing agreement bears interest at a rate of 8.36% and matures in December 2016.</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June 2011, Orion entered into a note agreement with a financial institution that provided Orion with $2,831,000 to fund completed customer contracts under Orion’s OTA finance program. This note is included in the table above as customer equipment finance notes payable in the prior year. The note bore interest at 7.85%. The note matured in April 2016 and was paid in full upon maturity.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September 2010, Orion entered into a note agreement with the Wisconsin Department of Commerce that provided Orion with $260,000 to fund Orion’s rooftop solar project at its Manitowoc facility. This note is included in the table above as other long-term debt. The note is collateralized by the related solar equipment. The note allowed for two years without interest accruing or principal payments due. Beginning in July 2012, the note bears interest at 2% and requires monthly payments of $4,600. The note matures in June 2017. The note agreement requires Orion to maintain a certain number of jobs at its Manitowoc facilities during the note’s duration. Orion was in compliance with all covenants in the note agreement as of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94"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The income tax provision for the three months ended September 30, 2016 was determined by applying an estimated annual effective tax rate of (1.0)% to loss before taxes. The estimated effective tax rate for the three month period ended September 30, 2015 was (0.1)%. The estimated effective income tax rate was determined by applying statutory tax rates to pretax loss adjusted for certain permanent book to tax differences and tax credits.</w:t>
      </w:r>
    </w:p>
    <w:p>
      <w:pPr>
        <w:spacing w:after="0" w:line="1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income tax provision for the six months ended September 30, 2016 was determined by applying an estimated annual effective tax rate of (0.5)% to loss before taxes. Orion had discrete tax items in the first quarter of fiscal 2017 that increased the rate by 6.8% which resulted in a net rate for the quarter of 6.3%. The discrete tax items related to federal tax refunds and the release of a valuation reserve. The estimated effective tax rate for the six month period ended September 30, 2015 was (0.1)%.</w:t>
      </w:r>
    </w:p>
    <w:p>
      <w:pPr>
        <w:spacing w:after="0" w:line="133"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Orion is eligible for tax benefits associated with the excess of the tax deduction available for exercises of non-qualified stock options (NQSOs) over the amount recorded at grant. The amount of the benefit is based upon the ultimate deduction reflected in the applicable income tax return.</w:t>
      </w:r>
    </w:p>
    <w:p>
      <w:pPr>
        <w:spacing w:after="0" w:line="9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As of September 30, 2016, Orion has federal net operating loss carryforwards of approximately $58,747,000, of which $3,247,000 are associated with the exercise of NQSOs that have not yet been recognized by Orion in its financial statements. Orion also has state net operating loss carryforwards of approximately $46,330,000, of which $3,727,000 are associated with the exercise of NQSOs. Orion also has federal tax credit carryforwards of approximately $1,403,000 and state tax credits of $724,000. Orion's net operating loss and tax credit carryforwards will begin to expire in varying amounts between 2020 and 2036. As of September 30, 2016, Orion has recorded a valuation allowance of $26,960,000 equaling the net deferred tax asset due to the uncertainty of its realization value in the future.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September 30, 2016, the balance of gross unrecognized tax benefits was approximately $113,000, all of which would reduce Orion’s effective tax rate if recognized.</w:t>
      </w:r>
    </w:p>
    <w:p>
      <w:pPr>
        <w:spacing w:after="0" w:line="3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Orion leases office space and equipment under operating leases expiring at various dates through 2020. Rent expense under operating leases was $220,000 and $135,000 for the three months ended September 30, 2016 and 2015, respectively, and $322,000 and $246,000 for the six months ended September 30, 2016 and 2015, respectively.</w:t>
      </w:r>
    </w:p>
    <w:p>
      <w:pPr>
        <w:spacing w:after="0" w:line="127"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On March 1, 2016, Orion entered into a lease agreement as a lessor for excess office space at its corporate headquarters in Manitowoc, WI. The initial term of the lease is 24 months and the tenant has the option to extend the term for up to three additional twelve-month periods. The monthly rental payment Orion receives is $21,000 and is included in general and administrative expenses.</w:t>
      </w:r>
    </w:p>
    <w:p>
      <w:pPr>
        <w:spacing w:after="0" w:line="12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March 31, 2016, Orion entered into a purchase and sale agreement ("Agreement") with Tramontina to sell and leaseback its manufacturing and distribution facility for a gross cash purchase price of approximately $2,600,000. The transaction closed on June 30, 2016. Pursuant to the Agreement, a lease was entered into on June 30, 2016, in which Orion is leasing approximately 197,000 square feet of the building for not less than three years, with rent at $2.00 per square foot per annum. Orion's monthly payment under this lease is approximately $40,000. The lease contains options by either party to reduce the amount of leased space after March 1, 2017.</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Orion. In addition to ordinary-course litigation, Orion is a party to the proceedings described below.</w:t>
      </w:r>
    </w:p>
    <w:p>
      <w:pPr>
        <w:spacing w:after="0" w:line="46"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On March 27, 2014, Orion was named as a defendant in a civil lawsuit filed by Neal R. Verfuerth, Orion's former chief executive officer who was terminated for cause in November 2012, in the United States District Court for the Eastern District of Wisconsin (Green Bay Division). The plaintiff alleges, among other things, that Orion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On November 4, 2014, the court granted Orion's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Orion filed a motion to dismiss and a motion to strike certain of the claims made in the amended complaint. On May 18, 2015, the court dismissed the intellectual property claims re-alleged in the January 9, 2015 amended complaint. At the court's direction, the parties attempted to mediate the matter in May 2016, but were unsuccessful in resolving the matter.</w:t>
      </w:r>
    </w:p>
    <w:p>
      <w:pPr>
        <w:spacing w:after="0" w:line="3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August 25, 2016, the Chief Judge of the United States District Court for the Eastern District of Wisconsin (Green Bay Division) dismissed all claims against Orion brought by the plaintiff, including his claims that Orion had allegedly breached the plaintiff’s employment agreement and had allegedly violated the plaintiff's whistleblower rights. On September 22, 2016, the plaintiff filed an appeal to the United States Court of Appeals challenging the judgment rendered on August 25, 2016.</w:t>
      </w:r>
    </w:p>
    <w:p>
      <w:pPr>
        <w:spacing w:after="0" w:line="52"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Orion intends to continue to defend against the claims vigorously. Orion believes that it has substantial legal and factual defenses to the claims and allegations remaining in the case and that Orion will prevail in this proceeding. Based upon the current status of the lawsuit, Orion does not believe that it is reasonably possible that the lawsuit will have a material adverse impact on its future continuing results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ind w:right="620" w:firstLine="392"/>
        <w:spacing w:after="0" w:line="342" w:lineRule="auto"/>
        <w:rPr>
          <w:sz w:val="20"/>
          <w:szCs w:val="20"/>
          <w:color w:val="auto"/>
        </w:rPr>
      </w:pPr>
      <w:r>
        <w:rPr>
          <w:rFonts w:ascii="Arial" w:cs="Arial" w:eastAsia="Arial" w:hAnsi="Arial"/>
          <w:sz w:val="16"/>
          <w:szCs w:val="16"/>
          <w:color w:val="auto"/>
        </w:rPr>
        <w:t>Orion negotiated a settlement with the Wisconsin Department of Revenue with respect to an assessment regarding the proper classification of its products for tax purposes under Wisconsin law. Orion resolved this matter with the Wisconsin Department of Revenue in June 2016 for $460,000.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9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Orion had the following shares issued from treasury during the six months ended September 30,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Issued</w:t>
            </w: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Closing Market</w:t>
            </w:r>
          </w:p>
        </w:tc>
        <w:tc>
          <w:tcPr>
            <w:tcW w:w="1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Shares Issued</w:t>
            </w:r>
          </w:p>
        </w:tc>
        <w:tc>
          <w:tcPr>
            <w:tcW w:w="160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3"/>
              </w:rPr>
              <w:t>Dollar Value of</w:t>
            </w:r>
          </w:p>
        </w:tc>
        <w:tc>
          <w:tcPr>
            <w:tcW w:w="12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2"/>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ESPP</w:t>
            </w:r>
          </w:p>
        </w:tc>
        <w:tc>
          <w:tcPr>
            <w:tcW w:w="1620" w:type="dxa"/>
            <w:vAlign w:val="bottom"/>
            <w:gridSpan w:val="2"/>
            <w:vMerge w:val="continue"/>
          </w:tcPr>
          <w:p>
            <w:pPr>
              <w:spacing w:after="0"/>
              <w:rPr>
                <w:sz w:val="12"/>
                <w:szCs w:val="12"/>
                <w:color w:val="auto"/>
              </w:rPr>
            </w:pPr>
          </w:p>
        </w:tc>
        <w:tc>
          <w:tcPr>
            <w:tcW w:w="17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1600" w:type="dxa"/>
            <w:vAlign w:val="bottom"/>
            <w:gridSpan w:val="3"/>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Loans Issued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June 30, 2016</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$1.16</w:t>
            </w:r>
          </w:p>
        </w:tc>
        <w:tc>
          <w:tcPr>
            <w:tcW w:w="120" w:type="dxa"/>
            <w:vAlign w:val="bottom"/>
          </w:tcPr>
          <w:p>
            <w:pPr>
              <w:spacing w:after="0"/>
              <w:rPr>
                <w:sz w:val="21"/>
                <w:szCs w:val="21"/>
                <w:color w:val="auto"/>
              </w:rPr>
            </w:pPr>
          </w:p>
        </w:tc>
        <w:tc>
          <w:tcPr>
            <w:tcW w:w="178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2016</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rPr>
              <w:t>Total issued for FY17</w:t>
            </w: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40" w:type="dxa"/>
            <w:vAlign w:val="bottom"/>
            <w:vMerge w:val="continue"/>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$1.16 - 1.33</w:t>
            </w:r>
          </w:p>
        </w:tc>
        <w:tc>
          <w:tcPr>
            <w:tcW w:w="120" w:type="dxa"/>
            <w:vAlign w:val="bottom"/>
          </w:tcPr>
          <w:p>
            <w:pPr>
              <w:spacing w:after="0"/>
              <w:rPr>
                <w:sz w:val="24"/>
                <w:szCs w:val="24"/>
                <w:color w:val="auto"/>
              </w:rPr>
            </w:pPr>
          </w:p>
        </w:tc>
        <w:tc>
          <w:tcPr>
            <w:tcW w:w="178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600" w:type="dxa"/>
            <w:vAlign w:val="bottom"/>
            <w:gridSpan w:val="3"/>
          </w:tcPr>
          <w:p>
            <w:pPr>
              <w:ind w:left="1000"/>
              <w:spacing w:after="0"/>
              <w:rPr>
                <w:sz w:val="20"/>
                <w:szCs w:val="20"/>
                <w:color w:val="auto"/>
              </w:rPr>
            </w:pPr>
            <w:r>
              <w:rPr>
                <w:rFonts w:ascii="Arial" w:cs="Arial" w:eastAsia="Arial" w:hAnsi="Arial"/>
                <w:sz w:val="18"/>
                <w:szCs w:val="18"/>
                <w:color w:val="auto"/>
              </w:rPr>
              <w:t>—   $</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prior years, Orion issued loans to non-executive employees to purchase shares of its stock. As of September 30, 2016 and March 31, 2016, $4,000 of such loans remained outstanding and are reflected on Orion’s balance sheet as a contra-equity account.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OPTIONS AND RESTRICTED SHARES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 rights, performance shares, performance units, shares of Orion's common stock ("Common Stock"), restricted stock, restricted stock units, incentive awards or dividend equivalent units. An aggregate of 1,750,000 shares of Common Stock are reserved for issuance under the Plan.</w:t>
      </w:r>
    </w:p>
    <w:p>
      <w:pPr>
        <w:spacing w:after="0" w:line="5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Prior to shareholder approval of the Plan, the Company maintained the 2004 Stock and Incentive Awards Plan, as amended, which authorized the grant of cash and equity awards to employees (the “Existing Plan”). The Existing Plan terminated on August 3, 2016 as a result of shareholder approval of the Plan, ending the authority to grant new awards under the Existing Equity Plan. However, all awards granted under the Existing Plan that were outstanding as of August 3, 2016 will continue to be governed by the Existing Plan.</w:t>
      </w:r>
    </w:p>
    <w:p>
      <w:pPr>
        <w:spacing w:after="0" w:line="5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Certain non-employee directors have elected to receive stock awards in lieu of cash compensation pursuant to elections made under Orion’s non-employee director compensation program. The plans also provide to certain employees accelerated vesting in the event of certain changes of control of Orion as well as under other special circumstances.</w:t>
      </w:r>
    </w:p>
    <w:p>
      <w:pPr>
        <w:spacing w:after="0" w:line="4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Orion has historically granted stock options and restricted stock under its 2003 Stock Option and 2004 Stock and Incentive Awards Plans. Orion has not issued stock options since fiscal 2014 and instead has issued restricted stock.</w:t>
      </w:r>
    </w:p>
    <w:p>
      <w:pPr>
        <w:spacing w:after="0" w:line="11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net of estimated forfeitures. Orion did not issue any stock options during the three and six months ended September 30, 2016 or during fiscal 2016 or 2015.</w:t>
      </w:r>
    </w:p>
    <w:p>
      <w:pPr>
        <w:spacing w:after="0" w:line="133"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For the three months ended September 30, 2016, an aggregate of 332,955 restricted shares were granted valued at a price per share of between $1.35 and $1.42, which was the closing market price as of each grant date. For the three months ended September 30, 2015, an aggregate of 84,000 restricted shares were granted valued at a price per share of between $2.15 and $2.51, which was the closing market price as of each grant date.</w:t>
      </w:r>
    </w:p>
    <w:p>
      <w:pPr>
        <w:spacing w:after="0" w:line="11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For the six months ended September 30, 2016 an aggregate of 1,047,142 restricted shares were granted valued at a price per share of between $1.35 and $1.50, which was the closing market price as of each grant date. For the six months ended September 30, 2015, an aggregate of 569,534 restricted shares were granted valued at a price per share of between $2.15 and $2.62, which was the closing market price as of each grant date.</w:t>
      </w:r>
    </w:p>
    <w:p>
      <w:pPr>
        <w:spacing w:after="0" w:line="11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On June 7, 2016, Orion issued and sold 57,065 shares of its common stock to an executive. On August 5, 2016, Orion sold an aggregate of 63,381 shares of its common stock, in equal amounts, to three recently retired members of Orion's board of directors. In each case, the purchase price for the shares was calculated based on the closing price of Orion's common stock on the NASDAQ Capital Market of the date of the issuance. The shares of common stock were offered and sold pursuant to an exemption from the registration requirements of the Securities Act of 1933, as amended.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07"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520" w:type="dxa"/>
            <w:vAlign w:val="bottom"/>
            <w:gridSpan w:val="6"/>
          </w:tcPr>
          <w:p>
            <w:pPr>
              <w:ind w:left="120"/>
              <w:spacing w:after="0"/>
              <w:rPr>
                <w:sz w:val="20"/>
                <w:szCs w:val="20"/>
                <w:color w:val="auto"/>
              </w:rPr>
            </w:pPr>
            <w:r>
              <w:rPr>
                <w:rFonts w:ascii="Arial" w:cs="Arial" w:eastAsia="Arial" w:hAnsi="Arial"/>
                <w:sz w:val="14"/>
                <w:szCs w:val="14"/>
                <w:b w:val="1"/>
                <w:bCs w:val="1"/>
                <w:color w:val="auto"/>
                <w:w w:val="99"/>
              </w:rPr>
              <w:t>Three Months Ended September 30,</w:t>
            </w:r>
          </w:p>
        </w:tc>
        <w:tc>
          <w:tcPr>
            <w:tcW w:w="21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Six Months Ended September 30,</w:t>
            </w:r>
          </w:p>
        </w:tc>
      </w:tr>
      <w:tr>
        <w:trPr>
          <w:trHeight w:val="264"/>
        </w:trPr>
        <w:tc>
          <w:tcPr>
            <w:tcW w:w="674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485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576</w:t>
            </w:r>
          </w:p>
        </w:tc>
      </w:tr>
      <w:tr>
        <w:trPr>
          <w:trHeight w:val="27"/>
        </w:trPr>
        <w:tc>
          <w:tcPr>
            <w:tcW w:w="6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67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Outstanding Awards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0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787,686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2,017,046</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Shares reserved under new plan</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1,750,000</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stock options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Granted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(39,293)</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(1,047,142)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Forfeited restricted shares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87,500</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74,600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1,613,351</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1,942,446</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Exercisable at September 30, 2016</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1,782,846</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3.34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740" w:firstLine="432"/>
        <w:spacing w:after="0" w:line="308" w:lineRule="auto"/>
        <w:rPr>
          <w:sz w:val="20"/>
          <w:szCs w:val="20"/>
          <w:color w:val="auto"/>
        </w:rPr>
      </w:pPr>
      <w:r>
        <w:rPr>
          <w:rFonts w:ascii="Arial" w:cs="Arial" w:eastAsia="Arial" w:hAnsi="Arial"/>
          <w:sz w:val="17"/>
          <w:szCs w:val="17"/>
          <w:color w:val="auto"/>
        </w:rPr>
        <w:t>The aggregate intrinsic value represents the total pre-tax intrinsic value, which is calculated as the difference between the exercise price of the underlying stock options and the fair value of Orion’s closing common stock price of $1.33 as of September 30, 2016.</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40"/>
              <w:spacing w:after="0"/>
              <w:rPr>
                <w:sz w:val="20"/>
                <w:szCs w:val="20"/>
                <w:color w:val="auto"/>
              </w:rPr>
            </w:pPr>
            <w:r>
              <w:rPr>
                <w:rFonts w:ascii="Arial" w:cs="Arial" w:eastAsia="Arial" w:hAnsi="Arial"/>
                <w:sz w:val="18"/>
                <w:szCs w:val="18"/>
                <w:color w:val="auto"/>
              </w:rPr>
              <w:t>A summary of the status of Orion’s outstanding non-vested stock options as of September 30, 2016 was as follows:</w:t>
            </w:r>
          </w:p>
        </w:tc>
        <w:tc>
          <w:tcPr>
            <w:tcW w:w="148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205,900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159,600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30, 2016, compensation cost related to non-vested common stock-based compensation, excluding restricted share awards, amounted to $200,000 over a remaining weighted average expected term of 1.06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first half of fiscal 2017, Orion granted restricted shares as follows (which are included in the above stock plan activity tables):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2016</w:t>
            </w:r>
          </w:p>
        </w:tc>
        <w:tc>
          <w:tcPr>
            <w:tcW w:w="7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1,053,389</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7020" w:type="dxa"/>
            <w:vAlign w:val="bottom"/>
            <w:gridSpan w:val="2"/>
          </w:tcPr>
          <w:p>
            <w:pPr>
              <w:jc w:val="right"/>
              <w:ind w:right="120"/>
              <w:spacing w:after="0"/>
              <w:rPr>
                <w:sz w:val="20"/>
                <w:szCs w:val="20"/>
                <w:color w:val="auto"/>
              </w:rPr>
            </w:pPr>
            <w:r>
              <w:rPr>
                <w:rFonts w:ascii="Arial" w:cs="Arial" w:eastAsia="Arial" w:hAnsi="Arial"/>
                <w:sz w:val="18"/>
                <w:szCs w:val="18"/>
                <w:color w:val="auto"/>
              </w:rPr>
              <w:t>1,047,142</w:t>
            </w:r>
          </w:p>
        </w:tc>
      </w:tr>
      <w:tr>
        <w:trPr>
          <w:trHeight w:val="27"/>
        </w:trPr>
        <w:tc>
          <w:tcPr>
            <w:tcW w:w="43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vested</w:t>
            </w:r>
          </w:p>
        </w:tc>
        <w:tc>
          <w:tcPr>
            <w:tcW w:w="7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(289,111)</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Shares forfeited</w:t>
            </w:r>
          </w:p>
        </w:tc>
        <w:tc>
          <w:tcPr>
            <w:tcW w:w="7020" w:type="dxa"/>
            <w:vAlign w:val="bottom"/>
            <w:gridSpan w:val="2"/>
          </w:tcPr>
          <w:p>
            <w:pPr>
              <w:jc w:val="right"/>
              <w:ind w:right="60"/>
              <w:spacing w:after="0"/>
              <w:rPr>
                <w:sz w:val="20"/>
                <w:szCs w:val="20"/>
                <w:color w:val="auto"/>
              </w:rPr>
            </w:pPr>
            <w:r>
              <w:rPr>
                <w:rFonts w:ascii="Arial" w:cs="Arial" w:eastAsia="Arial" w:hAnsi="Arial"/>
                <w:sz w:val="18"/>
                <w:szCs w:val="18"/>
                <w:color w:val="auto"/>
              </w:rPr>
              <w:t>(87,500)</w:t>
            </w:r>
          </w:p>
        </w:tc>
      </w:tr>
      <w:tr>
        <w:trPr>
          <w:trHeight w:val="27"/>
        </w:trPr>
        <w:tc>
          <w:tcPr>
            <w:tcW w:w="430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September 30, 2016</w:t>
            </w:r>
          </w:p>
        </w:tc>
        <w:tc>
          <w:tcPr>
            <w:tcW w:w="7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1,723,920</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7020" w:type="dxa"/>
            <w:vAlign w:val="bottom"/>
            <w:gridSpan w:val="2"/>
          </w:tcPr>
          <w:p>
            <w:pPr>
              <w:jc w:val="right"/>
              <w:ind w:right="120"/>
              <w:spacing w:after="0"/>
              <w:rPr>
                <w:sz w:val="20"/>
                <w:szCs w:val="20"/>
                <w:color w:val="auto"/>
              </w:rPr>
            </w:pPr>
            <w:r>
              <w:rPr>
                <w:rFonts w:ascii="Arial" w:cs="Arial" w:eastAsia="Arial" w:hAnsi="Arial"/>
                <w:sz w:val="18"/>
                <w:szCs w:val="18"/>
                <w:color w:val="auto"/>
              </w:rPr>
              <w:t>$1.34 - $6.80</w:t>
            </w:r>
          </w:p>
        </w:tc>
      </w:tr>
      <w:tr>
        <w:trPr>
          <w:trHeight w:val="486"/>
        </w:trPr>
        <w:tc>
          <w:tcPr>
            <w:tcW w:w="4300" w:type="dxa"/>
            <w:vAlign w:val="bottom"/>
          </w:tcPr>
          <w:p>
            <w:pPr>
              <w:spacing w:after="0"/>
              <w:rPr>
                <w:sz w:val="24"/>
                <w:szCs w:val="24"/>
                <w:color w:val="auto"/>
              </w:rPr>
            </w:pPr>
          </w:p>
        </w:tc>
        <w:tc>
          <w:tcPr>
            <w:tcW w:w="4760" w:type="dxa"/>
            <w:vAlign w:val="bottom"/>
          </w:tcPr>
          <w:p>
            <w:pPr>
              <w:jc w:val="right"/>
              <w:ind w:right="3230"/>
              <w:spacing w:after="0"/>
              <w:rPr>
                <w:sz w:val="20"/>
                <w:szCs w:val="20"/>
                <w:color w:val="auto"/>
              </w:rPr>
            </w:pPr>
            <w:r>
              <w:rPr>
                <w:rFonts w:ascii="Arial" w:cs="Arial" w:eastAsia="Arial" w:hAnsi="Arial"/>
                <w:sz w:val="18"/>
                <w:szCs w:val="18"/>
                <w:color w:val="auto"/>
              </w:rPr>
              <w:t>19</w:t>
            </w:r>
          </w:p>
        </w:tc>
        <w:tc>
          <w:tcPr>
            <w:tcW w:w="2260" w:type="dxa"/>
            <w:vAlign w:val="bottom"/>
          </w:tcPr>
          <w:p>
            <w:pPr>
              <w:spacing w:after="0"/>
              <w:rPr>
                <w:sz w:val="24"/>
                <w:szCs w:val="24"/>
                <w:color w:val="auto"/>
              </w:rPr>
            </w:pPr>
          </w:p>
        </w:tc>
      </w:tr>
    </w:tbl>
    <w:p>
      <w:pPr>
        <w:sectPr>
          <w:pgSz w:w="11900" w:h="16838" w:orient="portrait"/>
          <w:cols w:equalWidth="0" w:num="1">
            <w:col w:w="11420"/>
          </w:cols>
          <w:pgMar w:left="240" w:top="530" w:right="23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t>As of September 30, 2016, the weighted average grant-date fair value of restricted shares granted was $1.39.</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As of September 30, 2016, the amount of deferred stock-based compensation expense related to grants of restricted shares, to be recognized over a remaining period of 2.37 years, was approximately $2,500,000.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SEGMENTS</w:t>
      </w:r>
    </w:p>
    <w:p>
      <w:pPr>
        <w:spacing w:after="0" w:line="94" w:lineRule="exact"/>
        <w:rPr>
          <w:sz w:val="20"/>
          <w:szCs w:val="20"/>
          <w:color w:val="auto"/>
        </w:rPr>
      </w:pPr>
    </w:p>
    <w:p>
      <w:pPr>
        <w:ind w:right="900" w:firstLine="432"/>
        <w:spacing w:after="0" w:line="334" w:lineRule="auto"/>
        <w:rPr>
          <w:sz w:val="20"/>
          <w:szCs w:val="20"/>
          <w:color w:val="auto"/>
        </w:rPr>
      </w:pPr>
      <w:r>
        <w:rPr>
          <w:rFonts w:ascii="Arial" w:cs="Arial" w:eastAsia="Arial" w:hAnsi="Arial"/>
          <w:sz w:val="16"/>
          <w:szCs w:val="16"/>
          <w:color w:val="auto"/>
        </w:rPr>
        <w:t>Orion has the following business segments: Orion U.S. Markets Division ("USM"), Orion Engineered Services Division ("OES") and Orion Distribution Services Division ("ODS"). The accounting policies are the same for each business segment as they are on a consolidated basis.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descriptions of Orion’s segments and their summary financial information are presented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 ("USM")</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domestic energy service companies, or ESCOs, and electrical contractors. During fiscal 2017, sales from this division are in the process of being redirected to 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 ("OES")</w:t>
      </w:r>
    </w:p>
    <w:p>
      <w:pPr>
        <w:spacing w:after="0" w:line="171"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LED and High Intensity Fluorescent ("HIF") lighting and energy management systems. OES provides turnkey solutions for large national accounts, governments, municipalities and schools.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 ("ODS")</w:t>
      </w:r>
    </w:p>
    <w:p>
      <w:pPr>
        <w:spacing w:after="0" w:line="17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which primarily include intercompany eliminations.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0"/>
              </w:rPr>
              <w:t>Revenues</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93"/>
              </w:rPr>
              <w:t>Operating Income (Loss)</w:t>
            </w:r>
          </w:p>
        </w:tc>
        <w:tc>
          <w:tcPr>
            <w:tcW w:w="1080" w:type="dxa"/>
            <w:vAlign w:val="bottom"/>
            <w:tcBorders>
              <w:bottom w:val="single" w:sz="8" w:color="auto"/>
            </w:tcBorders>
          </w:tcPr>
          <w:p>
            <w:pPr>
              <w:spacing w:after="0"/>
              <w:rPr>
                <w:sz w:val="16"/>
                <w:szCs w:val="16"/>
                <w:color w:val="auto"/>
              </w:rPr>
            </w:pPr>
          </w:p>
        </w:tc>
      </w:tr>
      <w:tr>
        <w:trPr>
          <w:trHeight w:val="190"/>
        </w:trPr>
        <w:tc>
          <w:tcPr>
            <w:tcW w:w="3900" w:type="dxa"/>
            <w:vAlign w:val="bottom"/>
          </w:tcPr>
          <w:p>
            <w:pPr>
              <w:spacing w:after="0"/>
              <w:rPr>
                <w:sz w:val="16"/>
                <w:szCs w:val="16"/>
                <w:color w:val="auto"/>
              </w:rPr>
            </w:pPr>
          </w:p>
        </w:tc>
        <w:tc>
          <w:tcPr>
            <w:tcW w:w="37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340" w:type="dxa"/>
            <w:vAlign w:val="bottom"/>
          </w:tcPr>
          <w:p>
            <w:pPr>
              <w:spacing w:after="0"/>
              <w:rPr>
                <w:sz w:val="16"/>
                <w:szCs w:val="16"/>
                <w:color w:val="auto"/>
              </w:rPr>
            </w:pPr>
          </w:p>
        </w:tc>
        <w:tc>
          <w:tcPr>
            <w:tcW w:w="34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For the Three Months Ended September 30,</w:t>
            </w:r>
          </w:p>
        </w:tc>
      </w:tr>
      <w:tr>
        <w:trPr>
          <w:trHeight w:val="66"/>
        </w:trPr>
        <w:tc>
          <w:tcPr>
            <w:tcW w:w="39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7"/>
        </w:trPr>
        <w:tc>
          <w:tcPr>
            <w:tcW w:w="3900" w:type="dxa"/>
            <w:vAlign w:val="bottom"/>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Orion U.S. Markets</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5,192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9,872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Engineered Systems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Orion Distribution Services</w:t>
            </w:r>
          </w:p>
        </w:tc>
        <w:tc>
          <w:tcPr>
            <w:tcW w:w="116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6,503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r>
      <w:tr>
        <w:trPr>
          <w:trHeight w:val="237"/>
        </w:trPr>
        <w:tc>
          <w:tcPr>
            <w:tcW w:w="3900" w:type="dxa"/>
            <w:vAlign w:val="bottom"/>
          </w:tcPr>
          <w:p>
            <w:pPr>
              <w:spacing w:after="0"/>
              <w:rPr>
                <w:sz w:val="20"/>
                <w:szCs w:val="20"/>
                <w:color w:val="auto"/>
              </w:rPr>
            </w:pP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18,670</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15,728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(3,566)</w:t>
            </w:r>
          </w:p>
        </w:tc>
      </w:tr>
      <w:tr>
        <w:trPr>
          <w:trHeight w:val="67"/>
        </w:trPr>
        <w:tc>
          <w:tcPr>
            <w:tcW w:w="39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64"/>
        </w:trPr>
        <w:tc>
          <w:tcPr>
            <w:tcW w:w="39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4"/>
        </w:trPr>
        <w:tc>
          <w:tcPr>
            <w:tcW w:w="39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0"/>
              </w:rPr>
              <w:t>Revenues</w:t>
            </w: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93"/>
              </w:rPr>
              <w:t>Operating Income (Loss)</w:t>
            </w:r>
          </w:p>
        </w:tc>
        <w:tc>
          <w:tcPr>
            <w:tcW w:w="1080" w:type="dxa"/>
            <w:vAlign w:val="bottom"/>
            <w:tcBorders>
              <w:bottom w:val="single" w:sz="8" w:color="auto"/>
            </w:tcBorders>
          </w:tcPr>
          <w:p>
            <w:pPr>
              <w:spacing w:after="0"/>
              <w:rPr>
                <w:sz w:val="22"/>
                <w:szCs w:val="22"/>
                <w:color w:val="auto"/>
              </w:rPr>
            </w:pPr>
          </w:p>
        </w:tc>
      </w:tr>
      <w:tr>
        <w:trPr>
          <w:trHeight w:val="190"/>
        </w:trPr>
        <w:tc>
          <w:tcPr>
            <w:tcW w:w="3900" w:type="dxa"/>
            <w:vAlign w:val="bottom"/>
            <w:shd w:val="clear" w:color="auto" w:fill="CCEEFF"/>
          </w:tcPr>
          <w:p>
            <w:pPr>
              <w:spacing w:after="0"/>
              <w:rPr>
                <w:sz w:val="16"/>
                <w:szCs w:val="16"/>
                <w:color w:val="auto"/>
              </w:rPr>
            </w:pPr>
          </w:p>
        </w:tc>
        <w:tc>
          <w:tcPr>
            <w:tcW w:w="3760" w:type="dxa"/>
            <w:vAlign w:val="bottom"/>
            <w:gridSpan w:val="6"/>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3"/>
              </w:rPr>
              <w:t>For the Six Months Ended September 30,</w:t>
            </w:r>
          </w:p>
        </w:tc>
        <w:tc>
          <w:tcPr>
            <w:tcW w:w="340" w:type="dxa"/>
            <w:vAlign w:val="bottom"/>
            <w:shd w:val="clear" w:color="auto" w:fill="CCEEFF"/>
          </w:tcPr>
          <w:p>
            <w:pPr>
              <w:spacing w:after="0"/>
              <w:rPr>
                <w:sz w:val="16"/>
                <w:szCs w:val="16"/>
                <w:color w:val="auto"/>
              </w:rPr>
            </w:pPr>
          </w:p>
        </w:tc>
        <w:tc>
          <w:tcPr>
            <w:tcW w:w="3420" w:type="dxa"/>
            <w:vAlign w:val="bottom"/>
            <w:gridSpan w:val="4"/>
            <w:shd w:val="clear" w:color="auto" w:fill="CCEEFF"/>
          </w:tcPr>
          <w:p>
            <w:pPr>
              <w:jc w:val="center"/>
              <w:ind w:right="233"/>
              <w:spacing w:after="0"/>
              <w:rPr>
                <w:sz w:val="20"/>
                <w:szCs w:val="20"/>
                <w:color w:val="auto"/>
              </w:rPr>
            </w:pPr>
            <w:r>
              <w:rPr>
                <w:rFonts w:ascii="Arial" w:cs="Arial" w:eastAsia="Arial" w:hAnsi="Arial"/>
                <w:sz w:val="14"/>
                <w:szCs w:val="14"/>
                <w:b w:val="1"/>
                <w:bCs w:val="1"/>
                <w:color w:val="auto"/>
                <w:w w:val="93"/>
              </w:rPr>
              <w:t>For the Six Months Ended September 30,</w:t>
            </w:r>
          </w:p>
        </w:tc>
      </w:tr>
      <w:tr>
        <w:trPr>
          <w:trHeight w:val="66"/>
        </w:trPr>
        <w:tc>
          <w:tcPr>
            <w:tcW w:w="3900" w:type="dxa"/>
            <w:vAlign w:val="bottom"/>
            <w:shd w:val="clear" w:color="auto" w:fill="CCEEFF"/>
          </w:tcPr>
          <w:p>
            <w:pPr>
              <w:spacing w:after="0"/>
              <w:rPr>
                <w:sz w:val="5"/>
                <w:szCs w:val="5"/>
                <w:color w:val="auto"/>
              </w:rPr>
            </w:pPr>
          </w:p>
        </w:tc>
        <w:tc>
          <w:tcPr>
            <w:tcW w:w="116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shd w:val="clear" w:color="auto" w:fill="CCEEFF"/>
          </w:tcPr>
          <w:p>
            <w:pPr>
              <w:spacing w:after="0"/>
              <w:rPr>
                <w:sz w:val="5"/>
                <w:szCs w:val="5"/>
                <w:color w:val="auto"/>
              </w:rPr>
            </w:pPr>
          </w:p>
        </w:tc>
      </w:tr>
      <w:tr>
        <w:trPr>
          <w:trHeight w:val="258"/>
        </w:trPr>
        <w:tc>
          <w:tcPr>
            <w:tcW w:w="39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96"/>
              </w:rPr>
              <w:t>2015</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1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Segments:</w:t>
            </w: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Markets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Engineered Systems</w:t>
            </w:r>
          </w:p>
        </w:tc>
        <w:tc>
          <w:tcPr>
            <w:tcW w:w="116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13,774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10,604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(2,818)</w:t>
            </w: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Services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16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(3,365)</w:t>
            </w:r>
          </w:p>
        </w:tc>
      </w:tr>
      <w:tr>
        <w:trPr>
          <w:trHeight w:val="27"/>
        </w:trPr>
        <w:tc>
          <w:tcPr>
            <w:tcW w:w="3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34,304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30"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 SUBSEQUENT EVENTS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noted no subsequent event requiring accrual or disclosure.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07" w:right="239" w:bottom="1440" w:gutter="0" w:footer="0" w:header="0"/>
        </w:sectPr>
      </w:pPr>
    </w:p>
    <w:bookmarkStart w:id="21" w:name="page22"/>
    <w:bookmarkEnd w:id="21"/>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2016.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We are a leading designer and manufacturer of high-performance, energy-efficient lighting platforms.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00"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Our lighting products consist primarily of Light Emitting Diode ("LED") and High Intensity Fluorescent ("HIF") lighting fixtures. Our principal customers include national accounts, Energy Service Companies ("ESCOs"), electrical contractors and electrical distributors. Currently, substantially all of our products are manufactured at our leased production facility location in Manitowoc, Wisconsin, although we are increasingly sourcing products and components from third parties as the LED market continues to evolve and in order to provide versatility in our product development.</w:t>
      </w:r>
    </w:p>
    <w:p>
      <w:pPr>
        <w:spacing w:after="0" w:line="117"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While we continue to provide some solutions using our legacy HIF technology, the market for lighting products is currently in a significant technology shift to LED lighting systems. Compared to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Our LED lighting technologies have become the primary component of our revenue as we continue to strive to be a leader in the industry transition to LED lighting technology. Based on a July 2015 United States Department of Energy report, we estimate the potential North American LED retrofit market within our key product categories to be approximately 1.1 billion lighting fixtures. We plan to continue to primarily focus on developing and selling innovative LED products, although we will continue to sell legacy HIF solutions in circumstances in which LED solutions may not be our customers' best alternative.</w:t>
      </w:r>
    </w:p>
    <w:p>
      <w:pPr>
        <w:spacing w:after="0" w:line="11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and we typically generate substantially all of our revenue from sales of lighting systems and related services to commercial and industrial customers on a project by 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ESCOs, and electrical distributors to sell to their own customer bases.</w:t>
      </w:r>
    </w:p>
    <w:p>
      <w:pPr>
        <w:spacing w:after="0" w:line="1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ability to achieve our desired growth and profitability depends on our ability to expand our reseller network, develop recurring revenue streams, effectively engage distribution and sales agents and improve our marketing, new product development, project management, margin enhancement and operating expense management, as well as other factors. In addition, the gross margins of our products can vary significantly depending upon the types of products we sell, with margins ranging from 15% to 50%. As a result, a change in the total mix of our sales toward higher or lower margin products can cause our profitability to fluctuate from period to period.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jc w:val="both"/>
        <w:ind w:firstLine="486"/>
        <w:spacing w:after="0" w:line="264" w:lineRule="auto"/>
        <w:rPr>
          <w:sz w:val="20"/>
          <w:szCs w:val="20"/>
          <w:color w:val="auto"/>
        </w:rPr>
      </w:pPr>
      <w:r>
        <w:rPr>
          <w:rFonts w:ascii="Arial" w:cs="Arial" w:eastAsia="Arial" w:hAnsi="Arial"/>
          <w:sz w:val="18"/>
          <w:szCs w:val="18"/>
          <w:color w:val="auto"/>
        </w:rPr>
        <w:t>Our fiscal year ends on March 31. We refer to our prior fiscal year which ended on March 31, 2016, as “fiscal 2016”, and our current fiscal year, which ends on March 31, 2017, as “fiscal 2017.” Our fiscal first quarter of each fiscal year ends on June 30, our fiscal second quarter ends on September 30, our fiscal third quarter ends on December 31 and our fiscal fourth quarter ends on March 31.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Shift to Light Emitting Diode Products</w:t>
      </w:r>
    </w:p>
    <w:p>
      <w:pPr>
        <w:spacing w:after="0" w:line="94"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rapid market shift in the lighting industry from legacy lighting products to LED lighting products has caused us to adopt new strategies, approaches and processes in order to respond proactively to this paradigm shift. These changing underlying business fundamentals in this paradigm shift include:</w:t>
      </w:r>
    </w:p>
    <w:p>
      <w:pPr>
        <w:spacing w:after="0" w:line="46" w:lineRule="exact"/>
        <w:rPr>
          <w:sz w:val="20"/>
          <w:szCs w:val="20"/>
          <w:color w:val="auto"/>
        </w:rPr>
      </w:pPr>
    </w:p>
    <w:p>
      <w:pPr>
        <w:ind w:left="660" w:right="22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Rapidly declining LED product end user customer pricing and related component costs, improving LED product performance and customer return on investment payback periods, all of which are driving increasing customer preferences for LED lighting products compared to legacy lighting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LED lighting product customer sales compared to decreasing HIF product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broader and more diverse customer base and market opportunities compared to our historical commercial and industrial facility customers.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importance of highly innovative product designs and features, and faster speed to market product research and development capabilities.</w:t>
      </w:r>
    </w:p>
    <w:p>
      <w:pPr>
        <w:spacing w:after="0" w:line="32" w:lineRule="exact"/>
        <w:rPr>
          <w:rFonts w:ascii="Arial" w:cs="Arial" w:eastAsia="Arial" w:hAnsi="Arial"/>
          <w:sz w:val="16"/>
          <w:szCs w:val="16"/>
          <w:color w:val="auto"/>
        </w:rPr>
      </w:pPr>
    </w:p>
    <w:p>
      <w:pPr>
        <w:ind w:left="660" w:right="4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reduced product technology life cycles; significantly shorter product inventory shelf lives and the related increased risk of rapidly occurring product technology obsolescence.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reliance on international component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internal product fabrication and production capabilities needed to support LED product assembly.</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Different and broader types of components, fabrication and assembly processes needed to support LED product assembly compared to our legacy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customer bases and sales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longer end user product warranty requirements for LED products compared to our legacy products.</w:t>
      </w:r>
    </w:p>
    <w:p>
      <w:pPr>
        <w:spacing w:after="0" w:line="76"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Outlook</w:t>
      </w:r>
    </w:p>
    <w:p>
      <w:pPr>
        <w:spacing w:after="0" w:line="17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Despite recent economic challenges, we remain optimistic about our near-term and long-term financial performance. We believe that customer purchases of LED lighting systems will continue to increase in the near-term as expected improvements in LED performance and expected decreases in LED product costs make our LED products even more economically compelling to our customers. Our near-term optimism is based upon: (i) our efforts to expand our distribution services customer base; (ii) our intentions to continue to selectively expand our sales force; (iii) our investments into new high-performance LED industrial lighting fixtures; (iv) our recent improvements in gross margin as a result of our cost containment initiatives and development of higher-performance LED products; and (v) the increasing volume of unit sales of our new products, specifically our LED high bay lighting fixtures. Our long-term optimism is based upon the considerable size of the existing market opportunity for lighting retrofits, including the market opportunities in commercial office, government and retail markets, the continued development of our new products and product enhancements, including our new LED product offerings, our efforts to expand our channels of distribution and our cost reduction initiatives. As we continue to adapt to the rapidly evolving lighting market, we have implemented significant changes to our manufacturing operations to increase our flexibility, lower our cost structure and remain competitive.</w:t>
      </w:r>
    </w:p>
    <w:p>
      <w:pPr>
        <w:spacing w:after="0" w:line="11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expect that our revenues and margin will increase during fiscal 2017 as we continue to recognize the benefits of higher purchase volumes of LED components at lower costs, increasing sales volumes of our newly introduced and higher-margin LED high bay products and increased utilization of our manufacturing facility. Our anticipated increase in revenues in fiscal 2017 may impact our available cash and borrowing capacity as a result of the high capital costs associated with the increase in the sales of our products from existing levels.</w:t>
      </w:r>
    </w:p>
    <w:p>
      <w:pPr>
        <w:spacing w:after="0" w:line="133"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We expect that our marketing expenditures will increase in the remainder of fiscal 2017 primarily to support more robust customer lead generation and to further enhance our brand awareness with our agents to support their efforts to sell our products through our new indirect channel partners.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 - Three Months Ended September 30, 2016 versus Three Months Ended September 30, 2015</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17,675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14,982</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94.7 %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95.3 %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33.4 %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15,728</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11,752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12,301</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63.0 %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78.2 %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12,426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12,816</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66.6 %</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81.5 %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2,912</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114.4 %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3,598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3,403</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19.3 %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21.7 %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 expenses</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2,634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17.2 %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(3,566)</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72.1 %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580"/>
              <w:spacing w:after="0"/>
              <w:rPr>
                <w:sz w:val="20"/>
                <w:szCs w:val="20"/>
                <w:color w:val="auto"/>
              </w:rPr>
            </w:pPr>
            <w:r>
              <w:rPr>
                <w:rFonts w:ascii="Arial" w:cs="Arial" w:eastAsia="Arial" w:hAnsi="Arial"/>
                <w:sz w:val="14"/>
                <w:szCs w:val="14"/>
                <w:color w:val="auto"/>
              </w:rPr>
              <w:t>NM</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income tax</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(3,594)</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73.3 %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66.7 %</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and comprehensive loss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73.1 %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60"/>
        </w:trPr>
        <w:tc>
          <w:tcPr>
            <w:tcW w:w="62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increased 18.0%, or $2,693,000, for the second quarter of fiscal 2017 versus the second quarter of fiscal 2016.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revenue was primarily a result of several large deals during the second quarter of fiscal 2017. We continue to see growth in our high bay lighting products while gaining traction in our new agency channel. LED lighting revenue increased by 32.7% from $10,578,000 in the second quarter of fiscal 2016 to $14,035,000 in the second quarter of fiscal 2017. Service revenue increased 33.4%, or $249,000, primarily due to more installation project revenue in the second quarter of fiscal 2017 when compared to the second quarter of fiscal 2016. Total revenue increased by 18.7%, or $2,942,000, primarily due to the items discussed above.</w:t>
      </w:r>
    </w:p>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Cost of product revenue decreased 4.5%, or $549,000, in the second quarter of fiscal 2017 versus the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fiscal 2016 due primarily to increased sales of high-margin products, better absorption due to higher volumes, lower component costs, and cost containment initiatives. Cost of service revenue increased 30.9%, or $159,000 in the second quarter of fiscal 2017 versus the comparable period in fiscal 2016 primarily due to larger projects contributing to more service revenue in the second quarter of fiscal 2017. Gross margin improved from 18.5% of revenue in the second quarter of fiscal 2016 to 33.4% in the second quarter of fiscal 2017. Our lighting gross margin was positively impacted by a favorable mix of higher-priced and higher-margin LED high bay fixtures, negotiated price decreases for lighting components, and the benefits of our cost containment initiatives.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5.7%, or $195,000, in the second quarter of fiscal 2017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fiscal 2016, primarily due to increases in employee costs, stock based compensation and consulting expenses.</w:t>
      </w:r>
    </w:p>
    <w:p>
      <w:pPr>
        <w:spacing w:after="0" w:line="9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18.6%, or $491,000, in the second quarter of fiscal 2017 compared to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2016. The increase was primarily due to increased commissions related to our agency channel and increased rebranding costs in the second quarter of fiscal 2017 when compared to the second quarter of fiscal 2016.</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17.2% or $76,000, in the second quarter of fiscal 2017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fiscal 2016 primarily due to our investment in product innovation related to our new product development.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07" w:right="239" w:bottom="1440" w:gutter="0" w:footer="0" w:header="0"/>
        </w:sectPr>
      </w:pPr>
    </w:p>
    <w:bookmarkStart w:id="24" w:name="page25"/>
    <w:bookmarkEnd w:id="24"/>
    <w:p>
      <w:pPr>
        <w:ind w:left="42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in the second quarter of fiscal 2017 represented product royalties received from licensing agreements for Orion’s patents.</w:t>
      </w:r>
    </w:p>
    <w:p>
      <w:pPr>
        <w:spacing w:after="0" w:line="1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second quarter of fiscal 2017 increased by 13.3%, or $8,000, from the second quarter of fiscal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was due to increased borrowings under our revolving credit facility.</w:t>
      </w:r>
    </w:p>
    <w:p>
      <w:pPr>
        <w:spacing w:after="0" w:line="11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in the second quarter of fiscal 2017 decreased by 56.3%, or $18,000, from the second quarter of fiscal 2016.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income decreased as we have entered into fewer financed projects with our customers who are using third party finance providers.</w:t>
      </w:r>
    </w:p>
    <w:p>
      <w:pPr>
        <w:spacing w:after="0" w:line="9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in the second quarter of fiscal 2017 represented minimum state tax liabilities. The slight increase over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is primarily related to increased sales and use taxes by jurisdiction.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Orion U.S. Markets Division ("USM") sells lighting solutions into the wholesale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519"/>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52"/>
        </w:trPr>
        <w:tc>
          <w:tcPr>
            <w:tcW w:w="7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6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9,872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7"/>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130.4 %</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revenue decreased from the second quarter of fiscal 2016 by 47.4%, or $4,680,000. The decrease in revenue during the second quarter of fiscal 2017 compared to the second quarter a year ago was primarily due to our transition to more distribution sales through manufacturer representative agents. These sales are now reflected within Orion's Distribution Services Division.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operating income in the second quarter of fiscal 2017 increased from the second quarter of fiscal 2016 by $1,129,000. The increase in operating income in fiscal 2017 was primarily due to a more favorable sales mix of higher-margin high bay products offset by the transition to more distribution sales through manufacturer representative agents as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Our Orion Engineered Systems Division ("OES") sells lighting products and provides construction and engineering services for our commercial lighting and energy management systems. OES also provides turnkey solutions for large national accounts, governments, municipalities and schools.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right"/>
              <w:ind w:right="519"/>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52"/>
        </w:trPr>
        <w:tc>
          <w:tcPr>
            <w:tcW w:w="7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20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6,975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5,774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7"/>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OES revenue increased in the second quarter of fiscal 2017 by 20.8%, or $1,201,000, compared to the second quarter of fiscal 2016. This increase in revenue was primarily driven by an increase in lighting revenue due to an increase in customer capital spending within the manufacturing and industrial sector. Revenue increases were also driven by more high bay product sales in the second quarter of fiscal 2017 when compared to the prior year period.</w:t>
      </w:r>
    </w:p>
    <w:p>
      <w:pPr>
        <w:spacing w:after="0" w:line="93"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OES segment operating loss in the second quarter of fiscal 2017 improved by $1,036,000, from the second quarter of fiscal 2016. The increase was due to improvements to our second quarter of fiscal 2017 revenues and gross margin related to cost decreases on LED components.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Orion Distribution Services Division ("ODS") sells lighting products to a developing network of North American broadline distributors.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479"/>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20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6,503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7,830.5%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1"/>
                <w:szCs w:val="21"/>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ODS segment revenue increased in the second quarter of fiscal 2017 from the second quarter of fiscal 2016 by $6,421,000. The increase in revenue in fiscal 2017 was due to our transition from wholesale to distribution channel sales through manufacturer representative agents.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ODS segment operating income increased by $535,000, in the second quarter of fiscal 2017 compared to the second quarter of fiscal 2016. The operating income improvement over the prior year loss for the comparable period was due to the increased contribution margin dollars earned from our increasing revenue offset by our continued investment in selling costs to complete our selling channel transition.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Six Months Ended September 30, 2016 versus Six Months Ended September 30, 2015</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Six Months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33,027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30,778</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96.3 %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95.2 %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34,304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32,316</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23,171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24,414</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67.6 %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75.5 %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24,034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25,646</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70.1 %</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79.4 %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6,670</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54.0 %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7,499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7,274</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21.9 %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22.5 %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 expenses</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5,703</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15.6 %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(7,170)</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580"/>
              <w:spacing w:after="0"/>
              <w:rPr>
                <w:sz w:val="20"/>
                <w:szCs w:val="20"/>
                <w:color w:val="auto"/>
              </w:rPr>
            </w:pPr>
            <w:r>
              <w:rPr>
                <w:rFonts w:ascii="Arial" w:cs="Arial" w:eastAsia="Arial" w:hAnsi="Arial"/>
                <w:sz w:val="14"/>
                <w:szCs w:val="14"/>
                <w:color w:val="auto"/>
              </w:rPr>
              <w:t>NM</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income tax</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(7,241)</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expense</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(2,472.7)%</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and comprehensive loss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(7,252)</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60"/>
        </w:trPr>
        <w:tc>
          <w:tcPr>
            <w:tcW w:w="62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increased 7.3%, or $2,249,000, for the first six months of fiscal 2017 versus the first six months of fiscal 2016.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product revenue was primarily a result of several large deals and strengthening sales of Orion’s high bay lighting products in the first half of fiscal 2017. Sales were also negatively impacted by our distribution sales channel transitioning to an agent driven model which did not gain traction until the second quarter of fiscal 2017. LED lighting revenue</w:t>
      </w:r>
    </w:p>
    <w:p>
      <w:pPr>
        <w:sectPr>
          <w:pgSz w:w="11900" w:h="16838" w:orient="portrait"/>
          <w:cols w:equalWidth="0" w:num="1">
            <w:col w:w="11420"/>
          </w:cols>
          <w:pgMar w:left="240" w:top="607"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07" w:right="239" w:bottom="1440" w:gutter="0" w:footer="0" w:header="0"/>
          <w:type w:val="continuous"/>
        </w:sectPr>
      </w:pPr>
    </w:p>
    <w:bookmarkStart w:id="26" w:name="page27"/>
    <w:bookmarkEnd w:id="26"/>
    <w:p>
      <w:pPr>
        <w:jc w:val="both"/>
        <w:spacing w:after="0" w:line="286" w:lineRule="auto"/>
        <w:rPr>
          <w:sz w:val="20"/>
          <w:szCs w:val="20"/>
          <w:color w:val="auto"/>
        </w:rPr>
      </w:pPr>
      <w:r>
        <w:rPr>
          <w:rFonts w:ascii="Arial" w:cs="Arial" w:eastAsia="Arial" w:hAnsi="Arial"/>
          <w:sz w:val="17"/>
          <w:szCs w:val="17"/>
          <w:color w:val="auto"/>
        </w:rPr>
        <w:t>increased by 26.0% to $25,378,000 in the first six months of fiscal 2017 from $20,138,000 in the first six months of fiscal 2016. Service revenue decreased 17.0%, or $261,000, primarily due to fewer solar projects and less installation project revenue in the first six months of fiscal 2017 when compared to the first six months of fiscal 2016. Total revenue increased by 6.2%, or $1,988,000, primarily due to the items discussed above.</w:t>
      </w:r>
    </w:p>
    <w:p>
      <w:pPr>
        <w:spacing w:after="0" w:line="1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Cost of product revenue decreased 5.1%, or $1,243,000, in the first six months of fiscal 2017 versus the comparable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fiscal 2016 due primarily to lower component costs and cost containment initiatives. Cost of service revenue decreased 30.0%, or $369,000 in the first six months of fiscal 2017 versus the comparable period in fiscal 2016 primarily due to lower service revenue in the first six months of fiscal 2017. Gross margin improved from 20.6% of revenue in the first six months of fiscal 2016 to 29.9% in the first six months of fiscal 2017. Lighting gross margin was positively impacted by a favorable mix of higher-priced and higher-margin LED high bay fixtures, better absorption due to higher volumes, negotiated price decreases for lighting components, and the benefits of our cost containment initiatives.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3.1%, or $225,000, in the first six months of fiscal 2017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six months of 2016, primarily due to increases in employee costs, stock compensation, legal and consulting expenses.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5.6%, or $317,000, in the first six months of fiscal 2017 compared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2016. The increase was primarily due to increased commissions related to our agency channel and rebranding costs incurred in the first half of fiscal 2017 when compared to the first half of fiscal 2016.</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15.6% or $135,000, in the first six months of fiscal 2017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six months of fiscal 2016 primarily due to our investment in product innovation related to our new product development.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in the first six months of fiscal 2017 represented product royalties received from licensing agreements for our patents.</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first six months of fiscal 2017 decreased by 8.6%, or $13,000, from the first six months of fiscal 2016.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our debt, other than our revolving credit facility, caused the decrease in interest expense.</w:t>
      </w:r>
    </w:p>
    <w:p>
      <w:pPr>
        <w:spacing w:after="0" w:line="11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in the first six months of fiscal 2017 decreased by 70.0%, or $56,000, from the first six months of fiscal 2016.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income decreased as we have entered into fewer financed projects with our customers who are using third party finance providers.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benefit in the first six months of fiscal 2017 primarily represented federal tax refunds and the release of a valuation reserve.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is due primarily to minimum state tax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Orion U.S. Markets Division ("USM") sells lighting solutions into the wholesale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439"/>
              <w:spacing w:after="0"/>
              <w:rPr>
                <w:sz w:val="20"/>
                <w:szCs w:val="20"/>
                <w:color w:val="auto"/>
              </w:rPr>
            </w:pPr>
            <w:r>
              <w:rPr>
                <w:rFonts w:ascii="Arial" w:cs="Arial" w:eastAsia="Arial" w:hAnsi="Arial"/>
                <w:sz w:val="14"/>
                <w:szCs w:val="14"/>
                <w:b w:val="1"/>
                <w:bCs w:val="1"/>
                <w:color w:val="auto"/>
              </w:rPr>
              <w:t>For the Six Months Ended September 30,</w:t>
            </w:r>
          </w:p>
        </w:tc>
        <w:tc>
          <w:tcPr>
            <w:tcW w:w="0" w:type="dxa"/>
            <w:vAlign w:val="bottom"/>
          </w:tcPr>
          <w:p>
            <w:pPr>
              <w:spacing w:after="0"/>
              <w:rPr>
                <w:sz w:val="1"/>
                <w:szCs w:val="1"/>
                <w:color w:val="auto"/>
              </w:rPr>
            </w:pPr>
          </w:p>
        </w:tc>
      </w:tr>
      <w:tr>
        <w:trPr>
          <w:trHeight w:val="152"/>
        </w:trPr>
        <w:tc>
          <w:tcPr>
            <w:tcW w:w="7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11,094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21,506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7"/>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123.1 %</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revenue decreased from the first six months of fiscal 2016 by 48.4%, or $10,412,000. The decrease in revenue during the first six months of fiscal 2017 compared to the first six months of fiscal 2016 was primarily due to our transition to more distribution sales through manufacturer representative agents. These sales are now reflected within Distribution Services.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operating income in the first six months of fiscal 2017 increased from the first six months of fiscal 2016 by $1,019,000. The increase in operating income in fiscal 2017 was primarily due to a more favorable sales mix of higher-margin high bay products offset by the transition to more distribution sales through manufacturer representative agents as described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Our Orion Engineered Systems Division ("OES") sells lighting products and provides construction and engineering services for our commercial lighting and energy management systems. OES also provides turnkey solutions for large national accounts, governments, municipalities and schools.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439"/>
              <w:spacing w:after="0"/>
              <w:rPr>
                <w:sz w:val="20"/>
                <w:szCs w:val="20"/>
                <w:color w:val="auto"/>
              </w:rPr>
            </w:pPr>
            <w:r>
              <w:rPr>
                <w:rFonts w:ascii="Arial" w:cs="Arial" w:eastAsia="Arial" w:hAnsi="Arial"/>
                <w:sz w:val="14"/>
                <w:szCs w:val="14"/>
                <w:b w:val="1"/>
                <w:bCs w:val="1"/>
                <w:color w:val="auto"/>
              </w:rPr>
              <w:t>For the Six Months Ended September 30,</w:t>
            </w:r>
          </w:p>
        </w:tc>
        <w:tc>
          <w:tcPr>
            <w:tcW w:w="0" w:type="dxa"/>
            <w:vAlign w:val="bottom"/>
          </w:tcPr>
          <w:p>
            <w:pPr>
              <w:spacing w:after="0"/>
              <w:rPr>
                <w:sz w:val="1"/>
                <w:szCs w:val="1"/>
                <w:color w:val="auto"/>
              </w:rPr>
            </w:pPr>
          </w:p>
        </w:tc>
      </w:tr>
      <w:tr>
        <w:trPr>
          <w:trHeight w:val="152"/>
        </w:trPr>
        <w:tc>
          <w:tcPr>
            <w:tcW w:w="7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08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13,774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10,604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OES revenue increased in the first six months of fiscal 2017 by 29.9%, or $3,170,000, compared to the first six months of fiscal 2016. This increase in revenue was primarily driven by an increase in lighting revenue due to an increase in customer capital spending within the manufacturing and industrial sector.</w:t>
      </w:r>
    </w:p>
    <w:p>
      <w:pPr>
        <w:spacing w:after="0" w:line="127"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OES segment operating loss in the first six months of fiscal 2017 improved by $2,022,000, from the first six months of fiscal 2016. The increase was due to improvements to our first six months of fiscal 2017 revenues, gross margin related to cost decreases on LED components and a reduction in bad debt expense.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Orion Distribution Services Division ("ODS") sells lighting products to a developing network of North American broadline distributors.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459"/>
              <w:spacing w:after="0"/>
              <w:rPr>
                <w:sz w:val="20"/>
                <w:szCs w:val="20"/>
                <w:color w:val="auto"/>
              </w:rPr>
            </w:pPr>
            <w:r>
              <w:rPr>
                <w:rFonts w:ascii="Arial" w:cs="Arial" w:eastAsia="Arial" w:hAnsi="Arial"/>
                <w:sz w:val="14"/>
                <w:szCs w:val="14"/>
                <w:b w:val="1"/>
                <w:bCs w:val="1"/>
                <w:color w:val="auto"/>
              </w:rPr>
              <w:t>For the Six Months Ended September 30,</w:t>
            </w:r>
          </w:p>
        </w:tc>
        <w:tc>
          <w:tcPr>
            <w:tcW w:w="0" w:type="dxa"/>
            <w:vAlign w:val="bottom"/>
          </w:tcPr>
          <w:p>
            <w:pPr>
              <w:spacing w:after="0"/>
              <w:rPr>
                <w:sz w:val="1"/>
                <w:szCs w:val="1"/>
                <w:color w:val="auto"/>
              </w:rPr>
            </w:pPr>
          </w:p>
        </w:tc>
      </w:tr>
      <w:tr>
        <w:trPr>
          <w:trHeight w:val="152"/>
        </w:trPr>
        <w:tc>
          <w:tcPr>
            <w:tcW w:w="7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9,436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4,480.6 %</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1"/>
                <w:szCs w:val="21"/>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ODS segment revenue increased in the first six months of fiscal 2017 from the first six months of fiscal 2016 by $9,230,000. The increase in revenue in fiscal 2017 was due to our transition from wholesale to distribution channel sales through manufacturer representative agents. Sales increased due to the shift of customers from the U.S. Markets Division to this division as a result of the distribution model.</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ODS segment operating loss increased by $202,000, in the first six months of fiscal 2017 compared to the first six months of fiscal 2016. The operating loss increase was due to our continued investment in selling costs to complete our selling channel transition.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had approximately $18,734,000 in cash and cash equivalents as of September 30, 2016, compared to $15,542,000 at March 31, 2016. Our cash position as of September 30, 2016 benefited from the gross proceeds of our $2,600,000 sale and leaseback on June 30, 2016 of our manufacturing facility and recent borrowings on our revolving credit facility.</w:t>
      </w:r>
    </w:p>
    <w:p>
      <w:pPr>
        <w:spacing w:after="0" w:line="127"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Our future liquidity needs are dependent upon many factors, including our relative revenue, gross margins, cash management practices, capital expenditures, pending or future litigation results, cost containment measures and future potential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07" w:right="239" w:bottom="1440" w:gutter="0" w:footer="0" w:header="0"/>
        </w:sectPr>
      </w:pPr>
    </w:p>
    <w:bookmarkStart w:id="28" w:name="page29"/>
    <w:bookmarkEnd w:id="28"/>
    <w:p>
      <w:pPr>
        <w:jc w:val="both"/>
        <w:ind w:right="120"/>
        <w:spacing w:after="0" w:line="290" w:lineRule="auto"/>
        <w:rPr>
          <w:sz w:val="20"/>
          <w:szCs w:val="20"/>
          <w:color w:val="auto"/>
        </w:rPr>
      </w:pPr>
      <w:r>
        <w:rPr>
          <w:rFonts w:ascii="Arial" w:cs="Arial" w:eastAsia="Arial" w:hAnsi="Arial"/>
          <w:sz w:val="16"/>
          <w:szCs w:val="16"/>
          <w:color w:val="auto"/>
        </w:rPr>
        <w:t>acquisition transactions. In addition, our working capital costs and needs increase disproportionately as we increase sales from existing levels. Based on our current expectations, while we anticipate realizing improved net income performance during fiscal 2017, we also currently believe that we may experience negative working capital cash flows during some quarters of fiscal 2017. While we believe that we will likely have adequate available cash and equivalents and credit availability under our Credit Agreement to satisfy our currently anticipated working capital and liquidity requirements during the near-term, there can be no assurance to that effect. We are pursuing various alternative sources of liquidity to help ensure that we will have adequate available cash to satisfy our working capital needs. We have also implemented certain working capital and inventory management practices which should help to reduce our working capital and inventory levels and enhance our cash position. If we experience significant liquidity constraints, we may be required to reduce our sales efforts, implement additional cost savings initiatives or undertake other efforts to conserve our cash and obtain alternative sources of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six months ended September 30, 2016 and 2015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94"/>
              <w:spacing w:after="0"/>
              <w:rPr>
                <w:sz w:val="20"/>
                <w:szCs w:val="20"/>
                <w:color w:val="auto"/>
              </w:rPr>
            </w:pPr>
            <w:r>
              <w:rPr>
                <w:rFonts w:ascii="Arial" w:cs="Arial" w:eastAsia="Arial" w:hAnsi="Arial"/>
                <w:sz w:val="14"/>
                <w:szCs w:val="14"/>
                <w:b w:val="1"/>
                <w:bCs w:val="1"/>
                <w:color w:val="auto"/>
              </w:rPr>
              <w:t>Six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2,161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84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3,192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(6,556)</w:t>
            </w:r>
          </w:p>
        </w:tc>
      </w:tr>
      <w:tr>
        <w:trPr>
          <w:trHeight w:val="27"/>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or used in operating activities primarily consisted of a net loss adjusted for certain non-cash items including depreciation and amortization, stock-based compensation expenses, reserve changes, and the effect of changes in working capital and other activities.</w:t>
      </w:r>
    </w:p>
    <w:p>
      <w:pPr>
        <w:spacing w:after="0" w:line="1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Cash provided by operating activities for the first six months of fiscal 2017 was $634,000 and consisted of net cash provided by changes in operating assets and liabilities of $1,817,000 and a net loss adjusted for non-cash expense items of $1,183,000. Cash used by changes in operating assets and liabilities consisted of an increase of $1,320,000 in accounts receivable due to the increase in lighting revenue and the timing of collections from customers at period end, an increase in inventories of $426,000 due to the timing product shipments at quarter end, a decrease of $880,000 in accrued expenses due to the payment of a state tax liability offset by accrued project installation costs and an increase in deferred contract costs of $356,000 due to the timing of project completion. Cash provided by changes in operating assets and liabilities included an increase of $667,000 in accounts payable due to the timing of payments on balances at quarter end, a decrease in prepaid and other assets of $3,813,000 primarily due to the timing of project billings, and an increase in deferred revenue of $319,000 due to project completions.</w:t>
      </w:r>
    </w:p>
    <w:p>
      <w:pPr>
        <w:spacing w:after="0" w:line="1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Cash used in operating activities for the first six months of fiscal 2016 was $5,320,000 and consisted of net cash used by changes in operating assets and liabilities of $1,366,000 and a net loss adjusted for non-cash expense items of $3,954,000. Cash used by changes in operating assets and liabilities consisted of an increase in inventory of $1,627,000 due to the increasing mix of higher value LED component products and finished goods requiring deposit payments at time of shipment, a decrease of $2,309,000 in accounts payable related to inventory purchases and favorable vendor payment terms, and a decrease in accrued expenses of $877,000 related to the timing of accrued project installation costs and legal costs. Cash provided by changes in operating assets and liabilities included a decrease of $2,383,000 in accounts receivable due to cash collections of government projects and utility incentives related to several large national account projects and a decrease in prepaid and other expenses of $1,262,000 due to a reduction in unbilled revenue related to the timing of customer billings.</w:t>
      </w:r>
    </w:p>
    <w:p>
      <w:pPr>
        <w:spacing w:after="0" w:line="13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 xml:space="preserve">Cash Flows Related to Investing Activities. </w:t>
      </w:r>
      <w:r>
        <w:rPr>
          <w:rFonts w:ascii="Arial" w:cs="Arial" w:eastAsia="Arial" w:hAnsi="Arial"/>
          <w:sz w:val="16"/>
          <w:szCs w:val="16"/>
          <w:color w:val="auto"/>
        </w:rPr>
        <w:t>Cash provided by investing activities was $2,161,000 in the first six months of fiscal 2017 which consisted</w:t>
      </w:r>
      <w:r>
        <w:rPr>
          <w:rFonts w:ascii="Arial" w:cs="Arial" w:eastAsia="Arial" w:hAnsi="Arial"/>
          <w:sz w:val="16"/>
          <w:szCs w:val="16"/>
          <w:i w:val="1"/>
          <w:iCs w:val="1"/>
          <w:color w:val="auto"/>
        </w:rPr>
        <w:t xml:space="preserve"> </w:t>
      </w:r>
      <w:r>
        <w:rPr>
          <w:rFonts w:ascii="Arial" w:cs="Arial" w:eastAsia="Arial" w:hAnsi="Arial"/>
          <w:sz w:val="16"/>
          <w:szCs w:val="16"/>
          <w:color w:val="auto"/>
        </w:rPr>
        <w:t>of $2,600,000 of proceeds from the sale of the Manitowoc manufacturing facility. Cash used by investing activities for the first six months of fiscal 2017 was $226,000 for capital improvements related to production enhancements and technology purchases, and $213,000 of additions to patents.</w:t>
      </w:r>
    </w:p>
    <w:p>
      <w:pPr>
        <w:spacing w:after="0" w:line="9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Cash used in the first six months of fiscal 2016 was $190,000 which included capital improvements related to the build out of our Chicago innovation hub, investments for marketing and trade show signage to reflect our new brand and new product tooling.</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provided by financing activities was $397,000 for the first six months of fiscal 2017. This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$743,000 cash used for the repayment of long-term debt and net proceeds from the revolving credit facility of $1,140,000.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29" w:name="page30"/>
    <w:bookmarkEnd w:id="29"/>
    <w:p>
      <w:pPr>
        <w:jc w:val="both"/>
        <w:ind w:firstLine="405"/>
        <w:spacing w:after="0" w:line="277" w:lineRule="auto"/>
        <w:rPr>
          <w:sz w:val="20"/>
          <w:szCs w:val="20"/>
          <w:color w:val="auto"/>
        </w:rPr>
      </w:pPr>
      <w:r>
        <w:rPr>
          <w:rFonts w:ascii="Arial" w:cs="Arial" w:eastAsia="Arial" w:hAnsi="Arial"/>
          <w:sz w:val="18"/>
          <w:szCs w:val="18"/>
          <w:color w:val="auto"/>
        </w:rPr>
        <w:t>Cash used in financing activities was $1,046,000 for the first six months of fiscal 2016. This included $37,000 in net payments on the revolving credit facility and debt principal payments of $1,000,000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Our net working capital as of September 30, 2016 was $30,589,000, consisting of $49,556,000 in current assets and $18,967,000 in current liabilities. Our net working capital as of March 31, 2016 was $29,239,000, consisting of $48,530,000 in current assets and $19,291,000 in current liabilities. Our current accounts receivable balance increased by $1,347,000 from the fiscal 2016 year end due to the timing of sales during the first six months of fiscal 2017. Our current inventory decreased from the fiscal 2016 year end by $17,000 due to decreases in raw materials and components due to better management of purchasing activities to enable more efficient throughput and an increase in the inventory reserve. Our prepaid and other current assets decreased by $3,851,000 due to decreased unbilled revenue for completed projects from fiscal year end of 2016. Our accounts payable increased by $667,000 due to the timing of purchases and payments for the second quarter of fiscal 2017. Our accrued expenses decreased from our fiscal 2016 year end by $845,000 due to the payment of a state tax settlement offset by increases in legal and warranty accruals.</w:t>
      </w:r>
    </w:p>
    <w:p>
      <w:pPr>
        <w:spacing w:after="0" w:line="125" w:lineRule="exact"/>
        <w:rPr>
          <w:sz w:val="20"/>
          <w:szCs w:val="20"/>
          <w:color w:val="auto"/>
        </w:rPr>
      </w:pPr>
    </w:p>
    <w:p>
      <w:pPr>
        <w:jc w:val="both"/>
        <w:ind w:right="300" w:firstLine="392"/>
        <w:spacing w:after="0" w:line="264" w:lineRule="auto"/>
        <w:rPr>
          <w:sz w:val="20"/>
          <w:szCs w:val="20"/>
          <w:color w:val="auto"/>
        </w:rPr>
      </w:pPr>
      <w:r>
        <w:rPr>
          <w:rFonts w:ascii="Arial" w:cs="Arial" w:eastAsia="Arial" w:hAnsi="Arial"/>
          <w:sz w:val="18"/>
          <w:szCs w:val="18"/>
          <w:color w:val="auto"/>
        </w:rPr>
        <w:t>We generally attempt to maintain at least a three 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February 6, 2015, we entered into a credit and security agreement (Credit Agreement) with Wells Fargo Bank, National Association. The Credit Agreement provides for a revolving credit facility (Credit Facility) that matures on February 6, 2018. Borrowings under the Credit Facility are initially limited to $15,000,000 subject to a borrowing base requirement based on eligible receivables and inventory. Such limit may increase to $20,000,000, subject to the borrowing base requirement, after July 31, 2016, if we satisfy certain conditions. The Credit Facility includes a $2,000,000 sublimit for the issuance of letters of credit.</w:t>
      </w:r>
    </w:p>
    <w:p>
      <w:pPr>
        <w:spacing w:after="0" w:line="13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From and after any increase in the Credit Facility limit from $15,000,000 to $20,000,000, the Credit Agreement will require us to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July 31, 2016, we have not satisfied the conditions necessary to increase the borrowing limit to $20,000,000.</w:t>
      </w:r>
    </w:p>
    <w:p>
      <w:pPr>
        <w:spacing w:after="0" w:line="1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Each subsidiary is a joint and several co-borrower or guarantor under the Credit Agreement, and the Credit Agreement is secured by a security interest in substantially all of our and each subsidiary’s personal property (excluding various assets relating to customer OTAs) and a mortgage on certain real property.</w:t>
      </w:r>
    </w:p>
    <w:p>
      <w:pPr>
        <w:spacing w:after="0" w:line="12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$130,000, regardless of usage. As of September 30, 2016, the interest rate was 3.85%. We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7"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As of September 30, 2016, we had no outstanding letters of credit. Borrowings outstanding as of September 30, 2016, amounted to approximately $4,860,000 and are included in non-current liabilities in the accompanying Condensed Consolidated Balance Sheet. We estimate that as of September 30, 2016, we were eligible to borrow an additional $533,000 under the Credit Facility based upon current levels of eligible inventory and accounts receivable.</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were in compliance with the covenants in the Credit Agreement as of September 30,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71"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Our capital expenditures are primarily for general corporate purposes for our corporate headquarters and technology center, production equipment and tooling and for information technology systems. Our capital expenditures totaled $226,000 and $179,000 for the six-month periods ended September 30, 2016 and 2015, respectively. We plan to incur approximately $700,000 in capital expenditures in fiscal 2017. We expect to finance these capital expenditures primarily through our existing cash, equipment secured loans and leases, to the extent needed, long-term debt financing, or by using our available capacity under our Credit Facility.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Backlog represents the amount of revenue that we expect to realize in the future as a result of firm, committed orders. Backlog at September 30, 2016 totaled $14,600,000 and at March 31, 2016 totaled $5,600,000. We generally expect our backlog to be recognized as revenue within one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condensed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inventories, allowance for doubtful accounts, recoverability of long-lived assets, indefinite lived intangible assets, stock-based compensation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2016. For the six months ended September 30, 2016, there were no material changes in our accounting policies.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2 in the condensed consolidated financial statements included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2016. There have been no material changes to such exposures since March 31, 2016.</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on Internal Control over Financial Reporting</w:t>
      </w:r>
    </w:p>
    <w:p>
      <w:pPr>
        <w:spacing w:after="0" w:line="175"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11" w:right="239" w:bottom="1440" w:gutter="0" w:footer="0" w:header="0"/>
        </w:sectPr>
      </w:pPr>
    </w:p>
    <w:bookmarkStart w:id="31" w:name="page32"/>
    <w:bookmarkEnd w:id="31"/>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82"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92"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jc w:val="both"/>
        <w:ind w:right="40" w:firstLine="392"/>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20" w:firstLine="392"/>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27"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In connection with our assessment of the effectiveness of internal control over financial reporting, we identified the following material weaknesses that existed as of March 31, 2016 and may continue to exist as of September 30, 2016. A material weakness is a control deficiency or a combination of control deficiencies that results in more than a remote likelihood that a material misstatement of the annual or interim financial statements will not be prevented or detected.</w:t>
      </w:r>
    </w:p>
    <w:p>
      <w:pPr>
        <w:spacing w:after="0" w:line="133" w:lineRule="exact"/>
        <w:rPr>
          <w:sz w:val="20"/>
          <w:szCs w:val="20"/>
          <w:color w:val="auto"/>
        </w:rPr>
      </w:pPr>
    </w:p>
    <w:p>
      <w:pPr>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 Assessment and Monitoring Activities. </w:t>
      </w:r>
      <w:r>
        <w:rPr>
          <w:rFonts w:ascii="Arial" w:cs="Arial" w:eastAsia="Arial" w:hAnsi="Arial"/>
          <w:sz w:val="18"/>
          <w:szCs w:val="18"/>
          <w:color w:val="auto"/>
        </w:rPr>
        <w:t>We determined that our controls pertaining to risk assessment and monitoring activities did not operate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effectively, resulting in a material weakness pertaining to these COSO components. Specifically, (i) with respect to risk assessment, we did not sufficiently identify and address risks associated with (a) the adequacy of training needs of employees whose job functions bear upon our accounting and financial reporting; and (b) certain processes, further noted in the Control Activities discussion below, resulting in inadequate contract review activities; and (ii) with respect to monitoring activities: (a) we did not maintain effective controls for the review, supervision and monitoring of our accounting operations and for evaluating the adequacy of our internal control over financial reporting; and (b) there were insufficient procedures to effectively determine the adequacy of our internal control over financial reporting. The deficiencies in these COSO components are interrelated and represent a material weakness.</w:t>
      </w:r>
    </w:p>
    <w:p>
      <w:pPr>
        <w:spacing w:after="0" w:line="138"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Control Activities - Revenue Recognition</w:t>
      </w:r>
      <w:r>
        <w:rPr>
          <w:rFonts w:ascii="Arial" w:cs="Arial" w:eastAsia="Arial" w:hAnsi="Arial"/>
          <w:sz w:val="18"/>
          <w:szCs w:val="18"/>
          <w:color w:val="auto"/>
        </w:rPr>
        <w:t>. The operating effectiveness of our controls were inadequate to ensure that the review of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involving contracts and the related accounting entries was performed. Revenue recognition controls ensure that the reported amount and timing of revenue recognition are accurate.</w:t>
      </w:r>
    </w:p>
    <w:p>
      <w:pPr>
        <w:spacing w:after="0" w:line="12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 material weaknesses discussed above could result in a material misstatement to our annual or interim financial statements that would not be prevented or detected. As a result of the material weaknesses identified, management has concluded that our internal control over financial reporting was not effective as of March 31, 2016 or September 30, 2016. We reviewed the results of management’s assessment with the Audit Committee of our Board of Directors. In addition, we enhanced our closing procedures to ensure that, in all material respects, our financial statements are presented in conformity with GAAP and free of material misstatement as of and for the periods ended March 31, 2016 and September 30,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Subsequent to our March 31, 2016 fiscal year end, we began taking a number of actions, including designing and implementing new controls and revising existing controls, in order to remediate the material weaknesses described above. We expect to continue our remediation efforts, including testing the operating effectiveness of new controls, as described below under “Remedial Actions to Address Material Weaknesses” with respect to the material weaknesses identified during the fiscal year ended March 31, 2016. We will provide an update on the status of our remediation activities on a quarterly basis.</w:t>
      </w:r>
    </w:p>
    <w:p>
      <w:pPr>
        <w:spacing w:after="0" w:line="10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2016 that have materially affected, or are reasonably likely to materially affect, our internal control over financial reporting, other than progress with respect to the implementation of certain remediation efforts, as described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Remedial Actions to Address Material Weaknesses</w:t>
      </w:r>
    </w:p>
    <w:p>
      <w:pPr>
        <w:spacing w:after="0" w:line="175"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We continue to evaluate the effectiveness of our remediation efforts, including demonstrating that our new or improved controls operate effectively for a reasonable period of time. If appropriate, we expect to make further changes to our internal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30" w:right="279" w:bottom="1440" w:gutter="0" w:footer="0" w:header="0"/>
        </w:sectPr>
      </w:pPr>
    </w:p>
    <w:bookmarkStart w:id="32" w:name="page33"/>
    <w:bookmarkEnd w:id="32"/>
    <w:p>
      <w:pPr>
        <w:ind w:right="460"/>
        <w:spacing w:after="0" w:line="277" w:lineRule="auto"/>
        <w:rPr>
          <w:sz w:val="20"/>
          <w:szCs w:val="20"/>
          <w:color w:val="auto"/>
        </w:rPr>
      </w:pPr>
      <w:r>
        <w:rPr>
          <w:rFonts w:ascii="Arial" w:cs="Arial" w:eastAsia="Arial" w:hAnsi="Arial"/>
          <w:sz w:val="18"/>
          <w:szCs w:val="18"/>
          <w:color w:val="auto"/>
        </w:rPr>
        <w:t>controls. The following actions have been taken, are in process of being taken or we expect to take as soon as practicable, to strengthen our controls and organizational structure:</w:t>
      </w:r>
    </w:p>
    <w:p>
      <w:pPr>
        <w:spacing w:after="0" w:line="116" w:lineRule="exact"/>
        <w:rPr>
          <w:sz w:val="20"/>
          <w:szCs w:val="20"/>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Redesigned the process for the review and analysis of complex revenue transactions involving multiple elements; improved and updated the related policy and procedures; evaluated the skills of the process owners with regard to the policy and provided additional training over this process.</w:t>
      </w:r>
    </w:p>
    <w:p>
      <w:pPr>
        <w:spacing w:after="0" w:line="69"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related remediation steps completed include the implementation of a number of control enhancements throughout the revenue process. New procedures and enhanced review controls have been implemented in the following areas: the sales order self-assessment audit process validation and review, order entry review and training, perfected order process documentation and policy issuance, enhanced order entry systems controls, credit approval process enhancements, updated credit memo policy, enhanced contract review procedures and approvals, sub-assertion process training and an enhanced review of sub-assertions by management, bonding fee revenue review, deferred revenue review procedures, and multiple element accounting training and review. Communication of the changes, training, updates to policies and procedures, and additional staffing is currently in process.</w:t>
      </w:r>
    </w:p>
    <w:p>
      <w:pPr>
        <w:spacing w:after="0" w:line="13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 specific remediation actions by training process owners and allowing time for process adoption and adequate transaction volume for testing. We are providing additional training to employees whose job functions bear upon our accounting and financial reporting, including members of the sales and operations departments, in order to ensure that our employees develop a greater understanding of the control activities that they perform.</w:t>
      </w:r>
    </w:p>
    <w:p>
      <w:pPr>
        <w:spacing w:after="0" w:line="132"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enhancing our risk assessment process with regard to control design deficiencies. We are performing a more robust assessment of risks impacting our accounting and financial reporting and have implemented new controls or revised existing controls to address such risks. We have developed a revised sub-assertion process that will be rolled out in the next quarter, as well as a disclosure committee of management members. We have documented controls and procedures related to our revenue cycle and are planning to do the same for additional business cycles. An enterprise risk management program has been implemented to highlight organizational risks and develop strategies for monitoring and mitigating risks. Risk assessment and control monitoring remediation steps completed include the implementation of a number of control enhancements.</w:t>
      </w:r>
    </w:p>
    <w:p>
      <w:pPr>
        <w:spacing w:after="0" w:line="11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Test and measure the design and effectiveness of the remediation actions; test and provide feedback on the design and operating effectiveness of the controls.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begun to test revised and newly implemented controls, however, these controls have not operated for a sufficient period to determine the adequacy of their operating effectiveness.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and acceptance of completion of the remediation effort by executive management and the Audit &amp; Finance Committee.</w:t>
      </w:r>
    </w:p>
    <w:p>
      <w:pPr>
        <w:spacing w:after="0" w:line="171" w:lineRule="exact"/>
        <w:rPr>
          <w:sz w:val="20"/>
          <w:szCs w:val="20"/>
          <w:color w:val="auto"/>
        </w:rPr>
      </w:pPr>
    </w:p>
    <w:p>
      <w:pPr>
        <w:ind w:right="360" w:firstLine="392"/>
        <w:spacing w:after="0" w:line="259" w:lineRule="auto"/>
        <w:rPr>
          <w:sz w:val="20"/>
          <w:szCs w:val="20"/>
          <w:color w:val="auto"/>
        </w:rPr>
      </w:pPr>
      <w:r>
        <w:rPr>
          <w:rFonts w:ascii="Arial" w:cs="Arial" w:eastAsia="Arial" w:hAnsi="Arial"/>
          <w:sz w:val="18"/>
          <w:szCs w:val="18"/>
          <w:color w:val="auto"/>
        </w:rPr>
        <w:t>While progress has been made, there are additional controls that we need to continue to refine and implement, some existing controls may require further enhancement to prevent or detect a material misstatement in our financial statements, and additional training may need to be provided to our employees. These enhanced controls have not yet operated for a sufficient period of time to conclude they are operating effectively, therefore the material weakness may continue to exist.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3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w:t>
      </w:r>
    </w:p>
    <w:p>
      <w:pPr>
        <w:spacing w:after="0" w:line="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See Note 6, "Commitments and Contingencies - Litigation", to the Condensed Consolidated Financial Statements in Item 1 of this Quarterly Report on Form 10-Q.</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2016, which we filed with the SEC on June 23, 2016 and in Part 1 - Item 2 under the heading "Management's Discussion and Analysis of Financial Condition and Results of Operations" in this Form 10-Q.</w:t>
      </w:r>
    </w:p>
    <w:p>
      <w:pPr>
        <w:spacing w:after="0" w:line="19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June 7, 2016, we issued and sold 57,065 shares of our common stock to William T. Hull, our Chief Financial Officer, for an aggregate purchase price of $78,750. On August 5, 2016, we sold an aggregate of 63,381 shares of our common stock, in equal amounts of 21,127 shares, to each of Thomas N. Schueller, Tryg C. Jacobson and James D. Leslie, recently retired members of the Company’s board of directors, for an aggregate purchase price of $90,001. In each case, the purchase price for the shares was calculated based on the closing price of Orion's common stock on the NASDAQ Capital Market of the date of the issuance. The shares of common stock were offered and sold pursuant to an exemption from the registration requirements under Sections 4(2) of the Securities Act of 1933, as amended.</w:t>
      </w:r>
    </w:p>
    <w:p>
      <w:pPr>
        <w:spacing w:after="0" w:line="200" w:lineRule="exact"/>
        <w:rPr>
          <w:sz w:val="20"/>
          <w:szCs w:val="20"/>
          <w:color w:val="auto"/>
        </w:rPr>
      </w:pPr>
    </w:p>
    <w:p>
      <w:pPr>
        <w:spacing w:after="0" w:line="39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Orion Energy Systems, Inc. 2016 Omnibus Incentive Plan [Incorporated by reference to Annex A to the Registrant’s Current Report on Form</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8-K filed with the Securities and Exchange Commission on July 8, 2016 (File No. 001-33887)].</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0440" w:type="dxa"/>
            <w:vAlign w:val="bottom"/>
          </w:tcPr>
          <w:p>
            <w:pPr>
              <w:ind w:left="240"/>
              <w:spacing w:after="0"/>
              <w:rPr>
                <w:sz w:val="20"/>
                <w:szCs w:val="20"/>
                <w:color w:val="auto"/>
              </w:rPr>
            </w:pPr>
            <w:r>
              <w:rPr>
                <w:rFonts w:ascii="Arial" w:cs="Arial" w:eastAsia="Arial" w:hAnsi="Arial"/>
                <w:sz w:val="18"/>
                <w:szCs w:val="18"/>
                <w:color w:val="auto"/>
                <w:w w:val="95"/>
              </w:rPr>
              <w:t>Form of Non-Employee Director Tandem Restricted Stock and Cash Award Agreement [Incorporated by reference to Exhibit 4.5 to the</w:t>
            </w:r>
          </w:p>
        </w:tc>
      </w:tr>
      <w:tr>
        <w:trPr>
          <w:trHeight w:val="216"/>
        </w:trPr>
        <w:tc>
          <w:tcPr>
            <w:tcW w:w="90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Registrant’s Registration Statement on Form S-8 filed with the Securities and Exchange Commission on August 10, 2016 (Reg No. 333-</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213042)].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10440" w:type="dxa"/>
            <w:vAlign w:val="bottom"/>
          </w:tcPr>
          <w:p>
            <w:pPr>
              <w:ind w:left="240"/>
              <w:spacing w:after="0"/>
              <w:rPr>
                <w:sz w:val="20"/>
                <w:szCs w:val="20"/>
                <w:color w:val="auto"/>
              </w:rPr>
            </w:pPr>
            <w:r>
              <w:rPr>
                <w:rFonts w:ascii="Arial" w:cs="Arial" w:eastAsia="Arial" w:hAnsi="Arial"/>
                <w:sz w:val="18"/>
                <w:szCs w:val="18"/>
                <w:color w:val="auto"/>
              </w:rPr>
              <w:t>Form of Non-Employee Director Restricted Stock Award Agreement [Incorporated by reference to Exhibit 4.6 to the Registrant’s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6"/>
              </w:rPr>
              <w:t>Registration Statement on Form S-8 filed with the Securities and Exchange Commission on August 10, 2016 (Reg No. 333-213042)].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tcPr>
          <w:p>
            <w:pPr>
              <w:ind w:left="240"/>
              <w:spacing w:after="0"/>
              <w:rPr>
                <w:sz w:val="20"/>
                <w:szCs w:val="20"/>
                <w:color w:val="auto"/>
              </w:rPr>
            </w:pPr>
            <w:r>
              <w:rPr>
                <w:rFonts w:ascii="Arial" w:cs="Arial" w:eastAsia="Arial" w:hAnsi="Arial"/>
                <w:sz w:val="18"/>
                <w:szCs w:val="18"/>
                <w:color w:val="auto"/>
                <w:w w:val="96"/>
              </w:rPr>
              <w:t>Form of Executive Tandem Restricted Stock and Cash Award Agreement [Incorporated by reference to Exhibit 4.7 to the Registrant’s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6"/>
              </w:rPr>
              <w:t>Registration Statement on Form S-8 filed with the Securities and Exchange Commission on August 10, 2016 (Reg No. 333-213042)].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Form of Executive Restricted Stock Award Agreement [Incorporated by reference to Exhibit 4.8 to the Registrant’s Registration Statement 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Form S-8 filed with the Securities and Exchange Commission on August 10, 2016 (Reg No. 333-213042)].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Executive Employment and Severance Agreement, dated August 3, 2016, by and between Orion Energy Systems, Inc. and Scott A. Green</w:t>
            </w:r>
          </w:p>
        </w:tc>
      </w:tr>
      <w:tr>
        <w:trPr>
          <w:trHeight w:val="216"/>
        </w:trPr>
        <w:tc>
          <w:tcPr>
            <w:tcW w:w="90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[Incorporated by reference to the Registrant’s Current Report on Form 8-K filed with the Securities and Exchange Commission on August 4,</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2016 (File No. 001-33887)].</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 +</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 +</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tcPr>
          <w:p>
            <w:pPr>
              <w:ind w:left="240"/>
              <w:spacing w:after="0"/>
              <w:rPr>
                <w:sz w:val="20"/>
                <w:szCs w:val="20"/>
                <w:color w:val="auto"/>
              </w:rPr>
            </w:pPr>
            <w:r>
              <w:rPr>
                <w:rFonts w:ascii="Arial" w:cs="Arial" w:eastAsia="Arial" w:hAnsi="Arial"/>
                <w:sz w:val="18"/>
                <w:szCs w:val="18"/>
                <w:color w:val="auto"/>
                <w:w w:val="98"/>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 +</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40" w:type="dxa"/>
            <w:vAlign w:val="bottom"/>
          </w:tcPr>
          <w:p>
            <w:pPr>
              <w:ind w:left="240"/>
              <w:spacing w:after="0"/>
              <w:rPr>
                <w:sz w:val="20"/>
                <w:szCs w:val="20"/>
                <w:color w:val="auto"/>
              </w:rPr>
            </w:pPr>
            <w:r>
              <w:rPr>
                <w:rFonts w:ascii="Arial" w:cs="Arial" w:eastAsia="Arial" w:hAnsi="Arial"/>
                <w:sz w:val="18"/>
                <w:szCs w:val="18"/>
                <w:color w:val="auto"/>
                <w:w w:val="98"/>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 +</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175" w:lineRule="exact"/>
        <w:rPr>
          <w:sz w:val="20"/>
          <w:szCs w:val="20"/>
          <w:color w:val="auto"/>
        </w:rPr>
      </w:pPr>
    </w:p>
    <w:p>
      <w:pPr>
        <w:ind w:left="760" w:hanging="69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607" w:right="279" w:bottom="1440" w:gutter="0" w:footer="0" w:header="0"/>
        </w:sectPr>
      </w:pPr>
    </w:p>
    <w:bookmarkStart w:id="35" w:name="page36"/>
    <w:bookmarkEnd w:id="35"/>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3, 2016.</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364" w:right="3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Index to Form 10-Q for the Period Ended September 30, 2016</w:t>
            </w:r>
          </w:p>
        </w:tc>
        <w:tc>
          <w:tcPr>
            <w:tcW w:w="2980" w:type="dxa"/>
            <w:vAlign w:val="bottom"/>
          </w:tcPr>
          <w:p>
            <w:pPr>
              <w:spacing w:after="0"/>
              <w:rPr>
                <w:sz w:val="17"/>
                <w:szCs w:val="17"/>
                <w:color w:val="auto"/>
              </w:rPr>
            </w:pPr>
          </w:p>
        </w:tc>
      </w:tr>
      <w:tr>
        <w:trPr>
          <w:trHeight w:val="465"/>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1"/>
              </w:rPr>
              <w:t>Orion Energy Systems, Inc. 2016 Omnibus Incentive Plan [Incorporated by reference to Annex A to the Registrant’s Current Report on Form</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8-K filed with the Securities and Exchange Commission on July 8, 2016 (File No. 001-33887)].</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5"/>
              </w:rPr>
              <w:t>Form of Non-Employee Director Tandem Restricted Stock and Cash Award Agreement [Incorporated by reference to Exhibit 4.5 to the</w:t>
            </w:r>
          </w:p>
        </w:tc>
      </w:tr>
      <w:tr>
        <w:trPr>
          <w:trHeight w:val="216"/>
        </w:trPr>
        <w:tc>
          <w:tcPr>
            <w:tcW w:w="900" w:type="dxa"/>
            <w:vAlign w:val="bottom"/>
          </w:tcPr>
          <w:p>
            <w:pPr>
              <w:spacing w:after="0"/>
              <w:rPr>
                <w:sz w:val="18"/>
                <w:szCs w:val="18"/>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4"/>
              </w:rPr>
              <w:t>Registrant’s Registration Statement on Form S-8 filed with the Securities and Exchange Commission on August 10, 2016 (Reg No. 333-</w:t>
            </w:r>
          </w:p>
        </w:tc>
      </w:tr>
      <w:tr>
        <w:trPr>
          <w:trHeight w:val="230"/>
        </w:trPr>
        <w:tc>
          <w:tcPr>
            <w:tcW w:w="900" w:type="dxa"/>
            <w:vAlign w:val="bottom"/>
          </w:tcPr>
          <w:p>
            <w:pPr>
              <w:spacing w:after="0"/>
              <w:rPr>
                <w:sz w:val="20"/>
                <w:szCs w:val="20"/>
                <w:color w:val="auto"/>
              </w:rPr>
            </w:pPr>
          </w:p>
        </w:tc>
        <w:tc>
          <w:tcPr>
            <w:tcW w:w="2100" w:type="dxa"/>
            <w:vAlign w:val="bottom"/>
          </w:tcPr>
          <w:p>
            <w:pPr>
              <w:ind w:left="240"/>
              <w:spacing w:after="0"/>
              <w:rPr>
                <w:sz w:val="20"/>
                <w:szCs w:val="20"/>
                <w:color w:val="auto"/>
              </w:rPr>
            </w:pPr>
            <w:r>
              <w:rPr>
                <w:rFonts w:ascii="Arial" w:cs="Arial" w:eastAsia="Arial" w:hAnsi="Arial"/>
                <w:sz w:val="18"/>
                <w:szCs w:val="18"/>
                <w:color w:val="auto"/>
              </w:rPr>
              <w:t>213042)].</w:t>
            </w:r>
          </w:p>
        </w:tc>
        <w:tc>
          <w:tcPr>
            <w:tcW w:w="53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Form of Non-Employee Director Restricted Stock Award Agreement [Incorporated by reference to Exhibit 4.6 to the Registrant’s</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6"/>
              </w:rPr>
              <w:t>Registration Statement on Form S-8 filed with the Securities and Exchange Commission on August 10, 2016 (Reg No. 333-213042)].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6"/>
              </w:rPr>
              <w:t>Form of Executive Tandem Restricted Stock and Cash Award Agreement [Incorporated by reference to Exhibit 4.7 to the Registrant’s</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6"/>
              </w:rPr>
              <w:t>Registration Statement on Form S-8 filed with the Securities and Exchange Commission on August 10, 2016 (Reg No. 333-213042)].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1"/>
              </w:rPr>
              <w:t>Form of Executive Restricted Stock Award Agreement [Incorporated by reference to Exhibit 4.8 to the Registrant’s Registration Statement on</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Form S-8 filed with the Securities and Exchange Commission on August 10, 2016 (Reg No. 333-213042)].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2"/>
              </w:rPr>
              <w:t>Executive Employment and Severance Agreement, dated August 3, 2016, by and between Orion Energy Systems, Inc. and Scott A. Green</w:t>
            </w:r>
          </w:p>
        </w:tc>
      </w:tr>
      <w:tr>
        <w:trPr>
          <w:trHeight w:val="216"/>
        </w:trPr>
        <w:tc>
          <w:tcPr>
            <w:tcW w:w="900" w:type="dxa"/>
            <w:vAlign w:val="bottom"/>
          </w:tcPr>
          <w:p>
            <w:pPr>
              <w:spacing w:after="0"/>
              <w:rPr>
                <w:sz w:val="18"/>
                <w:szCs w:val="18"/>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1"/>
              </w:rPr>
              <w:t>[Incorporated by reference to the Registrant’s Current Report on Form 8-K filed with the Securities and Exchange Commission on August 4,</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2016 (File No. 001-33887)].</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7460" w:type="dxa"/>
            <w:vAlign w:val="bottom"/>
            <w:gridSpan w:val="2"/>
          </w:tcPr>
          <w:p>
            <w:pPr>
              <w:ind w:left="4680"/>
              <w:spacing w:after="0"/>
              <w:rPr>
                <w:sz w:val="20"/>
                <w:szCs w:val="20"/>
                <w:color w:val="auto"/>
              </w:rPr>
            </w:pPr>
            <w:r>
              <w:rPr>
                <w:rFonts w:ascii="Arial" w:cs="Arial" w:eastAsia="Arial" w:hAnsi="Arial"/>
                <w:sz w:val="18"/>
                <w:szCs w:val="18"/>
                <w:color w:val="auto"/>
              </w:rPr>
              <w:t>37</w:t>
            </w:r>
          </w:p>
        </w:tc>
        <w:tc>
          <w:tcPr>
            <w:tcW w:w="2980" w:type="dxa"/>
            <w:vAlign w:val="bottom"/>
          </w:tcPr>
          <w:p>
            <w:pPr>
              <w:spacing w:after="0"/>
              <w:rPr>
                <w:sz w:val="24"/>
                <w:szCs w:val="24"/>
                <w:color w:val="auto"/>
              </w:rPr>
            </w:pPr>
          </w:p>
        </w:tc>
      </w:tr>
    </w:tbl>
    <w:p>
      <w:pPr>
        <w:sectPr>
          <w:pgSz w:w="11900" w:h="16838" w:orient="portrait"/>
          <w:cols w:equalWidth="0" w:num="1">
            <w:col w:w="11340"/>
          </w:cols>
          <w:pgMar w:left="280" w:top="351" w:right="2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169545</wp:posOffset>
            </wp:positionV>
            <wp:extent cx="4613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7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2016, as filed with the Securities and Exchange Commission on the date hereof (the “Report”), I, John H. Scribante, Chief Executive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November 3, 2016</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2016,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November 3, 2016</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169545</wp:posOffset>
            </wp:positionV>
            <wp:extent cx="34474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7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2019-12-29T09:02:01Z</dcterms:created>
  <dcterms:modified xsi:type="dcterms:W3CDTF">2019-12-29T09:02:01Z</dcterms:modified>
</cp:coreProperties>
</file>