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90170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109855</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7" w:lineRule="exact"/>
        <w:rPr>
          <w:sz w:val="24"/>
          <w:szCs w:val="24"/>
          <w:color w:val="auto"/>
        </w:rPr>
      </w:pPr>
    </w:p>
    <w:p>
      <w:pPr>
        <w:ind w:left="540" w:right="20" w:hanging="532"/>
        <w:spacing w:after="0" w:line="256" w:lineRule="auto"/>
        <w:tabs>
          <w:tab w:leader="none" w:pos="5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540" w:hanging="532"/>
        <w:spacing w:after="0" w:line="256" w:lineRule="auto"/>
        <w:tabs>
          <w:tab w:leader="none" w:pos="5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001-33887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102870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Orion Energy Systems,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2782570</wp:posOffset>
            </wp:positionH>
            <wp:positionV relativeFrom="paragraph">
              <wp:posOffset>99060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53"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88"/>
              </w:rPr>
              <w:t>Wisconsin</w:t>
            </w: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jc w:val="right"/>
              <w:ind w:right="2244"/>
              <w:spacing w:after="0"/>
              <w:rPr>
                <w:sz w:val="20"/>
                <w:szCs w:val="20"/>
                <w:color w:val="auto"/>
              </w:rPr>
            </w:pPr>
            <w:r>
              <w:rPr>
                <w:rFonts w:ascii="Arial" w:cs="Arial" w:eastAsia="Arial" w:hAnsi="Arial"/>
                <w:sz w:val="18"/>
                <w:szCs w:val="18"/>
                <w:b w:val="1"/>
                <w:bCs w:val="1"/>
                <w:color w:val="auto"/>
              </w:rPr>
              <w:t>39-1847269</w:t>
            </w:r>
          </w:p>
        </w:tc>
        <w:tc>
          <w:tcPr>
            <w:tcW w:w="0" w:type="dxa"/>
            <w:vAlign w:val="bottom"/>
          </w:tcPr>
          <w:p>
            <w:pPr>
              <w:spacing w:after="0"/>
              <w:rPr>
                <w:sz w:val="1"/>
                <w:szCs w:val="1"/>
                <w:color w:val="auto"/>
              </w:rPr>
            </w:pPr>
          </w:p>
        </w:tc>
      </w:tr>
      <w:tr>
        <w:trPr>
          <w:trHeight w:val="148"/>
        </w:trPr>
        <w:tc>
          <w:tcPr>
            <w:tcW w:w="4800" w:type="dxa"/>
            <w:vAlign w:val="bottom"/>
            <w:gridSpan w:val="3"/>
          </w:tcPr>
          <w:p>
            <w:pPr>
              <w:jc w:val="center"/>
              <w:ind w:left="64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0" w:type="dxa"/>
            <w:vAlign w:val="bottom"/>
          </w:tcPr>
          <w:p>
            <w:pPr>
              <w:jc w:val="center"/>
              <w:ind w:right="1804"/>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4800" w:type="dxa"/>
            <w:vAlign w:val="bottom"/>
            <w:gridSpan w:val="3"/>
          </w:tcPr>
          <w:p>
            <w:pPr>
              <w:jc w:val="center"/>
              <w:ind w:left="641"/>
              <w:spacing w:after="0"/>
              <w:rPr>
                <w:sz w:val="20"/>
                <w:szCs w:val="20"/>
                <w:color w:val="auto"/>
              </w:rPr>
            </w:pPr>
            <w:r>
              <w:rPr>
                <w:rFonts w:ascii="Arial" w:cs="Arial" w:eastAsia="Arial" w:hAnsi="Arial"/>
                <w:sz w:val="14"/>
                <w:szCs w:val="14"/>
                <w:b w:val="1"/>
                <w:bCs w:val="1"/>
                <w:color w:val="auto"/>
                <w:w w:val="94"/>
              </w:rPr>
              <w:t>incorporation or organization)</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04"/>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323"/>
        </w:trPr>
        <w:tc>
          <w:tcPr>
            <w:tcW w:w="4800" w:type="dxa"/>
            <w:vAlign w:val="bottom"/>
            <w:gridSpan w:val="3"/>
          </w:tcPr>
          <w:p>
            <w:pPr>
              <w:jc w:val="center"/>
              <w:ind w:left="641"/>
              <w:spacing w:after="0"/>
              <w:rPr>
                <w:sz w:val="20"/>
                <w:szCs w:val="20"/>
                <w:color w:val="auto"/>
              </w:rPr>
            </w:pPr>
            <w:r>
              <w:rPr>
                <w:rFonts w:ascii="Arial" w:cs="Arial" w:eastAsia="Arial" w:hAnsi="Arial"/>
                <w:sz w:val="18"/>
                <w:szCs w:val="18"/>
                <w:b w:val="1"/>
                <w:bCs w:val="1"/>
                <w:color w:val="auto"/>
                <w:w w:val="90"/>
              </w:rPr>
              <w:t>2210 Woodland Drive, Manitowoc, Wisconsin</w:t>
            </w: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jc w:val="right"/>
              <w:ind w:right="2444"/>
              <w:spacing w:after="0"/>
              <w:rPr>
                <w:sz w:val="20"/>
                <w:szCs w:val="20"/>
                <w:color w:val="auto"/>
              </w:rPr>
            </w:pPr>
            <w:r>
              <w:rPr>
                <w:rFonts w:ascii="Arial" w:cs="Arial" w:eastAsia="Arial" w:hAnsi="Arial"/>
                <w:sz w:val="18"/>
                <w:szCs w:val="18"/>
                <w:b w:val="1"/>
                <w:bCs w:val="1"/>
                <w:color w:val="auto"/>
              </w:rPr>
              <w:t>54220</w:t>
            </w:r>
          </w:p>
        </w:tc>
        <w:tc>
          <w:tcPr>
            <w:tcW w:w="0" w:type="dxa"/>
            <w:vAlign w:val="bottom"/>
          </w:tcPr>
          <w:p>
            <w:pPr>
              <w:spacing w:after="0"/>
              <w:rPr>
                <w:sz w:val="1"/>
                <w:szCs w:val="1"/>
                <w:color w:val="auto"/>
              </w:rPr>
            </w:pPr>
          </w:p>
        </w:tc>
      </w:tr>
      <w:tr>
        <w:trPr>
          <w:trHeight w:val="190"/>
        </w:trPr>
        <w:tc>
          <w:tcPr>
            <w:tcW w:w="4800" w:type="dxa"/>
            <w:vAlign w:val="bottom"/>
            <w:gridSpan w:val="3"/>
          </w:tcPr>
          <w:p>
            <w:pPr>
              <w:jc w:val="center"/>
              <w:ind w:left="6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0" w:type="dxa"/>
            <w:vAlign w:val="bottom"/>
          </w:tcPr>
          <w:p>
            <w:pPr>
              <w:jc w:val="center"/>
              <w:ind w:right="1824"/>
              <w:spacing w:after="0"/>
              <w:rPr>
                <w:sz w:val="20"/>
                <w:szCs w:val="20"/>
                <w:color w:val="auto"/>
              </w:rPr>
            </w:pPr>
            <w:r>
              <w:rPr>
                <w:rFonts w:ascii="Arial" w:cs="Arial" w:eastAsia="Arial" w:hAnsi="Arial"/>
                <w:sz w:val="14"/>
                <w:szCs w:val="14"/>
                <w:b w:val="1"/>
                <w:bCs w:val="1"/>
                <w:color w:val="auto"/>
                <w:w w:val="92"/>
              </w:rPr>
              <w:t>(Zip code)</w:t>
            </w:r>
          </w:p>
        </w:tc>
        <w:tc>
          <w:tcPr>
            <w:tcW w:w="0" w:type="dxa"/>
            <w:vAlign w:val="bottom"/>
          </w:tcPr>
          <w:p>
            <w:pPr>
              <w:spacing w:after="0"/>
              <w:rPr>
                <w:sz w:val="1"/>
                <w:szCs w:val="1"/>
                <w:color w:val="auto"/>
              </w:rPr>
            </w:pPr>
          </w:p>
        </w:tc>
      </w:tr>
      <w:tr>
        <w:trPr>
          <w:trHeight w:val="35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9"/>
              </w:rPr>
              <w:t>Registrant’s telephone number, including area code: (920) 892-9340</w:t>
            </w:r>
          </w:p>
        </w:tc>
        <w:tc>
          <w:tcPr>
            <w:tcW w:w="0" w:type="dxa"/>
            <w:vAlign w:val="bottom"/>
          </w:tcPr>
          <w:p>
            <w:pPr>
              <w:spacing w:after="0"/>
              <w:rPr>
                <w:sz w:val="1"/>
                <w:szCs w:val="1"/>
                <w:color w:val="auto"/>
              </w:rPr>
            </w:pPr>
          </w:p>
        </w:tc>
      </w:tr>
      <w:tr>
        <w:trPr>
          <w:trHeight w:val="500"/>
        </w:trPr>
        <w:tc>
          <w:tcPr>
            <w:tcW w:w="11240" w:type="dxa"/>
            <w:vAlign w:val="bottom"/>
            <w:gridSpan w:val="6"/>
          </w:tcPr>
          <w:p>
            <w:pPr>
              <w:jc w:val="center"/>
              <w:spacing w:after="0"/>
              <w:rPr>
                <w:sz w:val="20"/>
                <w:szCs w:val="20"/>
                <w:color w:val="auto"/>
              </w:rPr>
            </w:pPr>
            <w:r>
              <w:rPr>
                <w:rFonts w:ascii="Arial" w:cs="Arial" w:eastAsia="Arial" w:hAnsi="Arial"/>
                <w:sz w:val="18"/>
                <w:szCs w:val="18"/>
                <w:b w:val="1"/>
                <w:bCs w:val="1"/>
                <w:color w:val="auto"/>
                <w:w w:val="88"/>
              </w:rPr>
              <w:t>Securities registered pursuant to Section 12(b) of the act:</w:t>
            </w:r>
          </w:p>
        </w:tc>
        <w:tc>
          <w:tcPr>
            <w:tcW w:w="0" w:type="dxa"/>
            <w:vAlign w:val="bottom"/>
          </w:tcPr>
          <w:p>
            <w:pPr>
              <w:spacing w:after="0"/>
              <w:rPr>
                <w:sz w:val="1"/>
                <w:szCs w:val="1"/>
                <w:color w:val="auto"/>
              </w:rPr>
            </w:pPr>
          </w:p>
        </w:tc>
      </w:tr>
      <w:tr>
        <w:trPr>
          <w:trHeight w:val="229"/>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Title of Each Class</w:t>
            </w:r>
          </w:p>
        </w:tc>
        <w:tc>
          <w:tcPr>
            <w:tcW w:w="12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tcPr>
          <w:p>
            <w:pPr>
              <w:jc w:val="center"/>
              <w:ind w:right="928"/>
              <w:spacing w:after="0"/>
              <w:rPr>
                <w:sz w:val="20"/>
                <w:szCs w:val="20"/>
                <w:color w:val="auto"/>
              </w:rPr>
            </w:pPr>
            <w:r>
              <w:rPr>
                <w:rFonts w:ascii="Arial" w:cs="Arial" w:eastAsia="Arial" w:hAnsi="Arial"/>
                <w:sz w:val="14"/>
                <w:szCs w:val="14"/>
                <w:b w:val="1"/>
                <w:bCs w:val="1"/>
                <w:color w:val="auto"/>
                <w:w w:val="93"/>
              </w:rPr>
              <w:t>Trading Symbol (s)</w:t>
            </w:r>
          </w:p>
        </w:tc>
        <w:tc>
          <w:tcPr>
            <w:tcW w:w="100" w:type="dxa"/>
            <w:vAlign w:val="bottom"/>
          </w:tcPr>
          <w:p>
            <w:pPr>
              <w:spacing w:after="0"/>
              <w:rPr>
                <w:sz w:val="19"/>
                <w:szCs w:val="19"/>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c>
          <w:tcPr>
            <w:tcW w:w="0" w:type="dxa"/>
            <w:vAlign w:val="bottom"/>
          </w:tcPr>
          <w:p>
            <w:pPr>
              <w:spacing w:after="0"/>
              <w:rPr>
                <w:sz w:val="1"/>
                <w:szCs w:val="1"/>
                <w:color w:val="auto"/>
              </w:rPr>
            </w:pPr>
          </w:p>
        </w:tc>
      </w:tr>
      <w:tr>
        <w:trPr>
          <w:trHeight w:val="123"/>
        </w:trPr>
        <w:tc>
          <w:tcPr>
            <w:tcW w:w="3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840" w:type="dxa"/>
            <w:vAlign w:val="bottom"/>
            <w:gridSpan w:val="2"/>
            <w:vMerge w:val="restart"/>
          </w:tcPr>
          <w:p>
            <w:pPr>
              <w:jc w:val="center"/>
              <w:ind w:right="1120"/>
              <w:spacing w:after="0"/>
              <w:rPr>
                <w:sz w:val="20"/>
                <w:szCs w:val="20"/>
                <w:color w:val="auto"/>
              </w:rPr>
            </w:pPr>
            <w:r>
              <w:rPr>
                <w:rFonts w:ascii="Arial" w:cs="Arial" w:eastAsia="Arial" w:hAnsi="Arial"/>
                <w:sz w:val="14"/>
                <w:szCs w:val="14"/>
                <w:b w:val="1"/>
                <w:bCs w:val="1"/>
                <w:color w:val="auto"/>
              </w:rPr>
              <w:t>OESX</w:t>
            </w:r>
          </w:p>
        </w:tc>
        <w:tc>
          <w:tcPr>
            <w:tcW w:w="3600" w:type="dxa"/>
            <w:vAlign w:val="bottom"/>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3"/>
              </w:rPr>
              <w:t>Common stock, no par value</w:t>
            </w:r>
          </w:p>
        </w:tc>
        <w:tc>
          <w:tcPr>
            <w:tcW w:w="2840" w:type="dxa"/>
            <w:vAlign w:val="bottom"/>
            <w:gridSpan w:val="2"/>
            <w:vMerge w:val="continue"/>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r>
        <w:trPr>
          <w:trHeight w:val="155"/>
        </w:trPr>
        <w:tc>
          <w:tcPr>
            <w:tcW w:w="3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0" w:type="dxa"/>
            <w:vAlign w:val="bottom"/>
          </w:tcPr>
          <w:p>
            <w:pPr>
              <w:jc w:val="center"/>
              <w:spacing w:after="0" w:line="155"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82"/>
        </w:trPr>
        <w:tc>
          <w:tcPr>
            <w:tcW w:w="4800" w:type="dxa"/>
            <w:vAlign w:val="bottom"/>
            <w:gridSpan w:val="3"/>
          </w:tcPr>
          <w:p>
            <w:pPr>
              <w:jc w:val="center"/>
              <w:ind w:right="1180"/>
              <w:spacing w:after="0"/>
              <w:rPr>
                <w:sz w:val="20"/>
                <w:szCs w:val="20"/>
                <w:color w:val="auto"/>
              </w:rPr>
            </w:pPr>
            <w:r>
              <w:rPr>
                <w:rFonts w:ascii="Arial" w:cs="Arial" w:eastAsia="Arial" w:hAnsi="Arial"/>
                <w:sz w:val="14"/>
                <w:szCs w:val="14"/>
                <w:color w:val="auto"/>
                <w:w w:val="92"/>
              </w:rPr>
              <w:t>Common stock purchase rights</w:t>
            </w:r>
          </w:p>
        </w:tc>
        <w:tc>
          <w:tcPr>
            <w:tcW w:w="2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8"/>
              </w:rPr>
              <w:t>(NASDAQ Capital Market)</w:t>
            </w:r>
          </w:p>
        </w:tc>
        <w:tc>
          <w:tcPr>
            <w:tcW w:w="0" w:type="dxa"/>
            <w:vAlign w:val="bottom"/>
          </w:tcPr>
          <w:p>
            <w:pPr>
              <w:spacing w:after="0"/>
              <w:rPr>
                <w:sz w:val="1"/>
                <w:szCs w:val="1"/>
                <w:color w:val="auto"/>
              </w:rPr>
            </w:pPr>
          </w:p>
        </w:tc>
      </w:tr>
    </w:tbl>
    <w:p>
      <w:pPr>
        <w:spacing w:after="0" w:line="290"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during the preceding 12 months (or for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jc w:val="both"/>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0"/>
                <w:szCs w:val="20"/>
                <w:color w:val="auto"/>
              </w:rPr>
            </w:pPr>
            <w:r>
              <w:rPr>
                <w:rFonts w:ascii="Arial" w:cs="Arial" w:eastAsia="Arial" w:hAnsi="Arial"/>
                <w:sz w:val="14"/>
                <w:szCs w:val="14"/>
                <w:color w:val="auto"/>
              </w:rPr>
              <w:t>Non-accelerated filer</w:t>
            </w:r>
          </w:p>
        </w:tc>
        <w:tc>
          <w:tcPr>
            <w:tcW w:w="2860" w:type="dxa"/>
            <w:vAlign w:val="bottom"/>
          </w:tcPr>
          <w:p>
            <w:pPr>
              <w:ind w:left="4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97"/>
        </w:trPr>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512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1340" w:type="dxa"/>
            <w:vAlign w:val="bottom"/>
          </w:tcPr>
          <w:p>
            <w:pPr>
              <w:ind w:left="12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12"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9" w:lineRule="exact"/>
        <w:rPr>
          <w:sz w:val="24"/>
          <w:szCs w:val="24"/>
          <w:color w:val="auto"/>
        </w:rPr>
      </w:pPr>
    </w:p>
    <w:p>
      <w:pPr>
        <w:ind w:right="3580"/>
        <w:spacing w:after="0" w:line="24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There were 31,072,532 shares of the Registrant’s common stock outstanding on October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304165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 w:name="page2"/>
    <w:bookmarkEnd w:id="1"/>
    <w:p>
      <w:pPr>
        <w:jc w:val="center"/>
        <w:ind w:left="940"/>
        <w:spacing w:after="0"/>
        <w:rPr>
          <w:sz w:val="20"/>
          <w:szCs w:val="20"/>
          <w:color w:val="auto"/>
        </w:rPr>
      </w:pPr>
      <w:r>
        <w:rPr>
          <w:rFonts w:ascii="Arial" w:cs="Arial" w:eastAsia="Arial" w:hAnsi="Arial"/>
          <w:sz w:val="18"/>
          <w:szCs w:val="18"/>
          <w:b w:val="1"/>
          <w:bCs w:val="1"/>
          <w:color w:val="auto"/>
        </w:rPr>
        <w:t>ORION ENERGY SYSTEMS, INC.</w:t>
      </w:r>
    </w:p>
    <w:p>
      <w:pPr>
        <w:spacing w:after="0" w:line="104"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FOR THE QUARTER ENDED SEPTEMBER 30, 2021</w:t>
      </w:r>
    </w:p>
    <w:p>
      <w:pPr>
        <w:spacing w:after="0" w:line="104" w:lineRule="exact"/>
        <w:rPr>
          <w:sz w:val="20"/>
          <w:szCs w:val="20"/>
          <w:color w:val="auto"/>
        </w:rPr>
      </w:pPr>
    </w:p>
    <w:p>
      <w:pPr>
        <w:jc w:val="center"/>
        <w:ind w:left="94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PART I FINANCIAL INFORMATION</w:t>
        </w:r>
      </w:hyperlink>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32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Condensed Consolidated Balance Sheets as of September 30, 2021 and March 31, 2021</w:t>
              </w:r>
            </w:hyperlink>
          </w:p>
        </w:tc>
        <w:tc>
          <w:tcPr>
            <w:tcW w:w="2900" w:type="dxa"/>
            <w:vAlign w:val="bottom"/>
            <w:gridSpan w:val="4"/>
          </w:tcPr>
          <w:p>
            <w:pPr>
              <w:spacing w:after="0"/>
              <w:rPr>
                <w:sz w:val="22"/>
                <w:szCs w:val="22"/>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2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for the Three and Six Months Ended September 30, 2021 and September 30,</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2020</w:t>
              </w:r>
            </w:hyperlink>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20" w:type="dxa"/>
            <w:vAlign w:val="bottom"/>
            <w:gridSpan w:val="16"/>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Condensed Consolidated Statements of Shareholders’ Equity for the Three and Six Months Ended September 30, 2021 and</w:t>
              </w:r>
            </w:hyperlink>
          </w:p>
        </w:tc>
      </w:tr>
      <w:tr>
        <w:trPr>
          <w:trHeight w:val="196"/>
        </w:trPr>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September 30, 2020</w:t>
              </w:r>
            </w:hyperlink>
          </w:p>
        </w:tc>
        <w:tc>
          <w:tcPr>
            <w:tcW w:w="7400" w:type="dxa"/>
            <w:vAlign w:val="bottom"/>
            <w:tcBorders>
              <w:top w:val="single" w:sz="8" w:color="0000EE"/>
            </w:tcBorders>
            <w:gridSpan w:val="8"/>
          </w:tcPr>
          <w:p>
            <w:pPr>
              <w:spacing w:after="0"/>
              <w:rPr>
                <w:sz w:val="17"/>
                <w:szCs w:val="17"/>
                <w:color w:val="auto"/>
              </w:rPr>
            </w:pPr>
          </w:p>
        </w:tc>
        <w:tc>
          <w:tcPr>
            <w:tcW w:w="360" w:type="dxa"/>
            <w:vAlign w:val="bottom"/>
            <w:gridSpan w:val="2"/>
          </w:tcPr>
          <w:p>
            <w:pPr>
              <w:spacing w:after="0"/>
              <w:rPr>
                <w:sz w:val="17"/>
                <w:szCs w:val="17"/>
                <w:color w:val="auto"/>
              </w:rPr>
            </w:pPr>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20" w:type="dxa"/>
            <w:vAlign w:val="bottom"/>
            <w:gridSpan w:val="16"/>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Cash Flows for the Six Months Ended September 30, 2021 and September 30, 2020</w:t>
              </w:r>
            </w:hyperlink>
          </w:p>
        </w:tc>
      </w:tr>
      <w:tr>
        <w:trPr>
          <w:trHeight w:val="263"/>
        </w:trPr>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90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the Condensed Consolidated Financial Statements</w:t>
              </w:r>
            </w:hyperlink>
          </w:p>
        </w:tc>
        <w:tc>
          <w:tcPr>
            <w:tcW w:w="320" w:type="dxa"/>
            <w:vAlign w:val="bottom"/>
          </w:tcPr>
          <w:p>
            <w:pPr>
              <w:spacing w:after="0"/>
              <w:rPr>
                <w:sz w:val="22"/>
                <w:szCs w:val="22"/>
                <w:color w:val="auto"/>
              </w:rPr>
            </w:pPr>
          </w:p>
        </w:tc>
      </w:tr>
      <w:tr>
        <w:trPr>
          <w:trHeight w:val="20"/>
        </w:trPr>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220" w:type="dxa"/>
            <w:vAlign w:val="bottom"/>
            <w:gridSpan w:val="16"/>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 Results of Operations</w:t>
              </w:r>
            </w:hyperlink>
          </w:p>
        </w:tc>
      </w:tr>
      <w:tr>
        <w:trPr>
          <w:trHeight w:val="264"/>
        </w:trPr>
        <w:tc>
          <w:tcPr>
            <w:tcW w:w="10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3"/>
          </w:tcPr>
          <w:p>
            <w:pPr>
              <w:spacing w:after="0"/>
              <w:rPr>
                <w:sz w:val="22"/>
                <w:szCs w:val="22"/>
                <w:color w:val="auto"/>
              </w:rPr>
            </w:pPr>
          </w:p>
        </w:tc>
        <w:tc>
          <w:tcPr>
            <w:tcW w:w="2760" w:type="dxa"/>
            <w:vAlign w:val="bottom"/>
            <w:gridSpan w:val="3"/>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7440" w:type="dxa"/>
            <w:vAlign w:val="bottom"/>
            <w:gridSpan w:val="9"/>
          </w:tcPr>
          <w:p>
            <w:pPr>
              <w:spacing w:after="0"/>
              <w:rPr>
                <w:sz w:val="22"/>
                <w:szCs w:val="22"/>
                <w:color w:val="auto"/>
              </w:rPr>
            </w:pPr>
          </w:p>
        </w:tc>
      </w:tr>
      <w:tr>
        <w:trPr>
          <w:trHeight w:val="263"/>
        </w:trPr>
        <w:tc>
          <w:tcPr>
            <w:tcW w:w="2540" w:type="dxa"/>
            <w:vAlign w:val="bottom"/>
            <w:tcBorders>
              <w:bottom w:val="single" w:sz="8" w:color="0000EE"/>
            </w:tcBorders>
            <w:gridSpan w:val="8"/>
          </w:tcPr>
          <w:p>
            <w:pPr>
              <w:spacing w:after="0"/>
              <w:rPr>
                <w:rFonts w:ascii="Arial" w:cs="Arial" w:eastAsia="Arial" w:hAnsi="Arial"/>
                <w:sz w:val="18"/>
                <w:szCs w:val="18"/>
                <w:color w:val="0000EE"/>
                <w:w w:val="96"/>
              </w:rPr>
            </w:pPr>
            <w:hyperlink w:anchor="page29">
              <w:r>
                <w:rPr>
                  <w:rFonts w:ascii="Arial" w:cs="Arial" w:eastAsia="Arial" w:hAnsi="Arial"/>
                  <w:sz w:val="18"/>
                  <w:szCs w:val="18"/>
                  <w:color w:val="0000EE"/>
                  <w:w w:val="96"/>
                </w:rPr>
                <w:t>PART II OTHER INFORMATION</w:t>
              </w:r>
            </w:hyperlink>
          </w:p>
        </w:tc>
        <w:tc>
          <w:tcPr>
            <w:tcW w:w="7760" w:type="dxa"/>
            <w:vAlign w:val="bottom"/>
            <w:gridSpan w:val="10"/>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22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2"/>
                <w:szCs w:val="22"/>
                <w:color w:val="auto"/>
              </w:rPr>
            </w:pPr>
          </w:p>
        </w:tc>
        <w:tc>
          <w:tcPr>
            <w:tcW w:w="7880" w:type="dxa"/>
            <w:vAlign w:val="bottom"/>
            <w:gridSpan w:val="11"/>
          </w:tcPr>
          <w:p>
            <w:pPr>
              <w:spacing w:after="0"/>
              <w:rPr>
                <w:sz w:val="22"/>
                <w:szCs w:val="22"/>
                <w:color w:val="auto"/>
              </w:rPr>
            </w:pPr>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Unregistered Sales of Equity Securities and Use of Proceeds</w:t>
              </w:r>
            </w:hyperlink>
          </w:p>
        </w:tc>
        <w:tc>
          <w:tcPr>
            <w:tcW w:w="4860" w:type="dxa"/>
            <w:vAlign w:val="bottom"/>
            <w:gridSpan w:val="5"/>
          </w:tcPr>
          <w:p>
            <w:pPr>
              <w:spacing w:after="0"/>
              <w:rPr>
                <w:sz w:val="22"/>
                <w:szCs w:val="22"/>
                <w:color w:val="auto"/>
              </w:rPr>
            </w:pPr>
          </w:p>
        </w:tc>
      </w:tr>
      <w:tr>
        <w:trPr>
          <w:trHeight w:val="264"/>
        </w:trPr>
        <w:tc>
          <w:tcPr>
            <w:tcW w:w="10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r>
      <w:tr>
        <w:trPr>
          <w:trHeight w:val="263"/>
        </w:trPr>
        <w:tc>
          <w:tcPr>
            <w:tcW w:w="10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7900" w:type="dxa"/>
            <w:vAlign w:val="bottom"/>
            <w:gridSpan w:val="12"/>
          </w:tcPr>
          <w:p>
            <w:pPr>
              <w:spacing w:after="0"/>
              <w:rPr>
                <w:sz w:val="22"/>
                <w:szCs w:val="22"/>
                <w:color w:val="auto"/>
              </w:rPr>
            </w:pPr>
          </w:p>
        </w:tc>
      </w:tr>
      <w:tr>
        <w:trPr>
          <w:trHeight w:val="263"/>
        </w:trPr>
        <w:tc>
          <w:tcPr>
            <w:tcW w:w="1080" w:type="dxa"/>
            <w:vAlign w:val="bottom"/>
            <w:gridSpan w:val="2"/>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SIGNATURE</w:t>
              </w:r>
            </w:hyperlink>
          </w:p>
        </w:tc>
        <w:tc>
          <w:tcPr>
            <w:tcW w:w="360" w:type="dxa"/>
            <w:vAlign w:val="bottom"/>
            <w:tcBorders>
              <w:top w:val="single" w:sz="8" w:color="0000EE"/>
            </w:tcBorders>
          </w:tcPr>
          <w:p>
            <w:pPr>
              <w:spacing w:after="0"/>
              <w:rPr>
                <w:sz w:val="22"/>
                <w:szCs w:val="22"/>
                <w:color w:val="auto"/>
              </w:rPr>
            </w:pPr>
          </w:p>
        </w:tc>
        <w:tc>
          <w:tcPr>
            <w:tcW w:w="240" w:type="dxa"/>
            <w:vAlign w:val="bottom"/>
            <w:tcBorders>
              <w:top w:val="single" w:sz="8" w:color="0000EE"/>
            </w:tcBorders>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20"/>
        </w:trPr>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433070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23495</wp:posOffset>
            </wp:positionV>
            <wp:extent cx="462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3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ectPr>
          <w:pgSz w:w="11900" w:h="16838" w:orient="portrait"/>
          <w:cols w:equalWidth="0" w:num="2">
            <w:col w:w="10300" w:space="360"/>
            <w:col w:w="58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3"/>
              </w:rPr>
              <w:t>September 30, 2021</w:t>
            </w:r>
          </w:p>
        </w:tc>
        <w:tc>
          <w:tcPr>
            <w:tcW w:w="200" w:type="dxa"/>
            <w:vAlign w:val="bottom"/>
          </w:tcPr>
          <w:p>
            <w:pPr>
              <w:spacing w:after="0"/>
              <w:rPr>
                <w:sz w:val="14"/>
                <w:szCs w:val="14"/>
                <w:color w:val="auto"/>
              </w:rPr>
            </w:pPr>
          </w:p>
        </w:tc>
        <w:tc>
          <w:tcPr>
            <w:tcW w:w="14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14,740</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19,393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Revenue earned but not billed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2,208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2,930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19,714</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62,557</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56,531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11,085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tax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17,710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19,785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96,593</w:t>
            </w:r>
          </w:p>
        </w:tc>
        <w:tc>
          <w:tcPr>
            <w:tcW w:w="28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16,417</w:t>
            </w:r>
          </w:p>
        </w:tc>
        <w:tc>
          <w:tcPr>
            <w:tcW w:w="2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17,045</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Deferred revenue, current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maturities of long-term debt</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27,819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30,372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debt, less current maturities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long-term</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3,413</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31,861</w:t>
            </w:r>
          </w:p>
        </w:tc>
        <w:tc>
          <w:tcPr>
            <w:tcW w:w="2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34,747</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Shareholders’ equity:</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Preferred stock, $0.01 par value: Shares authorized: 30,000,000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rPr>
              <w:t>September 30, 2021 and March 31, 2021; no shares issued and outstanding at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September 30, 2021 and March 31, 2021</w:t>
            </w:r>
          </w:p>
        </w:tc>
        <w:tc>
          <w:tcPr>
            <w:tcW w:w="14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no par value: Shares authorized: 200,000,000 at September 30, 2021</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March 31, 2021; shares issued: 40,537,461 at September 30, 2021 and</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40,279,050 at March 31, 2021; shares outstanding: 31,063,630 at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September 30, 2021 and 30,805,300 at March 31, 2021</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157,975</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157,485</w:t>
            </w: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common shares: 9,473,831 at September 30, 2021 and 9,473,750 at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March 31, 2021</w:t>
            </w:r>
          </w:p>
        </w:tc>
        <w:tc>
          <w:tcPr>
            <w:tcW w:w="14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(36,241)</w:t>
            </w:r>
          </w:p>
        </w:tc>
        <w:tc>
          <w:tcPr>
            <w:tcW w:w="2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(36,240)</w:t>
            </w: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Retained deficit</w:t>
            </w:r>
          </w:p>
        </w:tc>
        <w:tc>
          <w:tcPr>
            <w:tcW w:w="140" w:type="dxa"/>
            <w:vAlign w:val="bottom"/>
          </w:tcPr>
          <w:p>
            <w:pPr>
              <w:spacing w:after="0"/>
              <w:rPr>
                <w:sz w:val="19"/>
                <w:szCs w:val="19"/>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(57,002)</w:t>
            </w:r>
          </w:p>
        </w:tc>
        <w:tc>
          <w:tcPr>
            <w:tcW w:w="20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(63,171)</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64,732</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58,074</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96,593</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92,821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3" w:name="page4"/>
    <w:bookmarkEnd w:id="3"/>
    <w:p>
      <w:pPr>
        <w:jc w:val="center"/>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OPERATIONS (in thousands, except share and per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4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7"/>
              </w:rPr>
              <w:t>Three Months Ended September 30,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9"/>
              </w:rPr>
              <w:t>Six Months Ended September 30,</w:t>
            </w:r>
          </w:p>
        </w:tc>
        <w:tc>
          <w:tcPr>
            <w:tcW w:w="0" w:type="dxa"/>
            <w:vAlign w:val="bottom"/>
          </w:tcPr>
          <w:p>
            <w:pPr>
              <w:spacing w:after="0"/>
              <w:rPr>
                <w:sz w:val="1"/>
                <w:szCs w:val="1"/>
                <w:color w:val="auto"/>
              </w:rPr>
            </w:pPr>
          </w:p>
        </w:tc>
      </w:tr>
      <w:tr>
        <w:trPr>
          <w:trHeight w:val="155"/>
        </w:trPr>
        <w:tc>
          <w:tcPr>
            <w:tcW w:w="426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10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Service revenue</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15,554</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18,864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14,402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38,297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21,631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 of revenue</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25,722</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50,593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27,194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Operating expenses:</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Sales and marketing</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2,687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8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8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12,569</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Pr>
          <w:p>
            <w:pPr>
              <w:spacing w:after="0"/>
              <w:rPr>
                <w:sz w:val="20"/>
                <w:szCs w:val="20"/>
                <w:color w:val="auto"/>
              </w:rPr>
            </w:pPr>
            <w:r>
              <w:rPr>
                <w:rFonts w:ascii="Arial" w:cs="Arial" w:eastAsia="Arial" w:hAnsi="Arial"/>
                <w:sz w:val="18"/>
                <w:szCs w:val="18"/>
                <w:color w:val="auto"/>
              </w:rPr>
              <w:t>Other income (expense):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Interest expense</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debt issue costs</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(61)</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w:t>
            </w:r>
          </w:p>
        </w:tc>
        <w:tc>
          <w:tcPr>
            <w:tcW w:w="8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Income (loss) before income tax</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Net income (loss)</w:t>
            </w:r>
          </w:p>
        </w:tc>
        <w:tc>
          <w:tcPr>
            <w:tcW w:w="82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8"/>
                <w:szCs w:val="18"/>
                <w:color w:val="auto"/>
              </w:rPr>
              <w:t>Basic net income (loss) per share attributable to</w:t>
            </w:r>
          </w:p>
        </w:tc>
        <w:tc>
          <w:tcPr>
            <w:tcW w:w="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6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140"/>
              <w:spacing w:after="0"/>
              <w:rPr>
                <w:sz w:val="20"/>
                <w:szCs w:val="20"/>
                <w:color w:val="auto"/>
              </w:rPr>
            </w:pPr>
            <w:r>
              <w:rPr>
                <w:rFonts w:ascii="Arial" w:cs="Arial" w:eastAsia="Arial" w:hAnsi="Arial"/>
                <w:sz w:val="18"/>
                <w:szCs w:val="18"/>
                <w:color w:val="auto"/>
              </w:rPr>
              <w:t>common shareholders</w:t>
            </w:r>
          </w:p>
        </w:tc>
        <w:tc>
          <w:tcPr>
            <w:tcW w:w="10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20"/>
                <w:szCs w:val="20"/>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20"/>
                <w:szCs w:val="20"/>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0"/>
                <w:szCs w:val="20"/>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9"/>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outstanding</w:t>
            </w: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31,031,098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30,669,272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30,946,105</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30,511,611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10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spacing w:after="0"/>
              <w:rPr>
                <w:sz w:val="19"/>
                <w:szCs w:val="19"/>
                <w:color w:val="auto"/>
              </w:rPr>
            </w:pP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5"/>
        </w:trPr>
        <w:tc>
          <w:tcPr>
            <w:tcW w:w="42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share</w:t>
            </w: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31,287,826</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31,170,139</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31,310,965</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30,511,611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 w:name="page5"/>
    <w:bookmarkEnd w:id="4"/>
    <w:p>
      <w:pPr>
        <w:jc w:val="center"/>
        <w:ind w:left="340" w:right="178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SHAREHOLDERS’ EQUITY (in thousands, except share amounts)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6"/>
          </w:tcPr>
          <w:p>
            <w:pPr>
              <w:jc w:val="right"/>
              <w:ind w:right="21"/>
              <w:spacing w:after="0"/>
              <w:rPr>
                <w:sz w:val="20"/>
                <w:szCs w:val="20"/>
                <w:color w:val="auto"/>
              </w:rPr>
            </w:pPr>
            <w:r>
              <w:rPr>
                <w:rFonts w:ascii="Arial" w:cs="Arial" w:eastAsia="Arial" w:hAnsi="Arial"/>
                <w:sz w:val="14"/>
                <w:szCs w:val="14"/>
                <w:b w:val="1"/>
                <w:bCs w:val="1"/>
                <w:color w:val="auto"/>
              </w:rPr>
              <w:t>Shareholders’ Equity</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tcBorders>
              <w:bottom w:val="single" w:sz="8" w:color="auto"/>
            </w:tcBorders>
            <w:gridSpan w:val="8"/>
          </w:tcPr>
          <w:p>
            <w:pPr>
              <w:jc w:val="right"/>
              <w:ind w:right="720"/>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Additional</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jc w:val="center"/>
              <w:ind w:right="341"/>
              <w:spacing w:after="0"/>
              <w:rPr>
                <w:sz w:val="20"/>
                <w:szCs w:val="20"/>
                <w:color w:val="auto"/>
              </w:rPr>
            </w:pPr>
            <w:r>
              <w:rPr>
                <w:rFonts w:ascii="Arial" w:cs="Arial" w:eastAsia="Arial" w:hAnsi="Arial"/>
                <w:sz w:val="14"/>
                <w:szCs w:val="14"/>
                <w:b w:val="1"/>
                <w:bCs w:val="1"/>
                <w:color w:val="auto"/>
                <w:w w:val="94"/>
              </w:rPr>
              <w:t>Treasury</w:t>
            </w:r>
          </w:p>
        </w:tc>
        <w:tc>
          <w:tcPr>
            <w:tcW w:w="180" w:type="dxa"/>
            <w:vAlign w:val="bottom"/>
          </w:tcPr>
          <w:p>
            <w:pPr>
              <w:spacing w:after="0"/>
              <w:rPr>
                <w:sz w:val="11"/>
                <w:szCs w:val="11"/>
                <w:color w:val="auto"/>
              </w:rPr>
            </w:pPr>
          </w:p>
        </w:tc>
        <w:tc>
          <w:tcPr>
            <w:tcW w:w="1140" w:type="dxa"/>
            <w:vAlign w:val="bottom"/>
            <w:gridSpan w:val="3"/>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2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March 31, 2021</w:t>
            </w:r>
          </w:p>
        </w:tc>
        <w:tc>
          <w:tcPr>
            <w:tcW w:w="10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30,805,300</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157,485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(36,240)</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(63,171)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58,074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24,045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496</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171,470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160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(610)</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2,510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June 30, 2021</w:t>
            </w:r>
          </w:p>
        </w:tc>
        <w:tc>
          <w:tcPr>
            <w:tcW w:w="10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31,000,701</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157,746</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(36,241)</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(60,661)</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60,844</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Exercise of stock options for cash</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7,000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w:t>
            </w: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Plan</w:t>
            </w: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w:t>
            </w: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55,896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Employee tax withholdings on stock-based</w:t>
            </w:r>
          </w:p>
        </w:tc>
        <w:tc>
          <w:tcPr>
            <w:tcW w:w="10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(294)</w:t>
            </w: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81"/>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20"/>
                <w:szCs w:val="20"/>
                <w:color w:val="auto"/>
              </w:rPr>
            </w:pPr>
          </w:p>
        </w:tc>
        <w:tc>
          <w:tcPr>
            <w:tcW w:w="1140" w:type="dxa"/>
            <w:vAlign w:val="bottom"/>
            <w:gridSpan w:val="3"/>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3,659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Balance, September 30, 2021</w:t>
            </w:r>
          </w:p>
        </w:tc>
        <w:tc>
          <w:tcPr>
            <w:tcW w:w="10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31,063,630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157,975</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(36,241</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(57,002</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64,732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Shareholders’ Equity</w:t>
            </w:r>
          </w:p>
        </w:tc>
        <w:tc>
          <w:tcPr>
            <w:tcW w:w="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80" w:type="dxa"/>
            <w:vAlign w:val="bottom"/>
            <w:gridSpan w:val="8"/>
          </w:tcPr>
          <w:p>
            <w:pPr>
              <w:jc w:val="right"/>
              <w:ind w:right="740"/>
              <w:spacing w:after="0" w:line="155" w:lineRule="exact"/>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jc w:val="center"/>
              <w:ind w:right="93"/>
              <w:spacing w:after="0" w:line="133" w:lineRule="exact"/>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vMerge w:val="restart"/>
          </w:tcPr>
          <w:p>
            <w:pPr>
              <w:jc w:val="center"/>
              <w:ind w:right="361"/>
              <w:spacing w:after="0"/>
              <w:rPr>
                <w:sz w:val="20"/>
                <w:szCs w:val="20"/>
                <w:color w:val="auto"/>
              </w:rPr>
            </w:pPr>
            <w:r>
              <w:rPr>
                <w:rFonts w:ascii="Arial" w:cs="Arial" w:eastAsia="Arial" w:hAnsi="Arial"/>
                <w:sz w:val="14"/>
                <w:szCs w:val="14"/>
                <w:b w:val="1"/>
                <w:bCs w:val="1"/>
                <w:color w:val="auto"/>
                <w:w w:val="91"/>
              </w:rPr>
              <w:t>Treasury</w:t>
            </w:r>
          </w:p>
        </w:tc>
        <w:tc>
          <w:tcPr>
            <w:tcW w:w="180" w:type="dxa"/>
            <w:vAlign w:val="bottom"/>
          </w:tcPr>
          <w:p>
            <w:pPr>
              <w:spacing w:after="0"/>
              <w:rPr>
                <w:sz w:val="11"/>
                <w:szCs w:val="11"/>
                <w:color w:val="auto"/>
              </w:rPr>
            </w:pPr>
          </w:p>
        </w:tc>
        <w:tc>
          <w:tcPr>
            <w:tcW w:w="1140" w:type="dxa"/>
            <w:vAlign w:val="bottom"/>
            <w:gridSpan w:val="3"/>
            <w:vMerge w:val="restart"/>
          </w:tcPr>
          <w:p>
            <w:pPr>
              <w:jc w:val="center"/>
              <w:ind w:right="341"/>
              <w:spacing w:after="0"/>
              <w:rPr>
                <w:sz w:val="20"/>
                <w:szCs w:val="20"/>
                <w:color w:val="auto"/>
              </w:rPr>
            </w:pPr>
            <w:r>
              <w:rPr>
                <w:rFonts w:ascii="Arial" w:cs="Arial" w:eastAsia="Arial" w:hAnsi="Arial"/>
                <w:sz w:val="14"/>
                <w:szCs w:val="14"/>
                <w:b w:val="1"/>
                <w:bCs w:val="1"/>
                <w:color w:val="auto"/>
                <w:w w:val="94"/>
              </w:rPr>
              <w:t>Retained</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Paid-in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Shareholders’</w:t>
            </w:r>
          </w:p>
        </w:tc>
        <w:tc>
          <w:tcPr>
            <w:tcW w:w="0" w:type="dxa"/>
            <w:vAlign w:val="bottom"/>
          </w:tcPr>
          <w:p>
            <w:pPr>
              <w:spacing w:after="0"/>
              <w:rPr>
                <w:sz w:val="1"/>
                <w:szCs w:val="1"/>
                <w:color w:val="auto"/>
              </w:rPr>
            </w:pPr>
          </w:p>
        </w:tc>
      </w:tr>
      <w:tr>
        <w:trPr>
          <w:trHeight w:val="171"/>
        </w:trPr>
        <w:tc>
          <w:tcPr>
            <w:tcW w:w="4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jc w:val="center"/>
              <w:ind w:right="361"/>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4"/>
                <w:szCs w:val="14"/>
                <w:color w:val="auto"/>
              </w:rPr>
            </w:pPr>
          </w:p>
        </w:tc>
        <w:tc>
          <w:tcPr>
            <w:tcW w:w="1140" w:type="dxa"/>
            <w:vAlign w:val="bottom"/>
            <w:gridSpan w:val="3"/>
          </w:tcPr>
          <w:p>
            <w:pPr>
              <w:jc w:val="center"/>
              <w:ind w:right="341"/>
              <w:spacing w:after="0"/>
              <w:rPr>
                <w:sz w:val="20"/>
                <w:szCs w:val="20"/>
                <w:color w:val="auto"/>
              </w:rPr>
            </w:pPr>
            <w:r>
              <w:rPr>
                <w:rFonts w:ascii="Arial" w:cs="Arial" w:eastAsia="Arial" w:hAnsi="Arial"/>
                <w:sz w:val="14"/>
                <w:szCs w:val="14"/>
                <w:b w:val="1"/>
                <w:bCs w:val="1"/>
                <w:color w:val="auto"/>
                <w:w w:val="93"/>
              </w:rPr>
              <w:t>Deficit</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March 31, 2020</w:t>
            </w:r>
          </w:p>
        </w:tc>
        <w:tc>
          <w:tcPr>
            <w:tcW w:w="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30,265,997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156,503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(36,163)</w:t>
            </w:r>
          </w:p>
        </w:tc>
        <w:tc>
          <w:tcPr>
            <w:tcW w:w="240" w:type="dxa"/>
            <w:vAlign w:val="bottom"/>
            <w:gridSpan w:val="2"/>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(89,305)</w:t>
            </w:r>
          </w:p>
        </w:tc>
        <w:tc>
          <w:tcPr>
            <w:tcW w:w="240" w:type="dxa"/>
            <w:vAlign w:val="bottom"/>
            <w:gridSpan w:val="2"/>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Plan</w:t>
            </w:r>
          </w:p>
        </w:tc>
        <w:tc>
          <w:tcPr>
            <w:tcW w:w="1040" w:type="dxa"/>
            <w:vAlign w:val="bottom"/>
          </w:tcPr>
          <w:p>
            <w:pPr>
              <w:jc w:val="right"/>
              <w:spacing w:after="0"/>
              <w:rPr>
                <w:sz w:val="20"/>
                <w:szCs w:val="20"/>
                <w:color w:val="auto"/>
              </w:rPr>
            </w:pPr>
            <w:r>
              <w:rPr>
                <w:rFonts w:ascii="Arial" w:cs="Arial" w:eastAsia="Arial" w:hAnsi="Arial"/>
                <w:sz w:val="18"/>
                <w:szCs w:val="18"/>
                <w:color w:val="auto"/>
              </w:rPr>
              <w:t>458</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342,780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Employee tax withholdings on stock-based</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(4,346)</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01"/>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0"/>
                <w:szCs w:val="20"/>
                <w:color w:val="auto"/>
              </w:rPr>
            </w:pPr>
          </w:p>
        </w:tc>
        <w:tc>
          <w:tcPr>
            <w:tcW w:w="11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01"/>
              <w:spacing w:after="0"/>
              <w:rPr>
                <w:sz w:val="20"/>
                <w:szCs w:val="20"/>
                <w:color w:val="auto"/>
              </w:rPr>
            </w:pPr>
            <w:r>
              <w:rPr>
                <w:rFonts w:ascii="Arial" w:cs="Arial" w:eastAsia="Arial" w:hAnsi="Arial"/>
                <w:sz w:val="18"/>
                <w:szCs w:val="18"/>
                <w:color w:val="auto"/>
              </w:rPr>
              <w:t>(2,219)</w:t>
            </w: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(2,219)</w:t>
            </w:r>
          </w:p>
        </w:tc>
        <w:tc>
          <w:tcPr>
            <w:tcW w:w="0" w:type="dxa"/>
            <w:vAlign w:val="bottom"/>
          </w:tcPr>
          <w:p>
            <w:pPr>
              <w:spacing w:after="0"/>
              <w:rPr>
                <w:sz w:val="1"/>
                <w:szCs w:val="1"/>
                <w:color w:val="auto"/>
              </w:rPr>
            </w:pPr>
          </w:p>
        </w:tc>
      </w:tr>
      <w:tr>
        <w:trPr>
          <w:trHeight w:val="223"/>
        </w:trPr>
        <w:tc>
          <w:tcPr>
            <w:tcW w:w="47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Balance, June 30, 2020</w:t>
            </w:r>
          </w:p>
        </w:tc>
        <w:tc>
          <w:tcPr>
            <w:tcW w:w="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30,624,889</w:t>
            </w:r>
          </w:p>
        </w:tc>
        <w:tc>
          <w:tcPr>
            <w:tcW w:w="4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156,752</w:t>
            </w: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(36,179)</w:t>
            </w:r>
          </w:p>
        </w:tc>
        <w:tc>
          <w:tcPr>
            <w:tcW w:w="240" w:type="dxa"/>
            <w:vAlign w:val="bottom"/>
            <w:tcBorders>
              <w:bottom w:val="single" w:sz="8" w:color="CFF0FC"/>
            </w:tcBorders>
            <w:gridSpan w:val="2"/>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(91,524)</w:t>
            </w:r>
          </w:p>
        </w:tc>
        <w:tc>
          <w:tcPr>
            <w:tcW w:w="240" w:type="dxa"/>
            <w:vAlign w:val="bottom"/>
            <w:tcBorders>
              <w:bottom w:val="single" w:sz="8" w:color="CFF0FC"/>
            </w:tcBorders>
            <w:gridSpan w:val="2"/>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29,049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 for cash</w:t>
            </w:r>
          </w:p>
        </w:tc>
        <w:tc>
          <w:tcPr>
            <w:tcW w:w="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9,000</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Plan</w:t>
            </w:r>
          </w:p>
        </w:tc>
        <w:tc>
          <w:tcPr>
            <w:tcW w:w="1040" w:type="dxa"/>
            <w:vAlign w:val="bottom"/>
          </w:tcPr>
          <w:p>
            <w:pPr>
              <w:jc w:val="right"/>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76,351</w:t>
            </w:r>
          </w:p>
        </w:tc>
        <w:tc>
          <w:tcPr>
            <w:tcW w:w="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gridSpan w:val="2"/>
          </w:tcPr>
          <w:p>
            <w:pPr>
              <w:spacing w:after="0"/>
              <w:rPr>
                <w:sz w:val="20"/>
                <w:szCs w:val="20"/>
                <w:color w:val="auto"/>
              </w:rPr>
            </w:pPr>
            <w:r>
              <w:rPr>
                <w:rFonts w:ascii="Arial" w:cs="Arial" w:eastAsia="Arial" w:hAnsi="Arial"/>
                <w:sz w:val="18"/>
                <w:szCs w:val="18"/>
                <w:color w:val="auto"/>
              </w:rPr>
              <w:t>Employee tax withholdings on stock-based</w:t>
            </w: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jc w:val="right"/>
              <w:ind w:right="101"/>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0"/>
                <w:szCs w:val="20"/>
                <w:color w:val="auto"/>
              </w:rPr>
            </w:pPr>
          </w:p>
        </w:tc>
        <w:tc>
          <w:tcPr>
            <w:tcW w:w="1140" w:type="dxa"/>
            <w:vAlign w:val="bottom"/>
            <w:gridSpan w:val="3"/>
          </w:tcPr>
          <w:p>
            <w:pPr>
              <w:jc w:val="right"/>
              <w:ind w:right="1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income</w:t>
            </w:r>
          </w:p>
        </w:tc>
        <w:tc>
          <w:tcPr>
            <w:tcW w:w="12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3"/>
            <w:shd w:val="clear" w:color="auto" w:fill="CFF0FC"/>
          </w:tcPr>
          <w:p>
            <w:pPr>
              <w:jc w:val="right"/>
              <w:ind w:right="18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30,709,810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157,031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(36,181</w:t>
            </w:r>
          </w:p>
        </w:tc>
        <w:tc>
          <w:tcPr>
            <w:tcW w:w="240" w:type="dxa"/>
            <w:vAlign w:val="bottom"/>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(89,610</w:t>
            </w:r>
          </w:p>
        </w:tc>
        <w:tc>
          <w:tcPr>
            <w:tcW w:w="240" w:type="dxa"/>
            <w:vAlign w:val="bottom"/>
            <w:gridSpan w:val="2"/>
          </w:tcPr>
          <w:p>
            <w:pPr>
              <w:jc w:val="right"/>
              <w:ind w:right="10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ind w:left="340" w:right="2340"/>
        <w:spacing w:after="0" w:line="266" w:lineRule="auto"/>
        <w:rPr>
          <w:sz w:val="20"/>
          <w:szCs w:val="20"/>
          <w:color w:val="auto"/>
        </w:rPr>
      </w:pPr>
      <w:r>
        <w:rPr>
          <w:rFonts w:ascii="Arial" w:cs="Arial" w:eastAsia="Arial" w:hAnsi="Arial"/>
          <w:sz w:val="18"/>
          <w:szCs w:val="18"/>
          <w:b w:val="1"/>
          <w:bCs w:val="1"/>
          <w:color w:val="auto"/>
        </w:rPr>
        <w:t>ORION ENERGY SYSTEMS, INC. AND SUBSIDIARIES UNAUDITED CONDENSED CONSOLIDATED STATEMENTS OF CASH FLOWS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7"/>
              <w:spacing w:after="0"/>
              <w:rPr>
                <w:sz w:val="20"/>
                <w:szCs w:val="20"/>
                <w:color w:val="auto"/>
              </w:rPr>
            </w:pPr>
            <w:r>
              <w:rPr>
                <w:rFonts w:ascii="Arial" w:cs="Arial" w:eastAsia="Arial" w:hAnsi="Arial"/>
                <w:sz w:val="14"/>
                <w:szCs w:val="14"/>
                <w:b w:val="1"/>
                <w:bCs w:val="1"/>
                <w:color w:val="auto"/>
              </w:rPr>
              <w:t>Six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6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color w:val="auto"/>
              </w:rPr>
              <w:t>Net income (loss)</w:t>
            </w:r>
          </w:p>
        </w:tc>
        <w:tc>
          <w:tcPr>
            <w:tcW w:w="192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6,169</w:t>
            </w:r>
          </w:p>
        </w:tc>
        <w:tc>
          <w:tcPr>
            <w:tcW w:w="180" w:type="dxa"/>
            <w:vAlign w:val="bottom"/>
          </w:tcPr>
          <w:p>
            <w:pPr>
              <w:spacing w:after="0"/>
              <w:rPr>
                <w:sz w:val="19"/>
                <w:szCs w:val="19"/>
                <w:color w:val="auto"/>
              </w:rPr>
            </w:pP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r>
        <w:trPr>
          <w:trHeight w:val="215"/>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income (loss) to net cash used in</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activities:</w:t>
            </w:r>
          </w:p>
        </w:tc>
        <w:tc>
          <w:tcPr>
            <w:tcW w:w="9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intangible assets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459</w:t>
            </w:r>
          </w:p>
        </w:tc>
        <w:tc>
          <w:tcPr>
            <w:tcW w:w="120" w:type="dxa"/>
            <w:vAlign w:val="bottom"/>
          </w:tcPr>
          <w:p>
            <w:pPr>
              <w:spacing w:after="0"/>
              <w:rPr>
                <w:sz w:val="19"/>
                <w:szCs w:val="19"/>
                <w:color w:val="auto"/>
              </w:rPr>
            </w:pP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of debt issue costs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Deferred income tax</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2,075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(Gain) loss on sale of property and equipment</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Provision for inventory reserves</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Provision for bad debts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(9,972)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(5,909)</w:t>
            </w: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Revenue earned but not billed</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(2,674)</w:t>
            </w: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(3,723)</w:t>
            </w: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(1,015)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20" w:type="dxa"/>
            <w:vAlign w:val="bottom"/>
            <w:shd w:val="clear" w:color="auto" w:fill="CFF0FC"/>
          </w:tcPr>
          <w:p>
            <w:pPr>
              <w:spacing w:after="0"/>
              <w:rPr>
                <w:sz w:val="19"/>
                <w:szCs w:val="19"/>
                <w:color w:val="auto"/>
              </w:rPr>
            </w:pPr>
          </w:p>
        </w:tc>
      </w:tr>
      <w:tr>
        <w:trPr>
          <w:trHeight w:val="230"/>
        </w:trPr>
        <w:tc>
          <w:tcPr>
            <w:tcW w:w="678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(633)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(6,305)</w:t>
            </w:r>
          </w:p>
        </w:tc>
      </w:tr>
      <w:tr>
        <w:trPr>
          <w:trHeight w:val="229"/>
        </w:trPr>
        <w:tc>
          <w:tcPr>
            <w:tcW w:w="67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(2,208)</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3,058</w:t>
            </w:r>
          </w:p>
        </w:tc>
        <w:tc>
          <w:tcPr>
            <w:tcW w:w="120" w:type="dxa"/>
            <w:vAlign w:val="bottom"/>
            <w:shd w:val="clear" w:color="auto" w:fill="CFF0FC"/>
          </w:tcPr>
          <w:p>
            <w:pPr>
              <w:spacing w:after="0"/>
              <w:rPr>
                <w:sz w:val="19"/>
                <w:szCs w:val="19"/>
                <w:color w:val="auto"/>
              </w:rPr>
            </w:pPr>
          </w:p>
        </w:tc>
      </w:tr>
      <w:tr>
        <w:trPr>
          <w:trHeight w:val="229"/>
        </w:trPr>
        <w:tc>
          <w:tcPr>
            <w:tcW w:w="6780" w:type="dxa"/>
            <w:vAlign w:val="bottom"/>
          </w:tcPr>
          <w:p>
            <w:pPr>
              <w:ind w:left="500"/>
              <w:spacing w:after="0"/>
              <w:rPr>
                <w:sz w:val="20"/>
                <w:szCs w:val="20"/>
                <w:color w:val="auto"/>
              </w:rPr>
            </w:pPr>
            <w:r>
              <w:rPr>
                <w:rFonts w:ascii="Arial" w:cs="Arial" w:eastAsia="Arial" w:hAnsi="Arial"/>
                <w:sz w:val="18"/>
                <w:szCs w:val="18"/>
                <w:color w:val="auto"/>
              </w:rPr>
              <w:t>Deferred revenue, current and long-term</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9"/>
                <w:szCs w:val="19"/>
                <w:color w:val="auto"/>
              </w:rPr>
            </w:pPr>
          </w:p>
        </w:tc>
      </w:tr>
      <w:tr>
        <w:trPr>
          <w:trHeight w:val="223"/>
        </w:trPr>
        <w:tc>
          <w:tcPr>
            <w:tcW w:w="6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(3,956)</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(14,138)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investment</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(500)</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(397)</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patents and licenses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w:t>
            </w: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sale of property, plant and equipment</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678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67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long-term debt</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w:t>
            </w: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Proceeds from revolving credit facility</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revolving credit facility</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w w:val="95"/>
              </w:rPr>
              <w:t>(10,085)</w:t>
            </w:r>
          </w:p>
        </w:tc>
      </w:tr>
      <w:tr>
        <w:trPr>
          <w:trHeight w:val="229"/>
        </w:trPr>
        <w:tc>
          <w:tcPr>
            <w:tcW w:w="6780" w:type="dxa"/>
            <w:vAlign w:val="bottom"/>
          </w:tcPr>
          <w:p>
            <w:pPr>
              <w:ind w:left="260"/>
              <w:spacing w:after="0"/>
              <w:rPr>
                <w:sz w:val="20"/>
                <w:szCs w:val="20"/>
                <w:color w:val="auto"/>
              </w:rPr>
            </w:pPr>
            <w:r>
              <w:rPr>
                <w:rFonts w:ascii="Arial" w:cs="Arial" w:eastAsia="Arial" w:hAnsi="Arial"/>
                <w:sz w:val="18"/>
                <w:szCs w:val="18"/>
                <w:color w:val="auto"/>
              </w:rPr>
              <w:t>Payments to settle employee tax withholdings on stock-based compensation</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30"/>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financing costs</w:t>
            </w:r>
          </w:p>
        </w:tc>
        <w:tc>
          <w:tcPr>
            <w:tcW w:w="9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67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Net proceeds from employee equity exercises</w:t>
            </w:r>
          </w:p>
        </w:tc>
        <w:tc>
          <w:tcPr>
            <w:tcW w:w="94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FF0FC"/>
            </w:tcBorders>
          </w:tcPr>
          <w:p>
            <w:pPr>
              <w:spacing w:after="0"/>
              <w:rPr>
                <w:sz w:val="19"/>
                <w:szCs w:val="19"/>
                <w:color w:val="auto"/>
              </w:rPr>
            </w:pPr>
          </w:p>
        </w:tc>
      </w:tr>
      <w:tr>
        <w:trPr>
          <w:trHeight w:val="223"/>
        </w:trPr>
        <w:tc>
          <w:tcPr>
            <w:tcW w:w="678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9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(2,062)</w:t>
            </w:r>
          </w:p>
        </w:tc>
        <w:tc>
          <w:tcPr>
            <w:tcW w:w="120" w:type="dxa"/>
            <w:vAlign w:val="bottom"/>
            <w:shd w:val="clear" w:color="auto" w:fill="CFF0FC"/>
          </w:tcPr>
          <w:p>
            <w:pPr>
              <w:spacing w:after="0"/>
              <w:rPr>
                <w:sz w:val="19"/>
                <w:szCs w:val="19"/>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(4,653)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(16,627)</w:t>
            </w:r>
          </w:p>
        </w:tc>
        <w:tc>
          <w:tcPr>
            <w:tcW w:w="120" w:type="dxa"/>
            <w:vAlign w:val="bottom"/>
          </w:tcPr>
          <w:p>
            <w:pPr>
              <w:spacing w:after="0"/>
              <w:rPr>
                <w:sz w:val="19"/>
                <w:szCs w:val="19"/>
                <w:color w:val="auto"/>
              </w:rPr>
            </w:pPr>
          </w:p>
        </w:tc>
      </w:tr>
      <w:tr>
        <w:trPr>
          <w:trHeight w:val="230"/>
        </w:trPr>
        <w:tc>
          <w:tcPr>
            <w:tcW w:w="67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94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19,393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28,751</w:t>
            </w:r>
          </w:p>
        </w:tc>
        <w:tc>
          <w:tcPr>
            <w:tcW w:w="120" w:type="dxa"/>
            <w:vAlign w:val="bottom"/>
            <w:shd w:val="clear" w:color="auto" w:fill="CFF0FC"/>
          </w:tcPr>
          <w:p>
            <w:pPr>
              <w:spacing w:after="0"/>
              <w:rPr>
                <w:sz w:val="19"/>
                <w:szCs w:val="19"/>
                <w:color w:val="auto"/>
              </w:rPr>
            </w:pPr>
          </w:p>
        </w:tc>
      </w:tr>
      <w:tr>
        <w:trPr>
          <w:trHeight w:val="263"/>
        </w:trPr>
        <w:tc>
          <w:tcPr>
            <w:tcW w:w="67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end of period</w:t>
            </w:r>
          </w:p>
        </w:tc>
        <w:tc>
          <w:tcPr>
            <w:tcW w:w="940" w:type="dxa"/>
            <w:vAlign w:val="bottom"/>
            <w:tcBorders>
              <w:bottom w:val="single" w:sz="8" w:color="CFF0FC"/>
            </w:tcBorders>
          </w:tcPr>
          <w:p>
            <w:pPr>
              <w:spacing w:after="0"/>
              <w:rPr>
                <w:sz w:val="22"/>
                <w:szCs w:val="22"/>
                <w:color w:val="auto"/>
              </w:rPr>
            </w:pPr>
          </w:p>
        </w:tc>
        <w:tc>
          <w:tcPr>
            <w:tcW w:w="980" w:type="dxa"/>
            <w:vAlign w:val="bottom"/>
            <w:tcBorders>
              <w:bottom w:val="single" w:sz="8" w:color="auto"/>
            </w:tcBorders>
          </w:tcPr>
          <w:p>
            <w:pPr>
              <w:jc w:val="right"/>
              <w:ind w:right="82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14,740</w:t>
            </w:r>
          </w:p>
        </w:tc>
        <w:tc>
          <w:tcPr>
            <w:tcW w:w="18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960" w:type="dxa"/>
            <w:vAlign w:val="bottom"/>
            <w:tcBorders>
              <w:bottom w:val="single" w:sz="8" w:color="auto"/>
            </w:tcBorders>
          </w:tcPr>
          <w:p>
            <w:pPr>
              <w:jc w:val="right"/>
              <w:ind w:right="80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12,124</w:t>
            </w:r>
          </w:p>
        </w:tc>
        <w:tc>
          <w:tcPr>
            <w:tcW w:w="120" w:type="dxa"/>
            <w:vAlign w:val="bottom"/>
            <w:tcBorders>
              <w:bottom w:val="single" w:sz="8" w:color="CFF0FC"/>
            </w:tcBorders>
          </w:tcPr>
          <w:p>
            <w:pPr>
              <w:spacing w:after="0"/>
              <w:rPr>
                <w:sz w:val="22"/>
                <w:szCs w:val="22"/>
                <w:color w:val="auto"/>
              </w:rPr>
            </w:pPr>
          </w:p>
        </w:tc>
      </w:tr>
      <w:tr>
        <w:trPr>
          <w:trHeight w:val="210"/>
        </w:trPr>
        <w:tc>
          <w:tcPr>
            <w:tcW w:w="6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6780" w:type="dxa"/>
            <w:vAlign w:val="bottom"/>
          </w:tcPr>
          <w:p>
            <w:pPr>
              <w:ind w:left="260"/>
              <w:spacing w:after="0"/>
              <w:rPr>
                <w:sz w:val="20"/>
                <w:szCs w:val="20"/>
                <w:color w:val="auto"/>
              </w:rPr>
            </w:pPr>
            <w:r>
              <w:rPr>
                <w:rFonts w:ascii="Arial" w:cs="Arial" w:eastAsia="Arial" w:hAnsi="Arial"/>
                <w:sz w:val="18"/>
                <w:szCs w:val="18"/>
                <w:color w:val="auto"/>
              </w:rPr>
              <w:t>Operating lease assets obtained in exchange for new operating lease liabilities</w:t>
            </w:r>
          </w:p>
        </w:tc>
        <w:tc>
          <w:tcPr>
            <w:tcW w:w="1920" w:type="dxa"/>
            <w:vAlign w:val="bottom"/>
            <w:gridSpan w:val="2"/>
          </w:tcPr>
          <w:p>
            <w:pPr>
              <w:jc w:val="right"/>
              <w:ind w:right="82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7"/>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ORION ENERGY SYSTEMS,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NOTES TO THE CONDENSED CONSOLIDATED FINANCIAL STATEMENTS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w:t>
      </w:r>
    </w:p>
    <w:p>
      <w:pPr>
        <w:spacing w:after="0" w:line="175" w:lineRule="exact"/>
        <w:rPr>
          <w:sz w:val="20"/>
          <w:szCs w:val="20"/>
          <w:color w:val="auto"/>
        </w:rPr>
      </w:pPr>
    </w:p>
    <w:p>
      <w:pPr>
        <w:jc w:val="both"/>
        <w:ind w:firstLine="489"/>
        <w:spacing w:after="0" w:line="286" w:lineRule="auto"/>
        <w:rPr>
          <w:sz w:val="20"/>
          <w:szCs w:val="20"/>
          <w:color w:val="auto"/>
        </w:rPr>
      </w:pPr>
      <w:r>
        <w:rPr>
          <w:rFonts w:ascii="Arial" w:cs="Arial" w:eastAsia="Arial" w:hAnsi="Arial"/>
          <w:sz w:val="17"/>
          <w:szCs w:val="17"/>
          <w:color w:val="auto"/>
        </w:rPr>
        <w:t>Orion includes Orion Energy Systems, Inc., a Wisconsin corporation, and all consolidated subsidiaries. Orion is a developer, manufacturer and provider of energy-efficient LED lighting, controls and Internet of Things (“IoT”) systems, including turnkey project implementation, program management and system maintenance to commercial and industrial businesses, and federal and local governments, predominantly in North America.</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IMPACT OF COVID-19</w:t>
      </w:r>
    </w:p>
    <w:p>
      <w:pPr>
        <w:spacing w:after="0" w:line="175" w:lineRule="exact"/>
        <w:rPr>
          <w:sz w:val="20"/>
          <w:szCs w:val="20"/>
          <w:color w:val="auto"/>
        </w:rPr>
      </w:pPr>
    </w:p>
    <w:p>
      <w:pPr>
        <w:jc w:val="both"/>
        <w:ind w:firstLine="493"/>
        <w:spacing w:after="0" w:line="272" w:lineRule="auto"/>
        <w:rPr>
          <w:sz w:val="20"/>
          <w:szCs w:val="20"/>
          <w:color w:val="auto"/>
        </w:rPr>
      </w:pPr>
      <w:r>
        <w:rPr>
          <w:rFonts w:ascii="Arial" w:cs="Arial" w:eastAsia="Arial" w:hAnsi="Arial"/>
          <w:sz w:val="17"/>
          <w:szCs w:val="17"/>
          <w:color w:val="auto"/>
        </w:rPr>
        <w:t>The COVID-19 pandemic has disrupted business, trade, commerce, financial and credit markets, in the U.S. and globally. Orion’s business was adversely impacted by measures taken by government entities and others to control the spread of the virus beginning in March 2020, the last month of Orion’s fiscal 2020 year, and continuing most significantly into the second quarter of fiscal 2021. During the second half of fiscal 2021, Orion experienced a rebound in business. Project installations resumed for Orion’s largest customer and installations for a new large specialty retail customer began, with no further significant COVID-19 impacts. However, some customers continue to refrain from awarding new projects and potential future risks remain due to the COVID-19 pandemic. In addition, the COVID-19 pandemic has led to various supply chain challenges, especially related to shipping and logistics issues, component availability, rising input costs and a tight labor market.</w:t>
      </w:r>
    </w:p>
    <w:p>
      <w:pPr>
        <w:spacing w:after="0" w:line="12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As an essential business, Orion provides products and services to ensure energy and lighting infrastructure and Orion therefore continued to operate throughout the pandemic. If there is a resurgence of the COVID-19 pandemic, Orion’s markets and operations could be impacted and there could be a further material adverse financial impact, including supply chain disruption for certain components.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71"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The consolidated financial statements include the accounts of Orion Energy Systems, Inc. and its wholly-owned subsidiaries. All significant intercompany transactions and balances have been eliminated in consolidation.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93"/>
        <w:spacing w:after="0" w:line="296" w:lineRule="auto"/>
        <w:rPr>
          <w:sz w:val="20"/>
          <w:szCs w:val="20"/>
          <w:color w:val="auto"/>
        </w:rPr>
      </w:pPr>
      <w:r>
        <w:rPr>
          <w:rFonts w:ascii="Arial" w:cs="Arial" w:eastAsia="Arial" w:hAnsi="Arial"/>
          <w:sz w:val="16"/>
          <w:szCs w:val="16"/>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(SEC). Accordingly, they do not include all of the information and footnotes required by GAAP for complete financial statements. In the opinion of management, all adjustments, consisting of normal recurring adjustments, considered necessary for a fair statement have been included. Interim results are not necessarily indicative of results that may be expected for the fiscal year ending March 31, 2022 or other interim periods.</w:t>
      </w:r>
    </w:p>
    <w:p>
      <w:pPr>
        <w:spacing w:after="0" w:line="107"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Condensed Consolidated Balance Sheet March 31, 2021 has been derived from the audited consolidated financial statements at that date but does not include all of the information required by GAAP for complete financial statements.</w:t>
      </w:r>
    </w:p>
    <w:p>
      <w:pPr>
        <w:spacing w:after="0" w:line="116" w:lineRule="exact"/>
        <w:rPr>
          <w:sz w:val="20"/>
          <w:szCs w:val="20"/>
          <w:color w:val="auto"/>
        </w:rPr>
      </w:pPr>
    </w:p>
    <w:p>
      <w:pPr>
        <w:jc w:val="both"/>
        <w:ind w:right="20" w:firstLine="493"/>
        <w:spacing w:after="0" w:line="263" w:lineRule="auto"/>
        <w:rPr>
          <w:sz w:val="20"/>
          <w:szCs w:val="20"/>
          <w:color w:val="auto"/>
        </w:rPr>
      </w:pPr>
      <w:r>
        <w:rPr>
          <w:rFonts w:ascii="Arial" w:cs="Arial" w:eastAsia="Arial" w:hAnsi="Arial"/>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2021 filed with the SEC on June 1, 2021.</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both"/>
        <w:spacing w:after="0" w:line="286" w:lineRule="auto"/>
        <w:rPr>
          <w:sz w:val="20"/>
          <w:szCs w:val="20"/>
          <w:color w:val="auto"/>
        </w:rPr>
      </w:pPr>
      <w:r>
        <w:rPr>
          <w:rFonts w:ascii="Arial" w:cs="Arial" w:eastAsia="Arial" w:hAnsi="Arial"/>
          <w:sz w:val="17"/>
          <w:szCs w:val="17"/>
          <w:color w:val="auto"/>
        </w:rPr>
        <w:t>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impairment analyses, and certain equity transactions. Accordingly, actual results could differ from those estimates.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Orion purchases components necessary for its lighting products, including lamps and LED components, from multiple suppliers. For the three and six months ended September 30, 2021, no suppliers accounted for more than 10.0% of total cost of revenue. For the three months ended September 30, 2020, one supplier accounted for 10.3%, of total cost of revenue. For the six months ended September 30, 2020, no supplier accounted for more than 10% of total cost of revenue.</w:t>
      </w:r>
    </w:p>
    <w:p>
      <w:pPr>
        <w:spacing w:after="0" w:line="13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For the three and six months ended September 30, 2021, one customer accounted for 58.9% and 55.0% of total revenue, respectively. For the three months ended September 30, 2020, one customer accounted for 60.7 % of total revenue. For the six months ended September 30, 2020, two customers accounted for 44.4% and 14.9% of total revenue, respectively.</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September 30, 2021, one customer accounted for 66.7% of accounts receivable. As of March 31, 2021, three customers accounted for 33.9%, 16.4% and 10.1% of accounts receivable,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Issued: Not Yet Adopted</w:t>
      </w:r>
    </w:p>
    <w:p>
      <w:pPr>
        <w:spacing w:after="0" w:line="175" w:lineRule="exact"/>
        <w:rPr>
          <w:sz w:val="20"/>
          <w:szCs w:val="20"/>
          <w:color w:val="auto"/>
        </w:rPr>
      </w:pPr>
    </w:p>
    <w:p>
      <w:pPr>
        <w:jc w:val="both"/>
        <w:ind w:firstLine="489"/>
        <w:spacing w:after="0" w:line="272" w:lineRule="auto"/>
        <w:rPr>
          <w:sz w:val="20"/>
          <w:szCs w:val="20"/>
          <w:color w:val="auto"/>
        </w:rPr>
      </w:pPr>
      <w:r>
        <w:rPr>
          <w:rFonts w:ascii="Arial" w:cs="Arial" w:eastAsia="Arial" w:hAnsi="Arial"/>
          <w:sz w:val="17"/>
          <w:szCs w:val="17"/>
          <w:color w:val="auto"/>
        </w:rPr>
        <w:t>In June 2016, the FASB issued ASU No. 2016-13, Financial Instruments - Credit Losses (Topic 326): Measurement of Credit Losses on Financial Instruments (“ASU 2016-13”), which requires an entity to assess impairment of its financial instruments based on its estimate of expected credit losses. Since the issuance of ASU 2016-13, the FASB released several amendments to improve and clarify the implementation guidance. The provisions of ASU 2016-13 and the related amendments are effective for Orion for fiscal years (and interim reporting periods within those years) beginning after December 15, 2022. Entities are required to apply these changes through a cumulative-effect adjustment to retained earnings as of the beginning of the first reporting period in which the guidance is effective. Orion is currently evaluating the impact of adoption of this standard on its consolidated statements of operations, cash flows, and the related footnote disclosures.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NOTE 4 — REVENUE</w:t>
      </w:r>
    </w:p>
    <w:p>
      <w:pPr>
        <w:spacing w:after="0" w:line="175" w:lineRule="exact"/>
        <w:rPr>
          <w:sz w:val="20"/>
          <w:szCs w:val="20"/>
          <w:color w:val="auto"/>
        </w:rPr>
      </w:pPr>
    </w:p>
    <w:p>
      <w:pPr>
        <w:ind w:right="20" w:firstLine="493"/>
        <w:spacing w:after="0" w:line="277" w:lineRule="auto"/>
        <w:rPr>
          <w:sz w:val="20"/>
          <w:szCs w:val="20"/>
          <w:color w:val="auto"/>
        </w:rPr>
      </w:pPr>
      <w:r>
        <w:rPr>
          <w:rFonts w:ascii="Arial" w:cs="Arial" w:eastAsia="Arial" w:hAnsi="Arial"/>
          <w:sz w:val="18"/>
          <w:szCs w:val="18"/>
          <w:color w:val="auto"/>
        </w:rPr>
        <w:t>The following tables provide detail of Orion’s total revenues for the three and six months ended September 30, 2021 and September 30, 2020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Six Months Ended September 30, 2021</w:t>
            </w:r>
          </w:p>
        </w:tc>
      </w:tr>
      <w:tr>
        <w:trPr>
          <w:trHeight w:val="156"/>
        </w:trPr>
        <w:tc>
          <w:tcPr>
            <w:tcW w:w="3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60"/>
              <w:spacing w:after="0" w:line="155" w:lineRule="exact"/>
              <w:rPr>
                <w:sz w:val="20"/>
                <w:szCs w:val="20"/>
                <w:color w:val="auto"/>
              </w:rPr>
            </w:pPr>
            <w:r>
              <w:rPr>
                <w:rFonts w:ascii="Arial" w:cs="Arial" w:eastAsia="Arial" w:hAnsi="Arial"/>
                <w:sz w:val="14"/>
                <w:szCs w:val="14"/>
                <w:b w:val="1"/>
                <w:bCs w:val="1"/>
                <w:color w:val="auto"/>
              </w:rPr>
              <w:t>Product</w:t>
            </w: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 from contracts with customers: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Lighting revenues, by end user</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39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 government</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w:t>
            </w:r>
          </w:p>
        </w:tc>
        <w:tc>
          <w:tcPr>
            <w:tcW w:w="4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1,007</w:t>
            </w:r>
          </w:p>
        </w:tc>
        <w:tc>
          <w:tcPr>
            <w:tcW w:w="10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Commercial and industrial</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27,574</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8,561</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36,135</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54,538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15,146</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69,684</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27,680</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8,699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55,137</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70,691</w:t>
            </w:r>
          </w:p>
        </w:tc>
        <w:tc>
          <w:tcPr>
            <w:tcW w:w="100" w:type="dxa"/>
            <w:vAlign w:val="bottom"/>
            <w:shd w:val="clear" w:color="auto" w:fill="CFF0FC"/>
          </w:tcPr>
          <w:p>
            <w:pPr>
              <w:spacing w:after="0"/>
              <w:rPr>
                <w:sz w:val="19"/>
                <w:szCs w:val="19"/>
                <w:color w:val="auto"/>
              </w:rPr>
            </w:pPr>
          </w:p>
        </w:tc>
      </w:tr>
      <w:tr>
        <w:trPr>
          <w:trHeight w:val="229"/>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27,692</w:t>
            </w:r>
          </w:p>
        </w:tc>
        <w:tc>
          <w:tcPr>
            <w:tcW w:w="2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8,699</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36,391</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55,165</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15,554</w:t>
            </w: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70,719</w:t>
            </w:r>
          </w:p>
        </w:tc>
        <w:tc>
          <w:tcPr>
            <w:tcW w:w="100" w:type="dxa"/>
            <w:vAlign w:val="bottom"/>
            <w:shd w:val="clear" w:color="auto" w:fill="CFF0FC"/>
          </w:tcPr>
          <w:p>
            <w:pPr>
              <w:spacing w:after="0"/>
              <w:rPr>
                <w:sz w:val="19"/>
                <w:szCs w:val="19"/>
                <w:color w:val="auto"/>
              </w:rPr>
            </w:pPr>
          </w:p>
        </w:tc>
      </w:tr>
      <w:tr>
        <w:trPr>
          <w:trHeight w:val="223"/>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27,811</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8,699</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36,510</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15,554</w:t>
            </w:r>
          </w:p>
        </w:tc>
        <w:tc>
          <w:tcPr>
            <w:tcW w:w="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71,611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6"/>
        </w:trPr>
        <w:tc>
          <w:tcPr>
            <w:tcW w:w="3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7"/>
          </w:tcPr>
          <w:p>
            <w:pPr>
              <w:jc w:val="center"/>
              <w:ind w:right="94"/>
              <w:spacing w:after="0"/>
              <w:rPr>
                <w:sz w:val="20"/>
                <w:szCs w:val="20"/>
                <w:color w:val="auto"/>
              </w:rPr>
            </w:pPr>
            <w:r>
              <w:rPr>
                <w:rFonts w:ascii="Arial" w:cs="Arial" w:eastAsia="Arial" w:hAnsi="Arial"/>
                <w:sz w:val="14"/>
                <w:szCs w:val="14"/>
                <w:b w:val="1"/>
                <w:bCs w:val="1"/>
                <w:color w:val="auto"/>
                <w:w w:val="92"/>
              </w:rPr>
              <w:t>Three Months Ended September 30, 2020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8"/>
          </w:tcPr>
          <w:p>
            <w:pPr>
              <w:jc w:val="center"/>
              <w:ind w:right="260"/>
              <w:spacing w:after="0"/>
              <w:rPr>
                <w:sz w:val="20"/>
                <w:szCs w:val="20"/>
                <w:color w:val="auto"/>
              </w:rPr>
            </w:pPr>
            <w:r>
              <w:rPr>
                <w:rFonts w:ascii="Arial" w:cs="Arial" w:eastAsia="Arial" w:hAnsi="Arial"/>
                <w:sz w:val="14"/>
                <w:szCs w:val="14"/>
                <w:b w:val="1"/>
                <w:bCs w:val="1"/>
                <w:color w:val="auto"/>
                <w:w w:val="92"/>
              </w:rPr>
              <w:t>Six Months Ended September 30, 2020</w:t>
            </w:r>
          </w:p>
        </w:tc>
      </w:tr>
      <w:tr>
        <w:trPr>
          <w:trHeight w:val="155"/>
        </w:trPr>
        <w:tc>
          <w:tcPr>
            <w:tcW w:w="39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Product</w:t>
            </w:r>
          </w:p>
        </w:tc>
        <w:tc>
          <w:tcPr>
            <w:tcW w:w="26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90"/>
              </w:rPr>
              <w:t>Services</w:t>
            </w: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Product</w:t>
            </w: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center"/>
              <w:ind w:right="74"/>
              <w:spacing w:after="0" w:line="155" w:lineRule="exact"/>
              <w:rPr>
                <w:sz w:val="20"/>
                <w:szCs w:val="20"/>
                <w:color w:val="auto"/>
              </w:rPr>
            </w:pPr>
            <w:r>
              <w:rPr>
                <w:rFonts w:ascii="Arial" w:cs="Arial" w:eastAsia="Arial" w:hAnsi="Arial"/>
                <w:sz w:val="14"/>
                <w:szCs w:val="14"/>
                <w:b w:val="1"/>
                <w:bCs w:val="1"/>
                <w:color w:val="auto"/>
                <w:w w:val="86"/>
              </w:rPr>
              <w:t>Services</w:t>
            </w:r>
          </w:p>
        </w:tc>
        <w:tc>
          <w:tcPr>
            <w:tcW w:w="22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p>
      <w:pPr>
        <w:spacing w:after="0"/>
        <w:rPr>
          <w:sz w:val="20"/>
          <w:szCs w:val="20"/>
          <w:color w:val="auto"/>
        </w:rPr>
      </w:pPr>
      <w:r>
        <w:rPr>
          <w:rFonts w:ascii="Arial" w:cs="Arial" w:eastAsia="Arial" w:hAnsi="Arial"/>
          <w:sz w:val="16"/>
          <w:szCs w:val="16"/>
          <w:color w:val="auto"/>
        </w:rPr>
        <w:t>Revenue from contracts with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Lighting revenues, by end user</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Federal government</w:t>
      </w:r>
    </w:p>
    <w:p>
      <w:pPr>
        <w:spacing w:after="0" w:line="3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Commercial and industrial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26</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41"/>
        </w:trPr>
        <w:tc>
          <w:tcPr>
            <w:tcW w:w="2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18,816</w:t>
            </w:r>
          </w:p>
        </w:tc>
        <w:tc>
          <w:tcPr>
            <w:tcW w:w="4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5,995</w:t>
            </w:r>
          </w:p>
        </w:tc>
        <w:tc>
          <w:tcPr>
            <w:tcW w:w="360" w:type="dxa"/>
            <w:vAlign w:val="bottom"/>
          </w:tcPr>
          <w:p>
            <w:pPr>
              <w:spacing w:after="0"/>
              <w:rPr>
                <w:sz w:val="20"/>
                <w:szCs w:val="20"/>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24,811</w:t>
            </w:r>
          </w:p>
        </w:tc>
        <w:tc>
          <w:tcPr>
            <w:tcW w:w="34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27,525</w:t>
            </w:r>
          </w:p>
        </w:tc>
        <w:tc>
          <w:tcPr>
            <w:tcW w:w="400" w:type="dxa"/>
            <w:vAlign w:val="bottom"/>
          </w:tcPr>
          <w:p>
            <w:pPr>
              <w:spacing w:after="0"/>
              <w:rPr>
                <w:sz w:val="20"/>
                <w:szCs w:val="20"/>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7,105</w:t>
            </w:r>
          </w:p>
        </w:tc>
        <w:tc>
          <w:tcPr>
            <w:tcW w:w="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-2953385</wp:posOffset>
            </wp:positionH>
            <wp:positionV relativeFrom="paragraph">
              <wp:posOffset>-306705</wp:posOffset>
            </wp:positionV>
            <wp:extent cx="7132320" cy="1543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940" w:space="720"/>
            <w:col w:w="6580"/>
          </w:cols>
          <w:pgMar w:left="320" w:top="405" w:right="339" w:bottom="1440" w:gutter="0" w:footer="0" w:header="0"/>
          <w:type w:val="continuous"/>
        </w:sectPr>
      </w:pPr>
    </w:p>
    <w:tbl>
      <w:tblPr>
        <w:tblLayout w:type="fixed"/>
        <w:tblInd w:w="0" w:type="dxa"/>
        <w:tblCellMar>
          <w:top w:w="0" w:type="dxa"/>
          <w:left w:w="0" w:type="dxa"/>
          <w:bottom w:w="0" w:type="dxa"/>
          <w:right w:w="0" w:type="dxa"/>
        </w:tblCellMar>
      </w:tblPr>
      <w:tr>
        <w:trPr>
          <w:trHeight w:val="238"/>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lighting</w:t>
            </w:r>
          </w:p>
        </w:tc>
        <w:tc>
          <w:tcPr>
            <w:tcW w:w="68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18,901</w:t>
            </w:r>
          </w:p>
        </w:tc>
        <w:tc>
          <w:tcPr>
            <w:tcW w:w="26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4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24,922</w:t>
            </w:r>
          </w:p>
        </w:tc>
        <w:tc>
          <w:tcPr>
            <w:tcW w:w="2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27,660</w:t>
            </w:r>
          </w:p>
        </w:tc>
        <w:tc>
          <w:tcPr>
            <w:tcW w:w="220" w:type="dxa"/>
            <w:vAlign w:val="bottom"/>
            <w:tcBorders>
              <w:top w:val="single" w:sz="8" w:color="CFF0FC"/>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220" w:type="dxa"/>
            <w:vAlign w:val="bottom"/>
            <w:tcBorders>
              <w:top w:val="single" w:sz="8" w:color="CFF0FC"/>
            </w:tcBorders>
            <w:shd w:val="clear" w:color="auto" w:fill="CFF0FC"/>
          </w:tcPr>
          <w:p>
            <w:pPr>
              <w:spacing w:after="0"/>
              <w:rPr>
                <w:sz w:val="20"/>
                <w:szCs w:val="20"/>
                <w:color w:val="auto"/>
              </w:rPr>
            </w:pPr>
          </w:p>
        </w:tc>
        <w:tc>
          <w:tcPr>
            <w:tcW w:w="2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34,791</w:t>
            </w:r>
          </w:p>
        </w:tc>
        <w:tc>
          <w:tcPr>
            <w:tcW w:w="100" w:type="dxa"/>
            <w:vAlign w:val="bottom"/>
            <w:tcBorders>
              <w:top w:val="single" w:sz="8" w:color="CFF0FC"/>
            </w:tcBorders>
            <w:shd w:val="clear" w:color="auto" w:fill="CFF0FC"/>
          </w:tcPr>
          <w:p>
            <w:pPr>
              <w:spacing w:after="0"/>
              <w:rPr>
                <w:sz w:val="20"/>
                <w:szCs w:val="20"/>
                <w:color w:val="auto"/>
              </w:rPr>
            </w:pPr>
          </w:p>
        </w:tc>
      </w:tr>
      <w:tr>
        <w:trPr>
          <w:trHeight w:val="243"/>
        </w:trPr>
        <w:tc>
          <w:tcPr>
            <w:tcW w:w="39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Solar energy related revenues</w:t>
            </w:r>
          </w:p>
        </w:tc>
        <w:tc>
          <w:tcPr>
            <w:tcW w:w="6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6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Borders>
              <w:bottom w:val="single" w:sz="8" w:color="CFF0FC"/>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tcPr>
          <w:p>
            <w:pPr>
              <w:spacing w:after="0"/>
              <w:rPr>
                <w:sz w:val="21"/>
                <w:szCs w:val="21"/>
                <w:color w:val="auto"/>
              </w:rPr>
            </w:pPr>
          </w:p>
        </w:tc>
      </w:tr>
      <w:tr>
        <w:trPr>
          <w:trHeight w:val="237"/>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revenues from contracts with customers</w:t>
            </w:r>
          </w:p>
        </w:tc>
        <w:tc>
          <w:tcPr>
            <w:tcW w:w="68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18,921</w:t>
            </w:r>
          </w:p>
        </w:tc>
        <w:tc>
          <w:tcPr>
            <w:tcW w:w="26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24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24,942</w:t>
            </w:r>
          </w:p>
        </w:tc>
        <w:tc>
          <w:tcPr>
            <w:tcW w:w="200" w:type="dxa"/>
            <w:vAlign w:val="bottom"/>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27,702</w:t>
            </w:r>
          </w:p>
        </w:tc>
        <w:tc>
          <w:tcPr>
            <w:tcW w:w="220" w:type="dxa"/>
            <w:vAlign w:val="bottom"/>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220" w:type="dxa"/>
            <w:vAlign w:val="bottom"/>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34,833</w:t>
            </w:r>
          </w:p>
        </w:tc>
        <w:tc>
          <w:tcPr>
            <w:tcW w:w="100" w:type="dxa"/>
            <w:vAlign w:val="bottom"/>
            <w:shd w:val="clear" w:color="auto" w:fill="CFF0FC"/>
          </w:tcPr>
          <w:p>
            <w:pPr>
              <w:spacing w:after="0"/>
              <w:rPr>
                <w:sz w:val="20"/>
                <w:szCs w:val="20"/>
                <w:color w:val="auto"/>
              </w:rPr>
            </w:pPr>
          </w:p>
        </w:tc>
      </w:tr>
      <w:tr>
        <w:trPr>
          <w:trHeight w:val="237"/>
        </w:trPr>
        <w:tc>
          <w:tcPr>
            <w:tcW w:w="3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Revenue accounted for under other guidance</w:t>
            </w:r>
          </w:p>
        </w:tc>
        <w:tc>
          <w:tcPr>
            <w:tcW w:w="68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w:t>
            </w:r>
          </w:p>
        </w:tc>
        <w:tc>
          <w:tcPr>
            <w:tcW w:w="2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2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FF0FC"/>
            </w:tcBorders>
          </w:tcPr>
          <w:p>
            <w:pPr>
              <w:spacing w:after="0"/>
              <w:rPr>
                <w:sz w:val="20"/>
                <w:szCs w:val="20"/>
                <w:color w:val="auto"/>
              </w:rPr>
            </w:pPr>
          </w:p>
        </w:tc>
      </w:tr>
      <w:tr>
        <w:trPr>
          <w:trHeight w:val="236"/>
        </w:trPr>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20,260</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w:t>
            </w:r>
          </w:p>
        </w:tc>
        <w:tc>
          <w:tcPr>
            <w:tcW w:w="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29,961</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7,131</w:t>
            </w:r>
          </w:p>
        </w:tc>
        <w:tc>
          <w:tcPr>
            <w:tcW w:w="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37,092</w:t>
            </w:r>
          </w:p>
        </w:tc>
        <w:tc>
          <w:tcPr>
            <w:tcW w:w="100" w:type="dxa"/>
            <w:vAlign w:val="bottom"/>
            <w:shd w:val="clear" w:color="auto" w:fill="CFF0FC"/>
          </w:tcPr>
          <w:p>
            <w:pPr>
              <w:spacing w:after="0"/>
              <w:rPr>
                <w:sz w:val="20"/>
                <w:szCs w:val="20"/>
                <w:color w:val="auto"/>
              </w:rPr>
            </w:pPr>
          </w:p>
        </w:tc>
      </w:tr>
      <w:tr>
        <w:trPr>
          <w:trHeight w:val="20"/>
        </w:trPr>
        <w:tc>
          <w:tcPr>
            <w:tcW w:w="39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14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From time to time, Orion sells the receivables from one customer to a financing institution. The total amount received from the sales of these receivables during the three and six months ended September 30, 2021, was $0 and $2.4 million, respectively. Orion’s losses on these sales were $1 thousand and $3 thousand, for the three and six months ended September 30, 2021, respectively and are included in Interest expense in the Condensed Consolidated Statements of Operations.</w:t>
      </w:r>
    </w:p>
    <w:p>
      <w:pPr>
        <w:spacing w:after="0" w:line="133"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total amount received from the sales of these receivables during the three and six months ended September 30, 2020 was $2.1 million and $2.3 million, respectively. Orion’s losses on these sales were $9 thousand for the three and six months ended September 30, 2020 and are included in Interest expense in the Condensed Consolidated Statement of Operations.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chart shows the balance of Orion’s receivables arising from contracts with customers, contract assets and contract liabilities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2021 and March 31, 2021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57"/>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4740" w:type="dxa"/>
            <w:vAlign w:val="bottom"/>
            <w:tcBorders>
              <w:bottom w:val="single" w:sz="8" w:color="CFF0FC"/>
            </w:tcBorders>
          </w:tcPr>
          <w:p>
            <w:pPr>
              <w:spacing w:after="0"/>
              <w:rPr>
                <w:sz w:val="14"/>
                <w:szCs w:val="14"/>
                <w:color w:val="auto"/>
              </w:rPr>
            </w:pPr>
          </w:p>
        </w:tc>
        <w:tc>
          <w:tcPr>
            <w:tcW w:w="298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9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23,536</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Contract assets</w:t>
            </w:r>
          </w:p>
        </w:tc>
        <w:tc>
          <w:tcPr>
            <w:tcW w:w="31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2,102</w:t>
            </w:r>
          </w:p>
        </w:tc>
        <w:tc>
          <w:tcPr>
            <w:tcW w:w="56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2,367</w:t>
            </w: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Contract liabilities</w:t>
            </w:r>
          </w:p>
        </w:tc>
        <w:tc>
          <w:tcPr>
            <w:tcW w:w="318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There were no significant changes in the contract assets outside of standard reclassifications to accounts receivable, net upon billing. There were no significant changes to contract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NOTE 5 — ACCOUNTS RECEIVABLE, NET</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September 30, 2021, and March 31, 2021, Orion's accounts receivable and allowance for doubtful accounts balances were as follows (dollars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Accounts receivable, gross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13,583</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23,536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and March 31, 2021, Orion's inventory balances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Excess and</w:t>
            </w: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Obsolescence</w:t>
            </w:r>
          </w:p>
        </w:tc>
        <w:tc>
          <w:tcPr>
            <w:tcW w:w="320" w:type="dxa"/>
            <w:vAlign w:val="bottom"/>
          </w:tcPr>
          <w:p>
            <w:pPr>
              <w:spacing w:after="0"/>
              <w:rPr>
                <w:sz w:val="12"/>
                <w:szCs w:val="12"/>
                <w:color w:val="auto"/>
              </w:rPr>
            </w:pP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Reserve</w:t>
            </w:r>
          </w:p>
        </w:tc>
        <w:tc>
          <w:tcPr>
            <w:tcW w:w="32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 of September 30, 2021</w:t>
            </w:r>
          </w:p>
        </w:tc>
        <w:tc>
          <w:tcPr>
            <w:tcW w:w="2080" w:type="dxa"/>
            <w:vAlign w:val="bottom"/>
            <w:tcBorders>
              <w:top w:val="single" w:sz="8" w:color="CFF0FC"/>
            </w:tcBorders>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5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11,162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(1,079)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10,083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(342)</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9,751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(737)</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21,872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19,714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As of March 31, 2021</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Raw materials and components</w:t>
            </w:r>
          </w:p>
        </w:tc>
        <w:tc>
          <w:tcPr>
            <w:tcW w:w="2880" w:type="dxa"/>
            <w:vAlign w:val="bottom"/>
            <w:gridSpan w:val="2"/>
          </w:tcPr>
          <w:p>
            <w:pPr>
              <w:jc w:val="right"/>
              <w:ind w:right="61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12,410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(967)</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Work in process</w:t>
            </w:r>
          </w:p>
        </w:tc>
        <w:tc>
          <w:tcPr>
            <w:tcW w:w="20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8"/>
                <w:szCs w:val="18"/>
                <w:color w:val="auto"/>
              </w:rPr>
              <w:t>Finished goods</w:t>
            </w:r>
          </w:p>
        </w:tc>
        <w:tc>
          <w:tcPr>
            <w:tcW w:w="2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8,295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(586)</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21,463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(1,909)</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PREPAID EXPENSES AND OTHER CURRENT ASSETS</w:t>
      </w:r>
    </w:p>
    <w:p>
      <w:pPr>
        <w:spacing w:after="0" w:line="21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September 30, 2021, and March 31, 2021, prepaid expenses and other current assets include the following (dollars in thousands):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Payroll tax credit</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prepaid expenses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2,359</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During the three months ended September 30, 2021, Orion recorded a $1.6 million current asset for the anticipated employee retention payroll tax credit (“payroll tax credit”), as expanded and extended by the American Rescue Plan Act of 2021. The credit was recorded as an offset to payroll expense in the following income statement categories: $0.7 million in cost of product revenue, $0.1 million in cost of service revenue, $0.3 million in general and administrative, $0.4 million in sales and marketing, and $0.1 million in research and development expenses. The timing of the refundable portion of the payroll tax credit is subject to Internal Revenue Service processing times.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8 — PROPERTY AND EQUIPMENT, NET</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and March 31, 2021, property and equipment, net,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5300" w:type="dxa"/>
            <w:vAlign w:val="bottom"/>
            <w:tcBorders>
              <w:bottom w:val="single" w:sz="8" w:color="CFF0FC"/>
            </w:tcBorders>
          </w:tcPr>
          <w:p>
            <w:pPr>
              <w:spacing w:after="0"/>
              <w:rPr>
                <w:sz w:val="14"/>
                <w:szCs w:val="14"/>
                <w:color w:val="auto"/>
              </w:rPr>
            </w:pPr>
          </w:p>
        </w:tc>
        <w:tc>
          <w:tcPr>
            <w:tcW w:w="24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Land and land improvements</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433</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Buildings and building improvements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9,491</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9,477</w:t>
            </w: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Furniture, fixtures and office equipment</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7,526</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2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429</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Equipment leased to customers</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20" w:type="dxa"/>
            <w:vAlign w:val="bottom"/>
            <w:shd w:val="clear" w:color="auto" w:fill="CFF0FC"/>
          </w:tcPr>
          <w:p>
            <w:pPr>
              <w:spacing w:after="0"/>
              <w:rPr>
                <w:sz w:val="19"/>
                <w:szCs w:val="19"/>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Plant equipment</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12,205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12,451</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FF0FC"/>
          </w:tcPr>
          <w:p>
            <w:pPr>
              <w:spacing w:after="0"/>
              <w:rPr>
                <w:sz w:val="19"/>
                <w:szCs w:val="19"/>
                <w:color w:val="auto"/>
              </w:rPr>
            </w:pP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Gross property and equipment</w:t>
            </w:r>
          </w:p>
        </w:tc>
        <w:tc>
          <w:tcPr>
            <w:tcW w:w="2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35,126</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35,205</w:t>
            </w:r>
          </w:p>
        </w:tc>
        <w:tc>
          <w:tcPr>
            <w:tcW w:w="12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2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(24,041)</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(23,836)</w:t>
            </w:r>
          </w:p>
        </w:tc>
      </w:tr>
      <w:tr>
        <w:trPr>
          <w:trHeight w:val="223"/>
        </w:trPr>
        <w:tc>
          <w:tcPr>
            <w:tcW w:w="5300" w:type="dxa"/>
            <w:vAlign w:val="bottom"/>
          </w:tcPr>
          <w:p>
            <w:pPr>
              <w:ind w:left="140"/>
              <w:spacing w:after="0"/>
              <w:rPr>
                <w:sz w:val="20"/>
                <w:szCs w:val="20"/>
                <w:color w:val="auto"/>
              </w:rPr>
            </w:pPr>
            <w:r>
              <w:rPr>
                <w:rFonts w:ascii="Arial" w:cs="Arial" w:eastAsia="Arial" w:hAnsi="Arial"/>
                <w:sz w:val="18"/>
                <w:szCs w:val="18"/>
                <w:color w:val="auto"/>
              </w:rPr>
              <w:t>Total property and equipment, net</w:t>
            </w:r>
          </w:p>
        </w:tc>
        <w:tc>
          <w:tcPr>
            <w:tcW w:w="24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11,085</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11,369</w:t>
            </w:r>
          </w:p>
        </w:tc>
        <w:tc>
          <w:tcPr>
            <w:tcW w:w="12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LEASES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From time to time, Orion leases assets from third parties. Orion also leases certain assets to third parties.</w:t>
      </w:r>
    </w:p>
    <w:p>
      <w:pPr>
        <w:spacing w:after="0" w:line="171" w:lineRule="exact"/>
        <w:rPr>
          <w:sz w:val="20"/>
          <w:szCs w:val="20"/>
          <w:color w:val="auto"/>
        </w:rPr>
      </w:pPr>
    </w:p>
    <w:p>
      <w:pPr>
        <w:jc w:val="both"/>
        <w:ind w:firstLine="489"/>
        <w:spacing w:after="0" w:line="311" w:lineRule="auto"/>
        <w:rPr>
          <w:sz w:val="20"/>
          <w:szCs w:val="20"/>
          <w:color w:val="auto"/>
        </w:rPr>
      </w:pPr>
      <w:r>
        <w:rPr>
          <w:rFonts w:ascii="Arial" w:cs="Arial" w:eastAsia="Arial" w:hAnsi="Arial"/>
          <w:sz w:val="16"/>
          <w:szCs w:val="16"/>
          <w:color w:val="auto"/>
        </w:rPr>
        <w:t>Orion accounts for leases in accordance with ASC 842. Under ASC 842, both finance and operating lease ROU assets and lease liabilities for leases with initial terms in excess of 12 months are recognized at the commencement date based on the present value of lease payments over the lease term. Orion recognizes lease expense for leases with an initial term of 12 months or less, referred to as short term leases, on a straight-line basis over the lease term.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Orion’s assets leased from third parties follows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3580" w:type="dxa"/>
            <w:vAlign w:val="bottom"/>
            <w:gridSpan w:val="2"/>
          </w:tcPr>
          <w:p>
            <w:pPr>
              <w:spacing w:after="0"/>
              <w:rPr>
                <w:sz w:val="20"/>
                <w:szCs w:val="20"/>
                <w:color w:val="auto"/>
              </w:rPr>
            </w:pPr>
            <w:r>
              <w:rPr>
                <w:rFonts w:ascii="Arial" w:cs="Arial" w:eastAsia="Arial" w:hAnsi="Arial"/>
                <w:sz w:val="14"/>
                <w:szCs w:val="14"/>
                <w:b w:val="1"/>
                <w:bCs w:val="1"/>
                <w:color w:val="auto"/>
              </w:rPr>
              <w:t>Balance sheet classification</w:t>
            </w:r>
          </w:p>
        </w:tc>
        <w:tc>
          <w:tcPr>
            <w:tcW w:w="200" w:type="dxa"/>
            <w:vAlign w:val="bottom"/>
          </w:tcPr>
          <w:p>
            <w:pPr>
              <w:spacing w:after="0"/>
              <w:rPr>
                <w:sz w:val="14"/>
                <w:szCs w:val="14"/>
                <w:color w:val="auto"/>
              </w:rPr>
            </w:pPr>
          </w:p>
        </w:tc>
        <w:tc>
          <w:tcPr>
            <w:tcW w:w="19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2021</w:t>
            </w:r>
          </w:p>
        </w:tc>
        <w:tc>
          <w:tcPr>
            <w:tcW w:w="280" w:type="dxa"/>
            <w:vAlign w:val="bottom"/>
          </w:tcPr>
          <w:p>
            <w:pPr>
              <w:spacing w:after="0"/>
              <w:rPr>
                <w:sz w:val="14"/>
                <w:szCs w:val="14"/>
                <w:color w:val="auto"/>
              </w:rPr>
            </w:pPr>
          </w:p>
        </w:tc>
        <w:tc>
          <w:tcPr>
            <w:tcW w:w="1700" w:type="dxa"/>
            <w:vAlign w:val="bottom"/>
            <w:gridSpan w:val="2"/>
          </w:tcPr>
          <w:p>
            <w:pPr>
              <w:ind w:left="180"/>
              <w:spacing w:after="0"/>
              <w:rPr>
                <w:sz w:val="20"/>
                <w:szCs w:val="20"/>
                <w:color w:val="auto"/>
              </w:rPr>
            </w:pPr>
            <w:r>
              <w:rPr>
                <w:rFonts w:ascii="Arial" w:cs="Arial" w:eastAsia="Arial" w:hAnsi="Arial"/>
                <w:sz w:val="14"/>
                <w:szCs w:val="14"/>
                <w:b w:val="1"/>
                <w:bCs w:val="1"/>
                <w:color w:val="auto"/>
              </w:rPr>
              <w:t>March 31, 2021</w:t>
            </w: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3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6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Operating lease assets</w:t>
            </w:r>
          </w:p>
        </w:tc>
        <w:tc>
          <w:tcPr>
            <w:tcW w:w="3580" w:type="dxa"/>
            <w:vAlign w:val="bottom"/>
            <w:gridSpan w:val="2"/>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2,315</w:t>
            </w:r>
          </w:p>
        </w:tc>
        <w:tc>
          <w:tcPr>
            <w:tcW w:w="3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2,585</w:t>
            </w: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3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Current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expenses and other</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w:t>
            </w: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FF0FC"/>
          </w:tcPr>
          <w:p>
            <w:pPr>
              <w:spacing w:after="0"/>
              <w:rPr>
                <w:sz w:val="19"/>
                <w:szCs w:val="19"/>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Non-current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3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2,302</w:t>
            </w:r>
          </w:p>
        </w:tc>
        <w:tc>
          <w:tcPr>
            <w:tcW w:w="3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w:t>
            </w:r>
          </w:p>
        </w:tc>
        <w:tc>
          <w:tcPr>
            <w:tcW w:w="100" w:type="dxa"/>
            <w:vAlign w:val="bottom"/>
            <w:shd w:val="clear" w:color="auto" w:fill="CFF0FC"/>
          </w:tcPr>
          <w:p>
            <w:pPr>
              <w:spacing w:after="0"/>
              <w:rPr>
                <w:sz w:val="19"/>
                <w:szCs w:val="19"/>
                <w:color w:val="auto"/>
              </w:rPr>
            </w:pPr>
          </w:p>
        </w:tc>
      </w:tr>
      <w:tr>
        <w:trPr>
          <w:trHeight w:val="223"/>
        </w:trPr>
        <w:tc>
          <w:tcPr>
            <w:tcW w:w="3500" w:type="dxa"/>
            <w:vAlign w:val="bottom"/>
          </w:tcPr>
          <w:p>
            <w:pPr>
              <w:ind w:left="500"/>
              <w:spacing w:after="0"/>
              <w:rPr>
                <w:sz w:val="20"/>
                <w:szCs w:val="20"/>
                <w:color w:val="auto"/>
              </w:rPr>
            </w:pPr>
            <w:r>
              <w:rPr>
                <w:rFonts w:ascii="Arial" w:cs="Arial" w:eastAsia="Arial" w:hAnsi="Arial"/>
                <w:sz w:val="18"/>
                <w:szCs w:val="18"/>
                <w:color w:val="auto"/>
              </w:rPr>
              <w:t>Total lease liabilities</w:t>
            </w:r>
          </w:p>
        </w:tc>
        <w:tc>
          <w:tcPr>
            <w:tcW w:w="3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3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9"/>
                <w:szCs w:val="19"/>
                <w:color w:val="auto"/>
              </w:rPr>
            </w:pPr>
          </w:p>
        </w:tc>
      </w:tr>
      <w:tr>
        <w:trPr>
          <w:trHeight w:val="20"/>
        </w:trPr>
        <w:tc>
          <w:tcPr>
            <w:tcW w:w="35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Orion had operating lease costs of $0.2 million and $0.4 million for the three and six months ended September 30, 2021. Orion had operating lease costs of $0.2 million and $0.4 million for the three and six months ended September 30, 2020.</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estimated maturity of lease liabilities for each of the next five years is shown below (dollars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b w:val="1"/>
                <w:bCs w:val="1"/>
                <w:color w:val="auto"/>
              </w:rPr>
              <w:t>Maturity of Lease Liabilities</w:t>
            </w:r>
          </w:p>
        </w:tc>
        <w:tc>
          <w:tcPr>
            <w:tcW w:w="5320" w:type="dxa"/>
            <w:vAlign w:val="bottom"/>
          </w:tcPr>
          <w:p>
            <w:pPr>
              <w:spacing w:after="0"/>
              <w:rPr>
                <w:sz w:val="20"/>
                <w:szCs w:val="20"/>
                <w:color w:val="auto"/>
              </w:rPr>
            </w:pPr>
          </w:p>
        </w:tc>
        <w:tc>
          <w:tcPr>
            <w:tcW w:w="1400" w:type="dxa"/>
            <w:vAlign w:val="bottom"/>
          </w:tcPr>
          <w:p>
            <w:pPr>
              <w:spacing w:after="0"/>
              <w:rPr>
                <w:sz w:val="20"/>
                <w:szCs w:val="20"/>
                <w:color w:val="auto"/>
              </w:rPr>
            </w:pPr>
            <w:r>
              <w:rPr>
                <w:rFonts w:ascii="Arial" w:cs="Arial" w:eastAsia="Arial" w:hAnsi="Arial"/>
                <w:sz w:val="18"/>
                <w:szCs w:val="18"/>
                <w:b w:val="1"/>
                <w:bCs w:val="1"/>
                <w:color w:val="auto"/>
                <w:w w:val="91"/>
              </w:rPr>
              <w:t>Operating Leases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2022 (period remaining)</w:t>
            </w:r>
          </w:p>
        </w:tc>
        <w:tc>
          <w:tcPr>
            <w:tcW w:w="6720" w:type="dxa"/>
            <w:vAlign w:val="bottom"/>
            <w:gridSpan w:val="2"/>
            <w:shd w:val="clear" w:color="auto" w:fill="CFF0FC"/>
          </w:tcPr>
          <w:p>
            <w:pPr>
              <w:ind w:left="53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20" w:type="dxa"/>
            <w:vAlign w:val="bottom"/>
          </w:tcPr>
          <w:p>
            <w:pPr>
              <w:spacing w:after="0"/>
              <w:rPr>
                <w:sz w:val="20"/>
                <w:szCs w:val="20"/>
                <w:color w:val="auto"/>
              </w:rPr>
            </w:pPr>
            <w:r>
              <w:rPr>
                <w:rFonts w:ascii="Arial" w:cs="Arial" w:eastAsia="Arial" w:hAnsi="Arial"/>
                <w:sz w:val="18"/>
                <w:szCs w:val="18"/>
                <w:color w:val="auto"/>
              </w:rPr>
              <w:t>Fiscal 2023</w:t>
            </w:r>
          </w:p>
        </w:tc>
        <w:tc>
          <w:tcPr>
            <w:tcW w:w="5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5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Fiscal 2025</w:t>
            </w:r>
          </w:p>
        </w:tc>
        <w:tc>
          <w:tcPr>
            <w:tcW w:w="53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Fiscal 2026</w:t>
            </w:r>
          </w:p>
        </w:tc>
        <w:tc>
          <w:tcPr>
            <w:tcW w:w="532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lease payments</w:t>
            </w:r>
          </w:p>
        </w:tc>
        <w:tc>
          <w:tcPr>
            <w:tcW w:w="532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3,332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Interest</w:t>
            </w:r>
          </w:p>
        </w:tc>
        <w:tc>
          <w:tcPr>
            <w:tcW w:w="5320" w:type="dxa"/>
            <w:vAlign w:val="bottom"/>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Present value of lease liabilities</w:t>
            </w:r>
          </w:p>
        </w:tc>
        <w:tc>
          <w:tcPr>
            <w:tcW w:w="5320" w:type="dxa"/>
            <w:vAlign w:val="bottom"/>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2,969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5320" w:type="dxa"/>
            <w:vAlign w:val="bottom"/>
            <w:vMerge w:val="restart"/>
          </w:tcPr>
          <w:p>
            <w:pPr>
              <w:jc w:val="right"/>
              <w:ind w:right="3430"/>
              <w:spacing w:after="0"/>
              <w:rPr>
                <w:sz w:val="20"/>
                <w:szCs w:val="20"/>
                <w:color w:val="auto"/>
              </w:rPr>
            </w:pPr>
            <w:r>
              <w:rPr>
                <w:rFonts w:ascii="Arial" w:cs="Arial" w:eastAsia="Arial" w:hAnsi="Arial"/>
                <w:sz w:val="18"/>
                <w:szCs w:val="18"/>
                <w:color w:val="auto"/>
              </w:rPr>
              <w:t>11</w:t>
            </w:r>
          </w:p>
        </w:tc>
        <w:tc>
          <w:tcPr>
            <w:tcW w:w="1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92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53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Assets Orion Leases to Other Parties</w:t>
      </w:r>
    </w:p>
    <w:p>
      <w:pPr>
        <w:spacing w:after="0" w:line="171" w:lineRule="exact"/>
        <w:rPr>
          <w:sz w:val="20"/>
          <w:szCs w:val="20"/>
          <w:color w:val="auto"/>
        </w:rPr>
      </w:pPr>
    </w:p>
    <w:p>
      <w:pPr>
        <w:jc w:val="both"/>
        <w:ind w:firstLine="489"/>
        <w:spacing w:after="0" w:line="273" w:lineRule="auto"/>
        <w:rPr>
          <w:sz w:val="20"/>
          <w:szCs w:val="20"/>
          <w:color w:val="auto"/>
        </w:rPr>
      </w:pPr>
      <w:r>
        <w:rPr>
          <w:rFonts w:ascii="Arial" w:cs="Arial" w:eastAsia="Arial" w:hAnsi="Arial"/>
          <w:sz w:val="17"/>
          <w:szCs w:val="17"/>
          <w:color w:val="auto"/>
        </w:rPr>
        <w:t>One of Orion’s frequent customers purchases products and installation services under agreements that provide for monthly payments, at a fixed monthly amount, of the contract price, plus interest, typically over a five-year period. While Orion retains ownership of the light fixtures during the financing period, the transaction terms and the underlying economics associated with used lighting fixtures results in Orion essentially ceding ownership of the lighting fixtures to the customer after completion of the agreement. The portions of the transaction associated with the sale of the light fixtures is accounted for as a sales-type lease under ASC 842. The total transaction price in these contracts is allocated between the lease and non-lease components in the same manner as the total transaction price of other turnkey projects containing lighting fixtures and installation services.</w:t>
      </w:r>
    </w:p>
    <w:p>
      <w:pPr>
        <w:spacing w:after="0" w:line="124"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Revenues, and production and acquisition costs, associated with sales-type leases are included in Product revenue and Costs of product revenues in the Condensed Consolidated Statement of Operations.</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following chart shows the amount of revenue and cost of sales arising from sales-type leases during the three and six months ended September 30, 2021 and September 30, 2020 (dollars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1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40" w:type="dxa"/>
            <w:vAlign w:val="bottom"/>
          </w:tcPr>
          <w:p>
            <w:pPr>
              <w:spacing w:after="0"/>
              <w:rPr>
                <w:sz w:val="14"/>
                <w:szCs w:val="14"/>
                <w:color w:val="auto"/>
              </w:rPr>
            </w:pPr>
          </w:p>
        </w:tc>
        <w:tc>
          <w:tcPr>
            <w:tcW w:w="29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 September 30,</w:t>
            </w:r>
          </w:p>
        </w:tc>
      </w:tr>
      <w:tr>
        <w:trPr>
          <w:trHeight w:val="155"/>
        </w:trPr>
        <w:tc>
          <w:tcPr>
            <w:tcW w:w="4480" w:type="dxa"/>
            <w:vAlign w:val="bottom"/>
            <w:tcBorders>
              <w:bottom w:val="single" w:sz="8" w:color="CFF0FC"/>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37"/>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5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1,382</w:t>
            </w:r>
          </w:p>
        </w:tc>
        <w:tc>
          <w:tcPr>
            <w:tcW w:w="100" w:type="dxa"/>
            <w:vAlign w:val="bottom"/>
            <w:shd w:val="clear" w:color="auto" w:fill="CFF0FC"/>
          </w:tcPr>
          <w:p>
            <w:pPr>
              <w:spacing w:after="0"/>
              <w:rPr>
                <w:sz w:val="20"/>
                <w:szCs w:val="20"/>
                <w:color w:val="auto"/>
              </w:rPr>
            </w:pPr>
          </w:p>
        </w:tc>
      </w:tr>
      <w:tr>
        <w:trPr>
          <w:trHeight w:val="243"/>
        </w:trPr>
        <w:tc>
          <w:tcPr>
            <w:tcW w:w="44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813</w:t>
            </w:r>
          </w:p>
        </w:tc>
        <w:tc>
          <w:tcPr>
            <w:tcW w:w="240" w:type="dxa"/>
            <w:vAlign w:val="bottom"/>
          </w:tcPr>
          <w:p>
            <w:pPr>
              <w:spacing w:after="0"/>
              <w:rPr>
                <w:sz w:val="21"/>
                <w:szCs w:val="21"/>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21"/>
                <w:szCs w:val="2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OTHER INTANGIBLE ASSETS, NET</w:t>
      </w:r>
    </w:p>
    <w:p>
      <w:pPr>
        <w:spacing w:after="0" w:line="175"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September 30, 2021, and March 31, 2021, the components of, and changes in, the carrying amount of other intangible assets, net, were as follows (dollars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1"/>
              <w:spacing w:after="0"/>
              <w:rPr>
                <w:sz w:val="20"/>
                <w:szCs w:val="20"/>
                <w:color w:val="auto"/>
              </w:rPr>
            </w:pPr>
            <w:r>
              <w:rPr>
                <w:rFonts w:ascii="Arial" w:cs="Arial" w:eastAsia="Arial" w:hAnsi="Arial"/>
                <w:sz w:val="14"/>
                <w:szCs w:val="14"/>
                <w:b w:val="1"/>
                <w:bCs w:val="1"/>
                <w:color w:val="auto"/>
                <w:w w:val="91"/>
              </w:rPr>
              <w:t>September 30, 2021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161"/>
              <w:spacing w:after="0"/>
              <w:rPr>
                <w:sz w:val="20"/>
                <w:szCs w:val="20"/>
                <w:color w:val="auto"/>
              </w:rPr>
            </w:pPr>
            <w:r>
              <w:rPr>
                <w:rFonts w:ascii="Arial" w:cs="Arial" w:eastAsia="Arial" w:hAnsi="Arial"/>
                <w:sz w:val="14"/>
                <w:szCs w:val="14"/>
                <w:b w:val="1"/>
                <w:bCs w:val="1"/>
                <w:color w:val="auto"/>
              </w:rPr>
              <w:t>March 31, 2021</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600" w:type="dxa"/>
            <w:vAlign w:val="bottom"/>
          </w:tcPr>
          <w:p>
            <w:pPr>
              <w:spacing w:after="0"/>
              <w:rPr>
                <w:sz w:val="11"/>
                <w:szCs w:val="11"/>
                <w:color w:val="auto"/>
              </w:rPr>
            </w:pP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96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w w:val="92"/>
              </w:rPr>
              <w:t>Gross Carrying</w:t>
            </w:r>
          </w:p>
        </w:tc>
        <w:tc>
          <w:tcPr>
            <w:tcW w:w="220" w:type="dxa"/>
            <w:vAlign w:val="bottom"/>
          </w:tcPr>
          <w:p>
            <w:pPr>
              <w:spacing w:after="0"/>
              <w:rPr>
                <w:sz w:val="11"/>
                <w:szCs w:val="11"/>
                <w:color w:val="auto"/>
              </w:rPr>
            </w:pPr>
          </w:p>
        </w:tc>
        <w:tc>
          <w:tcPr>
            <w:tcW w:w="1100" w:type="dxa"/>
            <w:vAlign w:val="bottom"/>
            <w:gridSpan w:val="3"/>
          </w:tcPr>
          <w:p>
            <w:pPr>
              <w:jc w:val="right"/>
              <w:ind w:right="18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4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4"/>
                <w:szCs w:val="14"/>
                <w:color w:val="auto"/>
              </w:rPr>
            </w:pPr>
          </w:p>
        </w:tc>
        <w:tc>
          <w:tcPr>
            <w:tcW w:w="1100" w:type="dxa"/>
            <w:vAlign w:val="bottom"/>
            <w:gridSpan w:val="3"/>
          </w:tcPr>
          <w:p>
            <w:pPr>
              <w:jc w:val="right"/>
              <w:ind w:right="181"/>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Patents</w:t>
            </w: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2,801</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834</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w:t>
            </w: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(1,875)</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Licenses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Trade name and trademarks (indefinite lived)</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81"/>
              <w:spacing w:after="0"/>
              <w:rPr>
                <w:sz w:val="20"/>
                <w:szCs w:val="20"/>
                <w:color w:val="auto"/>
              </w:rPr>
            </w:pPr>
            <w:r>
              <w:rPr>
                <w:rFonts w:ascii="Arial" w:cs="Arial" w:eastAsia="Arial" w:hAnsi="Arial"/>
                <w:sz w:val="18"/>
                <w:szCs w:val="18"/>
                <w:color w:val="auto"/>
              </w:rPr>
              <w:t>(3,600)</w:t>
            </w:r>
          </w:p>
        </w:tc>
        <w:tc>
          <w:tcPr>
            <w:tcW w:w="2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81"/>
              <w:spacing w:after="0"/>
              <w:rPr>
                <w:sz w:val="20"/>
                <w:szCs w:val="20"/>
                <w:color w:val="auto"/>
              </w:rPr>
            </w:pPr>
            <w:r>
              <w:rPr>
                <w:rFonts w:ascii="Arial" w:cs="Arial" w:eastAsia="Arial" w:hAnsi="Arial"/>
                <w:sz w:val="18"/>
                <w:szCs w:val="18"/>
                <w:color w:val="auto"/>
              </w:rPr>
              <w:t>(3,591)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Developed technology</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(900)</w:t>
            </w:r>
          </w:p>
        </w:tc>
        <w:tc>
          <w:tcPr>
            <w:tcW w:w="2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(889)</w:t>
            </w: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8,371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(6,525</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8,365</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(6,413</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expense on intangible assets was $46 thousand and $0.1 million for the three and six months ended September 30, 2021, respectively.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Amortization expense on intangible assets was $0.1 million and $0.2 million for the three and six months ended September 30, 2020, respectively.</w:t>
      </w:r>
    </w:p>
    <w:p>
      <w:pPr>
        <w:spacing w:after="0" w:line="19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the weighted average remaining useful life of intangible assets was 8.8 years.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amortization expense for the remainder of fiscal 2022, the next five fiscal years and beyond is shown below (dollars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2022 (period remaining)</w:t>
            </w:r>
          </w:p>
        </w:tc>
        <w:tc>
          <w:tcPr>
            <w:tcW w:w="6220" w:type="dxa"/>
            <w:vAlign w:val="bottom"/>
            <w:gridSpan w:val="2"/>
            <w:shd w:val="clear" w:color="auto" w:fill="CFF0FC"/>
          </w:tcPr>
          <w:p>
            <w:pPr>
              <w:jc w:val="right"/>
              <w:ind w:right="687"/>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Fiscal 2023</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2024</w:t>
            </w:r>
          </w:p>
        </w:tc>
        <w:tc>
          <w:tcPr>
            <w:tcW w:w="5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Fiscal 2025</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Fiscal 2026</w:t>
            </w:r>
          </w:p>
        </w:tc>
        <w:tc>
          <w:tcPr>
            <w:tcW w:w="53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Fiscal 2027</w:t>
            </w:r>
          </w:p>
        </w:tc>
        <w:tc>
          <w:tcPr>
            <w:tcW w:w="5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538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5380" w:type="dxa"/>
            <w:vAlign w:val="bottom"/>
          </w:tcPr>
          <w:p>
            <w:pPr>
              <w:spacing w:after="0"/>
              <w:rPr>
                <w:sz w:val="19"/>
                <w:szCs w:val="19"/>
                <w:color w:val="auto"/>
              </w:rPr>
            </w:pPr>
          </w:p>
        </w:tc>
        <w:tc>
          <w:tcPr>
            <w:tcW w:w="840" w:type="dxa"/>
            <w:vAlign w:val="bottom"/>
            <w:tcBorders>
              <w:bottom w:val="single" w:sz="8" w:color="auto"/>
            </w:tcBorders>
          </w:tcPr>
          <w:p>
            <w:pPr>
              <w:jc w:val="right"/>
              <w:ind w:right="6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5380" w:type="dxa"/>
            <w:vAlign w:val="bottom"/>
            <w:vMerge w:val="restart"/>
          </w:tcPr>
          <w:p>
            <w:pPr>
              <w:jc w:val="right"/>
              <w:ind w:right="3450"/>
              <w:spacing w:after="0"/>
              <w:rPr>
                <w:sz w:val="20"/>
                <w:szCs w:val="20"/>
                <w:color w:val="auto"/>
              </w:rPr>
            </w:pPr>
            <w:r>
              <w:rPr>
                <w:rFonts w:ascii="Arial" w:cs="Arial" w:eastAsia="Arial" w:hAnsi="Arial"/>
                <w:sz w:val="18"/>
                <w:szCs w:val="18"/>
                <w:color w:val="auto"/>
              </w:rPr>
              <w:t>12</w:t>
            </w: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880" w:type="dxa"/>
            <w:vAlign w:val="bottom"/>
          </w:tcPr>
          <w:p>
            <w:pPr>
              <w:spacing w:after="0"/>
              <w:rPr>
                <w:sz w:val="24"/>
                <w:szCs w:val="24"/>
                <w:color w:val="auto"/>
              </w:rPr>
            </w:pPr>
          </w:p>
        </w:tc>
        <w:tc>
          <w:tcPr>
            <w:tcW w:w="53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80" w:type="dxa"/>
            <w:vAlign w:val="bottom"/>
            <w:tcBorders>
              <w:bottom w:val="single" w:sz="8" w:color="9A9A9A"/>
            </w:tcBorders>
          </w:tcPr>
          <w:p>
            <w:pPr>
              <w:spacing w:after="0"/>
              <w:rPr>
                <w:sz w:val="10"/>
                <w:szCs w:val="10"/>
                <w:color w:val="auto"/>
              </w:rPr>
            </w:pPr>
          </w:p>
        </w:tc>
        <w:tc>
          <w:tcPr>
            <w:tcW w:w="53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11 — ACCRUED EXPENSES AND OTHER</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and March 31, 2021, accrued expenses and other included the following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September 30,</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b w:val="1"/>
                <w:bCs w:val="1"/>
                <w:color w:val="auto"/>
              </w:rPr>
              <w:t>March 31,</w:t>
            </w:r>
          </w:p>
        </w:tc>
      </w:tr>
      <w:tr>
        <w:trPr>
          <w:trHeight w:val="171"/>
        </w:trPr>
        <w:tc>
          <w:tcPr>
            <w:tcW w:w="77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project costs</w:t>
            </w: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3,858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Compensation and benefits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2,851</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accruals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Credits due to customers</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1,149</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Sales tax</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Warranty</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 fees</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497</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Sales returns reserve</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11,306</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13,226</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Orion generally offers a limited warranty of one to ten years on its lighting products, including the pass through of standard warranties offered by major original equipment component manufacturers. The manufacturers’ warranties cover lamps, power supplies, LED modules, chips and drivers, control devices, and other fixture related items, which are significant components in Orion's lighting products.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Changes in Orion’s warranty accrual (both current and long-term) were as follows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45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407"/>
              <w:spacing w:after="0"/>
              <w:rPr>
                <w:sz w:val="20"/>
                <w:szCs w:val="20"/>
                <w:color w:val="auto"/>
              </w:rPr>
            </w:pPr>
            <w:r>
              <w:rPr>
                <w:rFonts w:ascii="Arial" w:cs="Arial" w:eastAsia="Arial" w:hAnsi="Arial"/>
                <w:sz w:val="14"/>
                <w:szCs w:val="14"/>
                <w:b w:val="1"/>
                <w:bCs w:val="1"/>
                <w:color w:val="auto"/>
                <w:w w:val="98"/>
              </w:rPr>
              <w:t>September 30,</w:t>
            </w:r>
          </w:p>
        </w:tc>
        <w:tc>
          <w:tcPr>
            <w:tcW w:w="3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5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ind w:right="7"/>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Beginning of period</w:t>
            </w:r>
          </w:p>
        </w:tc>
        <w:tc>
          <w:tcPr>
            <w:tcW w:w="1320" w:type="dxa"/>
            <w:vAlign w:val="bottom"/>
            <w:shd w:val="clear" w:color="auto" w:fill="CFF0FC"/>
          </w:tcPr>
          <w:p>
            <w:pPr>
              <w:spacing w:after="0"/>
              <w:rPr>
                <w:sz w:val="19"/>
                <w:szCs w:val="19"/>
                <w:color w:val="auto"/>
              </w:rPr>
            </w:pPr>
          </w:p>
        </w:tc>
        <w:tc>
          <w:tcPr>
            <w:tcW w:w="720" w:type="dxa"/>
            <w:vAlign w:val="bottom"/>
            <w:shd w:val="clear" w:color="auto" w:fill="CFF0FC"/>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1,038</w:t>
            </w:r>
          </w:p>
        </w:tc>
        <w:tc>
          <w:tcPr>
            <w:tcW w:w="24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Accruals</w:t>
            </w:r>
          </w:p>
        </w:tc>
        <w:tc>
          <w:tcPr>
            <w:tcW w:w="1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89</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Warranty claims (net of vendor reimbursements)</w:t>
            </w:r>
          </w:p>
        </w:tc>
        <w:tc>
          <w:tcPr>
            <w:tcW w:w="13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(113)</w:t>
            </w:r>
          </w:p>
        </w:tc>
        <w:tc>
          <w:tcPr>
            <w:tcW w:w="7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5"/>
              </w:rPr>
              <w:t>(158)</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(200)</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End of period</w:t>
            </w:r>
          </w:p>
        </w:tc>
        <w:tc>
          <w:tcPr>
            <w:tcW w:w="13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1,014</w:t>
            </w:r>
          </w:p>
        </w:tc>
        <w:tc>
          <w:tcPr>
            <w:tcW w:w="2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24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1320" w:type="dxa"/>
            <w:vAlign w:val="bottom"/>
            <w:vMerge w:val="restart"/>
          </w:tcPr>
          <w:p>
            <w:pPr>
              <w:jc w:val="right"/>
              <w:ind w:right="30"/>
              <w:spacing w:after="0"/>
              <w:rPr>
                <w:sz w:val="20"/>
                <w:szCs w:val="20"/>
                <w:color w:val="auto"/>
              </w:rPr>
            </w:pPr>
            <w:r>
              <w:rPr>
                <w:rFonts w:ascii="Arial" w:cs="Arial" w:eastAsia="Arial" w:hAnsi="Arial"/>
                <w:sz w:val="18"/>
                <w:szCs w:val="18"/>
                <w:color w:val="auto"/>
              </w:rPr>
              <w:t>13</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52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52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NOTE 12 — NET INCOME (LOSS) PER COMMON SHARE</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Basic net income (loss) per common share is computed by dividing net income (loss) attributable to common shareholders by the weighted-average number of common shares outstanding for the period and does not consider common stock equivalents.</w:t>
      </w:r>
    </w:p>
    <w:p>
      <w:pPr>
        <w:spacing w:after="0" w:line="116"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Diluted net income (loss) per common share reflects the dilution that would occur if stock options were exercised and restricted shares vested. In the computation of diluted net income (loss) per common share, Orion uses the treasury stock method for outstanding options and restricted shares. Due to the net loss incurred during the six months ended September 30, 2020, the assumed exercise of all equity incentive instruments was anti-dilutive and, therefore, was not included in the diluted loss per common share calculation for those periods. Net income (loss) per common share is calculated based upon the following shares: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4"/>
                <w:szCs w:val="14"/>
                <w:color w:val="auto"/>
              </w:rPr>
            </w:pPr>
          </w:p>
        </w:tc>
        <w:tc>
          <w:tcPr>
            <w:tcW w:w="24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Net income (loss) (in thousands)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3,659</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1,914</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6,169</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Denominator:</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Weighted-average common shares outstanding</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31,031,098</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30,669,272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30,946,105</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30,511,611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common shares and common share</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equivalents outstanding</w:t>
            </w: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31,287,826</w:t>
            </w: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31,170,139</w:t>
            </w:r>
          </w:p>
        </w:tc>
        <w:tc>
          <w:tcPr>
            <w:tcW w:w="24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31,310,965</w:t>
            </w:r>
          </w:p>
        </w:tc>
        <w:tc>
          <w:tcPr>
            <w:tcW w:w="2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30,511,611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income (loss) per common share:</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0.20</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Pr>
          <w:p>
            <w:pPr>
              <w:spacing w:after="0"/>
              <w:rPr>
                <w:sz w:val="20"/>
                <w:szCs w:val="20"/>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0.20</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spacing w:after="0" w:line="258" w:lineRule="auto"/>
        <w:rPr>
          <w:sz w:val="20"/>
          <w:szCs w:val="20"/>
          <w:color w:val="auto"/>
        </w:rPr>
      </w:pPr>
      <w:r>
        <w:rPr>
          <w:rFonts w:ascii="Arial" w:cs="Arial" w:eastAsia="Arial" w:hAnsi="Arial"/>
          <w:sz w:val="18"/>
          <w:szCs w:val="18"/>
          <w:color w:val="auto"/>
        </w:rPr>
        <w:t>The following table indicates the number of potentially dilutive securities excluded from the calculation of Diluted net income (loss) per common share because their inclusion would have been anti-dilutive. The number of shares is as of the end of each period:</w:t>
      </w:r>
    </w:p>
    <w:tbl>
      <w:tblPr>
        <w:tblLayout w:type="fixed"/>
        <w:tblInd w:w="0" w:type="dxa"/>
        <w:tblCellMar>
          <w:top w:w="0" w:type="dxa"/>
          <w:left w:w="0" w:type="dxa"/>
          <w:bottom w:w="0" w:type="dxa"/>
          <w:right w:w="0" w:type="dxa"/>
        </w:tblCellMar>
      </w:tblPr>
      <w:tr>
        <w:trPr>
          <w:trHeight w:val="141"/>
        </w:trPr>
        <w:tc>
          <w:tcPr>
            <w:tcW w:w="5840" w:type="dxa"/>
            <w:vAlign w:val="bottom"/>
          </w:tcPr>
          <w:p>
            <w:pPr>
              <w:spacing w:after="0"/>
              <w:rPr>
                <w:sz w:val="12"/>
                <w:szCs w:val="12"/>
                <w:color w:val="auto"/>
              </w:rPr>
            </w:pPr>
          </w:p>
        </w:tc>
        <w:tc>
          <w:tcPr>
            <w:tcW w:w="3140" w:type="dxa"/>
            <w:vAlign w:val="bottom"/>
            <w:gridSpan w:val="7"/>
          </w:tcPr>
          <w:p>
            <w:pPr>
              <w:jc w:val="center"/>
              <w:ind w:right="640"/>
              <w:spacing w:after="0" w:line="141" w:lineRule="exact"/>
              <w:rPr>
                <w:sz w:val="20"/>
                <w:szCs w:val="20"/>
                <w:color w:val="auto"/>
              </w:rPr>
            </w:pPr>
            <w:r>
              <w:rPr>
                <w:rFonts w:ascii="Arial" w:cs="Arial" w:eastAsia="Arial" w:hAnsi="Arial"/>
                <w:sz w:val="14"/>
                <w:szCs w:val="14"/>
                <w:b w:val="1"/>
                <w:bCs w:val="1"/>
                <w:color w:val="auto"/>
                <w:w w:val="93"/>
              </w:rPr>
              <w:t>For the Three Months Ended</w:t>
            </w:r>
          </w:p>
        </w:tc>
        <w:tc>
          <w:tcPr>
            <w:tcW w:w="2260" w:type="dxa"/>
            <w:vAlign w:val="bottom"/>
            <w:gridSpan w:val="8"/>
          </w:tcPr>
          <w:p>
            <w:pPr>
              <w:jc w:val="right"/>
              <w:ind w:right="580"/>
              <w:spacing w:after="0" w:line="141" w:lineRule="exact"/>
              <w:rPr>
                <w:sz w:val="20"/>
                <w:szCs w:val="20"/>
                <w:color w:val="auto"/>
              </w:rPr>
            </w:pPr>
            <w:r>
              <w:rPr>
                <w:rFonts w:ascii="Arial" w:cs="Arial" w:eastAsia="Arial" w:hAnsi="Arial"/>
                <w:sz w:val="14"/>
                <w:szCs w:val="14"/>
                <w:b w:val="1"/>
                <w:bCs w:val="1"/>
                <w:color w:val="auto"/>
                <w:w w:val="96"/>
              </w:rPr>
              <w:t>For the Six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740" w:type="dxa"/>
            <w:vAlign w:val="bottom"/>
            <w:gridSpan w:val="3"/>
          </w:tcPr>
          <w:p>
            <w:pPr>
              <w:jc w:val="center"/>
              <w:ind w:left="659"/>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gridSpan w:val="2"/>
          </w:tcPr>
          <w:p>
            <w:pPr>
              <w:jc w:val="center"/>
              <w:ind w:right="293"/>
              <w:spacing w:after="0" w:line="155" w:lineRule="exact"/>
              <w:rPr>
                <w:sz w:val="20"/>
                <w:szCs w:val="20"/>
                <w:color w:val="auto"/>
              </w:rPr>
            </w:pPr>
            <w:r>
              <w:rPr>
                <w:rFonts w:ascii="Arial" w:cs="Arial" w:eastAsia="Arial" w:hAnsi="Arial"/>
                <w:sz w:val="14"/>
                <w:szCs w:val="14"/>
                <w:b w:val="1"/>
                <w:bCs w:val="1"/>
                <w:color w:val="auto"/>
                <w:w w:val="89"/>
              </w:rPr>
              <w:t>2020</w:t>
            </w:r>
          </w:p>
        </w:tc>
        <w:tc>
          <w:tcPr>
            <w:tcW w:w="240" w:type="dxa"/>
            <w:vAlign w:val="bottom"/>
            <w:tcBorders>
              <w:bottom w:val="single" w:sz="8" w:color="CFF0FC"/>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40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96"/>
              </w:rPr>
              <w:t>2021</w:t>
            </w:r>
          </w:p>
        </w:tc>
        <w:tc>
          <w:tcPr>
            <w:tcW w:w="18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Common stock options</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Restricted shares</w:t>
            </w:r>
          </w:p>
        </w:tc>
        <w:tc>
          <w:tcPr>
            <w:tcW w:w="1140" w:type="dxa"/>
            <w:vAlign w:val="bottom"/>
          </w:tcPr>
          <w:p>
            <w:pPr>
              <w:jc w:val="right"/>
              <w:spacing w:after="0"/>
              <w:rPr>
                <w:sz w:val="20"/>
                <w:szCs w:val="20"/>
                <w:color w:val="auto"/>
              </w:rPr>
            </w:pPr>
            <w:r>
              <w:rPr>
                <w:rFonts w:ascii="Arial" w:cs="Arial" w:eastAsia="Arial" w:hAnsi="Arial"/>
                <w:sz w:val="18"/>
                <w:szCs w:val="18"/>
                <w:color w:val="auto"/>
              </w:rPr>
              <w:t>26,205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26,205</w:t>
            </w:r>
          </w:p>
        </w:tc>
        <w:tc>
          <w:tcPr>
            <w:tcW w:w="24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125,880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ind w:left="440"/>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760" w:type="dxa"/>
            <w:vAlign w:val="bottom"/>
            <w:tcBorders>
              <w:top w:val="single" w:sz="8" w:color="auto"/>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26,205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197,697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b w:val="1"/>
                <w:bCs w:val="1"/>
                <w:color w:val="auto"/>
              </w:rPr>
              <w:t>NOTE 13 — LONG-TERM DEBT</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8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840" w:type="dxa"/>
            <w:vAlign w:val="bottom"/>
          </w:tcPr>
          <w:p>
            <w:pPr>
              <w:ind w:left="500"/>
              <w:spacing w:after="0"/>
              <w:rPr>
                <w:sz w:val="20"/>
                <w:szCs w:val="20"/>
                <w:color w:val="auto"/>
              </w:rPr>
            </w:pPr>
            <w:r>
              <w:rPr>
                <w:rFonts w:ascii="Arial" w:cs="Arial" w:eastAsia="Arial" w:hAnsi="Arial"/>
                <w:sz w:val="18"/>
                <w:szCs w:val="18"/>
                <w:color w:val="auto"/>
              </w:rPr>
              <w:t>Long-term debt consisted of the following (dollars in thousands):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5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3"/>
          </w:tcPr>
          <w:p>
            <w:pPr>
              <w:jc w:val="center"/>
              <w:ind w:left="173"/>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Revolving credit facility</w:t>
            </w:r>
          </w:p>
        </w:tc>
        <w:tc>
          <w:tcPr>
            <w:tcW w:w="11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jc w:val="center"/>
              <w:ind w:right="4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gridSpan w:val="2"/>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Equipment debt obligations</w:t>
            </w:r>
          </w:p>
        </w:tc>
        <w:tc>
          <w:tcPr>
            <w:tcW w:w="1140" w:type="dxa"/>
            <w:vAlign w:val="bottom"/>
            <w:tcBorders>
              <w:bottom w:val="single" w:sz="8" w:color="CFF0FC"/>
            </w:tcBorders>
          </w:tcPr>
          <w:p>
            <w:pPr>
              <w:spacing w:after="0"/>
              <w:rPr>
                <w:sz w:val="19"/>
                <w:szCs w:val="19"/>
                <w:color w:val="auto"/>
              </w:rPr>
            </w:pP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Long-term debt, less current maturities</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640" w:type="dxa"/>
            <w:vAlign w:val="bottom"/>
            <w:tcBorders>
              <w:top w:val="single" w:sz="8" w:color="auto"/>
              <w:bottom w:val="single" w:sz="8" w:color="auto"/>
            </w:tcBorders>
            <w:shd w:val="clear" w:color="auto" w:fill="CFF0FC"/>
          </w:tcPr>
          <w:p>
            <w:pPr>
              <w:jc w:val="center"/>
              <w:ind w:right="473"/>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89"/>
        <w:spacing w:after="0" w:line="342" w:lineRule="auto"/>
        <w:rPr>
          <w:sz w:val="20"/>
          <w:szCs w:val="20"/>
          <w:color w:val="auto"/>
        </w:rPr>
      </w:pPr>
      <w:r>
        <w:rPr>
          <w:rFonts w:ascii="Arial" w:cs="Arial" w:eastAsia="Arial" w:hAnsi="Arial"/>
          <w:sz w:val="16"/>
          <w:szCs w:val="16"/>
          <w:color w:val="auto"/>
        </w:rPr>
        <w:t>On December 29, 2020, Orion entered into a new $25 million Loan and Security Agreement with Bank of America, N.A., as lender (the “Credit Agreement”). The Credit Agreement replaced Orion’s prior $20.15 million secured revolving credit and security agreement (the “Prior Credit Agreement”).</w:t>
      </w:r>
    </w:p>
    <w:p>
      <w:pPr>
        <w:spacing w:after="0" w:line="7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Orion with increased financing capacity and liquidity to fund its operations and implement its strategic plans.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14" w:name="page15"/>
    <w:bookmarkEnd w:id="14"/>
    <w:p>
      <w:pPr>
        <w:jc w:val="both"/>
        <w:ind w:firstLine="489"/>
        <w:spacing w:after="0" w:line="259"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September 30, 2021, the borrowing base supports the full availability of the Credit Facility. As of September 30, 2021, no amounts were borrowed under the Credit Facility.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September 30, 2021, Orion is in compliance with all debt covenants.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Debt Obligations</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In February 2019, Orion entered into additional debt agreements with a financing company in the principal amount of $44 thousand and $30 thousand to fund the purchase of certain equipment. The debts are secured by the related equipment. The debts bear interest at a rate of 6.43% and 8.77% per annum, respectively, and both debts mature in January 2024.</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Orion’s income tax provision was determined by applying an estimated annual effective tax rate, based upon the facts and circumstances known, to book income (loss) before income tax, adjusting for discrete items. Orion’s actual effective tax rate is adjusted each interim period, as appropriate, for changes in facts and circumstances. For the three months ended September 30, 2021 and 2020, Orion recorded income tax expense (benefit) of $1.3 million and $(0.1) million, respectively, using this methodology. For the six months ended September 30, 2021 and 2020, Orion recorded income tax expense of $2.2 million and $1 thousand, respectively, using this methodology.</w:t>
      </w:r>
    </w:p>
    <w:p>
      <w:pPr>
        <w:spacing w:after="0" w:line="134"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As of September 30, 2021 and March 31, 2021, Orion recorded a valuation allowance of $1.3 million against its net deferred tax asset balance. As of each reporting date, management considers new evidence, both positive and negative, that could affect its view of the future realization of deferred tax assets. Orion considers future taxable income and ongoing prudent and feasible tax planning strategies in assessing the need for the valuation allowance. In the event that Orion determines that the more or less of its deferred tax assets are able to be realized, an adjustment to the valuation allowance would be reflected in the company’s provision for income taxes.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As of September 30, 2021, Orion’s balance of gross unrecognized tax benefits was approximately $0.4 million, all of which would reduce Orion’s effective tax rate if recognized.</w:t>
      </w:r>
    </w:p>
    <w:p>
      <w:pPr>
        <w:spacing w:after="0" w:line="116"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Orion has classified the amounts recorded for uncertain tax benefits in the balance sheet as Other long-term liabilities to the extent that payment is not anticipated within one year. Orion recognizes penalties and interest related to uncertain tax liabilities in Income tax expense. Penalties and interest are included in the unrecognized tax benefits.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71" w:lineRule="exact"/>
        <w:rPr>
          <w:sz w:val="20"/>
          <w:szCs w:val="20"/>
          <w:color w:val="auto"/>
        </w:rPr>
      </w:pPr>
    </w:p>
    <w:p>
      <w:pPr>
        <w:jc w:val="both"/>
        <w:ind w:right="20" w:firstLine="493"/>
        <w:spacing w:after="0" w:line="308" w:lineRule="auto"/>
        <w:rPr>
          <w:sz w:val="20"/>
          <w:szCs w:val="20"/>
          <w:color w:val="auto"/>
        </w:rPr>
      </w:pPr>
      <w:r>
        <w:rPr>
          <w:rFonts w:ascii="Arial" w:cs="Arial" w:eastAsia="Arial" w:hAnsi="Arial"/>
          <w:sz w:val="17"/>
          <w:szCs w:val="17"/>
          <w:color w:val="auto"/>
        </w:rPr>
        <w:t>Orion is subject to various claims and legal proceedings arising in the ordinary course of business. Orion does not believe the final resolution of any of such claims or legal proceedings will have a material adverse effect on Orion’s future results of operations or financial condition.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State Tax Assessment</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During fiscal 2018, Orion was notified of a pending sales and use tax audit by the Wisconsin Department of Revenue for the period covering April 1, 2013 through March 31, 2017. Although the final resolution of Orion's sales and use tax audit is uncertain, the ultimate disposition of this matter is not expected to have a material adverse effect on Orion's future results of operations or financial conditions.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NOTE 16 — SHAREHOLDERS’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Rights Plan</w:t>
      </w:r>
    </w:p>
    <w:p>
      <w:pPr>
        <w:spacing w:after="0" w:line="171" w:lineRule="exact"/>
        <w:rPr>
          <w:sz w:val="20"/>
          <w:szCs w:val="20"/>
          <w:color w:val="auto"/>
        </w:rPr>
      </w:pPr>
    </w:p>
    <w:p>
      <w:pPr>
        <w:jc w:val="both"/>
        <w:ind w:firstLine="489"/>
        <w:spacing w:after="0" w:line="311" w:lineRule="auto"/>
        <w:rPr>
          <w:sz w:val="20"/>
          <w:szCs w:val="20"/>
          <w:color w:val="auto"/>
        </w:rPr>
      </w:pPr>
      <w:r>
        <w:rPr>
          <w:rFonts w:ascii="Arial" w:cs="Arial" w:eastAsia="Arial" w:hAnsi="Arial"/>
          <w:sz w:val="16"/>
          <w:szCs w:val="16"/>
          <w:color w:val="auto"/>
        </w:rPr>
        <w:t>On January 3, 2019, Orion entered into Amendment No. 1 to the Rights Agreement, which amended the Rights Agreement dated as of January 7, 2009 and extended its terms by three years to January 7, 2022. Under the amendment, each common share purchase right (a “Right”), if exercisable, will initially represent the right to purchase from Orion, one share of Orion’s common stock, no par value per share, for a purchase price of $7.00 per share.</w:t>
      </w:r>
    </w:p>
    <w:p>
      <w:pPr>
        <w:spacing w:after="0" w:line="95"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The Rights will not be exercisable (and will be transferable only with Orion’s common stock) until a “Distribution Date” occurs (or the Rights are earlier redeemed or expire). A Distribution Date generally will occur on the earlier of a public announcement that a person or group of affiliated or associated persons (“Acquiring Person”) has acquired beneficial ownership of 20% or more of Orion’s outstanding common stock (“Shares Acquisition Date”) or 10 business days after the commencement of, or the announcement of an intention to make, a tender offer or exchange offer that would result in any such person or group of persons acquiring such beneficial ownership.</w:t>
      </w:r>
    </w:p>
    <w:p>
      <w:pPr>
        <w:spacing w:after="0" w:line="134" w:lineRule="exact"/>
        <w:rPr>
          <w:sz w:val="20"/>
          <w:szCs w:val="20"/>
          <w:color w:val="auto"/>
        </w:rPr>
      </w:pPr>
    </w:p>
    <w:p>
      <w:pPr>
        <w:jc w:val="both"/>
        <w:ind w:firstLine="493"/>
        <w:spacing w:after="0" w:line="254" w:lineRule="auto"/>
        <w:rPr>
          <w:sz w:val="20"/>
          <w:szCs w:val="20"/>
          <w:color w:val="auto"/>
        </w:rPr>
      </w:pPr>
      <w:r>
        <w:rPr>
          <w:rFonts w:ascii="Arial" w:cs="Arial" w:eastAsia="Arial" w:hAnsi="Arial"/>
          <w:sz w:val="18"/>
          <w:szCs w:val="18"/>
          <w:color w:val="auto"/>
        </w:rPr>
        <w:t>If a person becomes an Acquiring Person, holders of Rights (except as otherwise provided in the Rights Agreement) will have the right to receive upon exercise that number of shares of Orion’s common stock having a market value of two times the then-current purchase price, and all Rights beneficially owned by an Acquiring Person, or by certain related parties or transferees, will be null and void. If, after a Shares Acquisition Date, Orion is acquired in a merger or other business combination transaction or 50% or more of its consolidated assets or earning power are sold, proper provision will be made so that each holder of a Right (except as otherwise provided in the Rights Agreement) will thereafter have the right to receive upon exercise that number of shares of the acquiring company’s common stock which at the time of such transaction will have a market value of two times the then-current purchase price.</w:t>
      </w:r>
    </w:p>
    <w:p>
      <w:pPr>
        <w:spacing w:after="0" w:line="14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Until a Right is exercised, the holder thereof, as such, will have no rights as a shareholder of Orion. At any time prior to a person becoming an Acquiring Person, the Board of Directors of Orion may redeem the Rights in whole, but not in part, at a price of $0.001 per Right. Unless they are extended or earlier redeemed or exchanged, the Rights will expire on January 7,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In August 2010, Orion’s Board of Directors approved a non-compensatory employee stock purchase plan, or “ESPP”. In the three months ended September 30, 2021, Orion issued 327 shares under the ESPP plan at a closing market price of $3.89.</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40" w:type="dxa"/>
            <w:vAlign w:val="bottom"/>
          </w:tcPr>
          <w:p>
            <w:pPr>
              <w:jc w:val="center"/>
              <w:ind w:left="248"/>
              <w:spacing w:after="0"/>
              <w:rPr>
                <w:sz w:val="20"/>
                <w:szCs w:val="20"/>
                <w:color w:val="auto"/>
              </w:rPr>
            </w:pPr>
            <w:r>
              <w:rPr>
                <w:rFonts w:ascii="Arial" w:cs="Arial" w:eastAsia="Arial" w:hAnsi="Arial"/>
                <w:sz w:val="14"/>
                <w:szCs w:val="14"/>
                <w:b w:val="1"/>
                <w:bCs w:val="1"/>
                <w:color w:val="auto"/>
                <w:w w:val="88"/>
              </w:rPr>
              <w:t>Shares Issued</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Closing Market</w:t>
            </w:r>
          </w:p>
        </w:tc>
        <w:tc>
          <w:tcPr>
            <w:tcW w:w="0" w:type="dxa"/>
            <w:vAlign w:val="bottom"/>
          </w:tcPr>
          <w:p>
            <w:pPr>
              <w:spacing w:after="0"/>
              <w:rPr>
                <w:sz w:val="1"/>
                <w:szCs w:val="1"/>
                <w:color w:val="auto"/>
              </w:rPr>
            </w:pPr>
          </w:p>
        </w:tc>
      </w:tr>
      <w:tr>
        <w:trPr>
          <w:trHeight w:val="149"/>
        </w:trPr>
        <w:tc>
          <w:tcPr>
            <w:tcW w:w="7720" w:type="dxa"/>
            <w:vAlign w:val="bottom"/>
          </w:tcPr>
          <w:p>
            <w:pPr>
              <w:spacing w:after="0"/>
              <w:rPr>
                <w:sz w:val="12"/>
                <w:szCs w:val="12"/>
                <w:color w:val="auto"/>
              </w:rPr>
            </w:pPr>
          </w:p>
        </w:tc>
        <w:tc>
          <w:tcPr>
            <w:tcW w:w="1240" w:type="dxa"/>
            <w:vAlign w:val="bottom"/>
          </w:tcPr>
          <w:p>
            <w:pPr>
              <w:jc w:val="center"/>
              <w:ind w:left="228"/>
              <w:spacing w:after="0" w:line="149" w:lineRule="exact"/>
              <w:rPr>
                <w:sz w:val="20"/>
                <w:szCs w:val="20"/>
                <w:color w:val="auto"/>
              </w:rPr>
            </w:pPr>
            <w:r>
              <w:rPr>
                <w:rFonts w:ascii="Arial" w:cs="Arial" w:eastAsia="Arial" w:hAnsi="Arial"/>
                <w:sz w:val="14"/>
                <w:szCs w:val="14"/>
                <w:b w:val="1"/>
                <w:bCs w:val="1"/>
                <w:color w:val="auto"/>
                <w:w w:val="95"/>
              </w:rPr>
              <w:t>Under ESPP</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w w:val="94"/>
              </w:rPr>
              <w:t>Plan</w:t>
            </w: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June 30, 2021</w:t>
            </w:r>
          </w:p>
        </w:tc>
        <w:tc>
          <w:tcPr>
            <w:tcW w:w="124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496</w:t>
            </w:r>
          </w:p>
        </w:tc>
        <w:tc>
          <w:tcPr>
            <w:tcW w:w="280" w:type="dxa"/>
            <w:vAlign w:val="bottom"/>
            <w:shd w:val="clear" w:color="auto" w:fill="CFF0FC"/>
          </w:tcPr>
          <w:p>
            <w:pPr>
              <w:spacing w:after="0"/>
              <w:rPr>
                <w:sz w:val="19"/>
                <w:szCs w:val="19"/>
                <w:color w:val="auto"/>
              </w:rPr>
            </w:pPr>
          </w:p>
        </w:tc>
        <w:tc>
          <w:tcPr>
            <w:tcW w:w="16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5.73</w:t>
            </w:r>
          </w:p>
        </w:tc>
        <w:tc>
          <w:tcPr>
            <w:tcW w:w="0" w:type="dxa"/>
            <w:vAlign w:val="bottom"/>
          </w:tcPr>
          <w:p>
            <w:pPr>
              <w:spacing w:after="0"/>
              <w:rPr>
                <w:sz w:val="1"/>
                <w:szCs w:val="1"/>
                <w:color w:val="auto"/>
              </w:rPr>
            </w:pPr>
          </w:p>
        </w:tc>
      </w:tr>
      <w:tr>
        <w:trPr>
          <w:trHeight w:val="230"/>
        </w:trPr>
        <w:tc>
          <w:tcPr>
            <w:tcW w:w="8960" w:type="dxa"/>
            <w:vAlign w:val="bottom"/>
            <w:gridSpan w:val="2"/>
          </w:tcPr>
          <w:p>
            <w:pPr>
              <w:spacing w:after="0"/>
              <w:rPr>
                <w:sz w:val="20"/>
                <w:szCs w:val="20"/>
                <w:color w:val="auto"/>
              </w:rPr>
            </w:pPr>
            <w:r>
              <w:rPr>
                <w:rFonts w:ascii="Arial" w:cs="Arial" w:eastAsia="Arial" w:hAnsi="Arial"/>
                <w:sz w:val="18"/>
                <w:szCs w:val="18"/>
                <w:color w:val="auto"/>
              </w:rPr>
              <w:t>Quarter Ended September 30, 2021</w:t>
            </w:r>
          </w:p>
        </w:tc>
        <w:tc>
          <w:tcPr>
            <w:tcW w:w="320" w:type="dxa"/>
            <w:vAlign w:val="bottom"/>
          </w:tcPr>
          <w:p>
            <w:pPr>
              <w:jc w:val="right"/>
              <w:spacing w:after="0"/>
              <w:rPr>
                <w:sz w:val="20"/>
                <w:szCs w:val="20"/>
                <w:color w:val="auto"/>
              </w:rPr>
            </w:pPr>
            <w:r>
              <w:rPr>
                <w:rFonts w:ascii="Arial" w:cs="Arial" w:eastAsia="Arial" w:hAnsi="Arial"/>
                <w:sz w:val="18"/>
                <w:szCs w:val="18"/>
                <w:color w:val="auto"/>
                <w:w w:val="93"/>
              </w:rPr>
              <w:t>327</w:t>
            </w:r>
          </w:p>
        </w:tc>
        <w:tc>
          <w:tcPr>
            <w:tcW w:w="1960" w:type="dxa"/>
            <w:vAlign w:val="bottom"/>
            <w:gridSpan w:val="2"/>
          </w:tcPr>
          <w:p>
            <w:pPr>
              <w:jc w:val="center"/>
              <w:ind w:left="190"/>
              <w:spacing w:after="0"/>
              <w:rPr>
                <w:sz w:val="20"/>
                <w:szCs w:val="20"/>
                <w:color w:val="auto"/>
              </w:rPr>
            </w:pPr>
            <w:r>
              <w:rPr>
                <w:rFonts w:ascii="Arial" w:cs="Arial" w:eastAsia="Arial" w:hAnsi="Arial"/>
                <w:sz w:val="18"/>
                <w:szCs w:val="18"/>
                <w:color w:val="auto"/>
                <w:w w:val="91"/>
              </w:rPr>
              <w:t>3.89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issued in fiscal 2022</w:t>
            </w:r>
          </w:p>
        </w:tc>
        <w:tc>
          <w:tcPr>
            <w:tcW w:w="1240" w:type="dxa"/>
            <w:vAlign w:val="bottom"/>
            <w:tcBorders>
              <w:top w:val="single" w:sz="8" w:color="auto"/>
              <w:bottom w:val="single" w:sz="8" w:color="auto"/>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823</w:t>
            </w:r>
          </w:p>
        </w:tc>
        <w:tc>
          <w:tcPr>
            <w:tcW w:w="1960" w:type="dxa"/>
            <w:vAlign w:val="bottom"/>
            <w:tcBorders>
              <w:top w:val="single" w:sz="8" w:color="CFF0FC"/>
              <w:bottom w:val="single" w:sz="8" w:color="CFF0FC"/>
            </w:tcBorders>
            <w:gridSpan w:val="2"/>
            <w:shd w:val="clear" w:color="auto" w:fill="CFF0FC"/>
          </w:tcPr>
          <w:p>
            <w:pPr>
              <w:jc w:val="center"/>
              <w:ind w:left="190"/>
              <w:spacing w:after="0"/>
              <w:rPr>
                <w:sz w:val="20"/>
                <w:szCs w:val="20"/>
                <w:color w:val="auto"/>
              </w:rPr>
            </w:pPr>
            <w:r>
              <w:rPr>
                <w:rFonts w:ascii="Arial" w:cs="Arial" w:eastAsia="Arial" w:hAnsi="Arial"/>
                <w:sz w:val="18"/>
                <w:szCs w:val="18"/>
                <w:color w:val="auto"/>
                <w:w w:val="90"/>
              </w:rPr>
              <w:t>$ 3.89 - 5.73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of shares</w:t>
      </w:r>
    </w:p>
    <w:p>
      <w:pPr>
        <w:spacing w:after="0" w:line="117" w:lineRule="exact"/>
        <w:rPr>
          <w:sz w:val="20"/>
          <w:szCs w:val="20"/>
          <w:color w:val="auto"/>
        </w:rPr>
      </w:pPr>
    </w:p>
    <w:p>
      <w:pPr>
        <w:jc w:val="both"/>
        <w:ind w:firstLine="583"/>
        <w:spacing w:after="0" w:line="279" w:lineRule="auto"/>
        <w:rPr>
          <w:sz w:val="20"/>
          <w:szCs w:val="20"/>
          <w:color w:val="auto"/>
        </w:rPr>
      </w:pPr>
      <w:r>
        <w:rPr>
          <w:rFonts w:ascii="Arial" w:cs="Arial" w:eastAsia="Arial" w:hAnsi="Arial"/>
          <w:sz w:val="17"/>
          <w:szCs w:val="17"/>
          <w:color w:val="auto"/>
        </w:rPr>
        <w:t>In March 2020, Orion filed a universal shelf registration statement with the Securities and Exchange Commission. Under the shelf registration statement, Orion currently has the flexibility to publicly offer and sell from time to time up to $100.0 million of debt and/or equity securities. The filing of the shelf registration statement may help facilitate Orion’s ability to raise public equity or debt capital to expand existing businesses, fund potential acquisitions, invest in other growth opportunities, repay existing debt, or for other general corporate purposes.</w:t>
      </w:r>
    </w:p>
    <w:p>
      <w:pPr>
        <w:spacing w:after="0" w:line="63" w:lineRule="exact"/>
        <w:rPr>
          <w:sz w:val="20"/>
          <w:szCs w:val="20"/>
          <w:color w:val="auto"/>
        </w:rPr>
      </w:pPr>
    </w:p>
    <w:p>
      <w:pPr>
        <w:jc w:val="both"/>
        <w:ind w:firstLine="583"/>
        <w:spacing w:after="0" w:line="263" w:lineRule="auto"/>
        <w:rPr>
          <w:sz w:val="20"/>
          <w:szCs w:val="20"/>
          <w:color w:val="auto"/>
        </w:rPr>
      </w:pPr>
      <w:r>
        <w:rPr>
          <w:rFonts w:ascii="Arial" w:cs="Arial" w:eastAsia="Arial" w:hAnsi="Arial"/>
          <w:sz w:val="18"/>
          <w:szCs w:val="18"/>
          <w:color w:val="auto"/>
        </w:rPr>
        <w:t>In March 2021, Orion entered into an At Market Issuance Sales Agreement to undertake an “at the market” (ATM) public equity capital raising program pursuant to which Orion may offer and sell shares of common stock from time to time, having an aggregate offering price of up to $50 million. No share sales were effected pursuant to the ATM program through September 30,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NOTE 17 — STOCK OPTIONS AND RESTRICTED SHARES</w:t>
      </w:r>
    </w:p>
    <w:p>
      <w:pPr>
        <w:spacing w:after="0" w:line="175"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color w:val="auto"/>
        </w:rPr>
        <w:t>At Orion’s 2019 annual meeting of shareholders held on August 7, 2019, Orion’s shareholders approved the Orion Energy Systems, Inc. 2016 Omnibus Incentive Plan, as amended and restated (the “Amended 2016 Plan”). The Amended 2016 Plan increased the number of shares of Orion’s common stock available for issuance under the Amended 2016 Plan from 1,750,000 shares to 3,500,000 shares (an increase of 1,750,000 shares); added a minimum vesting period for all awards granted under the Amended 2016 Plan (with limited exceptions); and added a specific prohibition on the payment of dividends and dividend equivalents on unvested awards.</w:t>
      </w:r>
    </w:p>
    <w:p>
      <w:pPr>
        <w:spacing w:after="0" w:line="134"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Amended 2016 Plan authorizes grants of equity-based and incentive cash awards to eligible participants designated by the Plan's administrator. Awards under the Amended 2016 Plan may consist of stock options, stock appreciation rights, performance shares, performance units, common stock, restricted stock, restricted stock units, incentive awards or dividend equivalent units.</w:t>
      </w:r>
    </w:p>
    <w:p>
      <w:pPr>
        <w:spacing w:after="0" w:line="130"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Prior to the 2016 Omnibus Incentive Plan, Orion maintained its 2004 Stock and Incentive Awards Plan, as amended, which authorized the grant of cash and equity awards to employees (the “2004 Plan”). No new awards are being granted under the 2004 Plan; however, all awards granted under the 2004 Plan that are outstanding will continue to be governed by the 2004 Plan. Forfeited awards originally issued under the 2004 Plan are canceled and are not available for subsequent issuance under the 2004 Plan or under the Amended 2016 Plan. The Amended 2016 Plan and the 2004 Plan also permit accelerated vesting in the event of certain changes of control of Orion as well as under other special circumstances.</w:t>
      </w:r>
    </w:p>
    <w:p>
      <w:pPr>
        <w:spacing w:after="0" w:line="122" w:lineRule="exact"/>
        <w:rPr>
          <w:sz w:val="20"/>
          <w:szCs w:val="20"/>
          <w:color w:val="auto"/>
        </w:rPr>
      </w:pPr>
    </w:p>
    <w:p>
      <w:pPr>
        <w:jc w:val="both"/>
        <w:ind w:right="20" w:firstLine="489"/>
        <w:spacing w:after="0" w:line="277" w:lineRule="auto"/>
        <w:rPr>
          <w:sz w:val="20"/>
          <w:szCs w:val="20"/>
          <w:color w:val="auto"/>
        </w:rPr>
      </w:pPr>
      <w:r>
        <w:rPr>
          <w:rFonts w:ascii="Arial" w:cs="Arial" w:eastAsia="Arial" w:hAnsi="Arial"/>
          <w:sz w:val="18"/>
          <w:szCs w:val="18"/>
          <w:color w:val="auto"/>
        </w:rPr>
        <w:t>Certain non-employee directors have from time to time elected to receive stock awards in lieu of cash compensation pursuant to elections made under Orion’s non-employee director compensation program.</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amounts of stock-based compensation were recorded (dollars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1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5"/>
          </w:tcPr>
          <w:p>
            <w:pPr>
              <w:ind w:left="18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58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27"/>
              <w:spacing w:after="0"/>
              <w:rPr>
                <w:sz w:val="20"/>
                <w:szCs w:val="20"/>
                <w:color w:val="auto"/>
              </w:rPr>
            </w:pPr>
            <w:r>
              <w:rPr>
                <w:rFonts w:ascii="Arial" w:cs="Arial" w:eastAsia="Arial" w:hAnsi="Arial"/>
                <w:sz w:val="14"/>
                <w:szCs w:val="14"/>
                <w:b w:val="1"/>
                <w:bCs w:val="1"/>
                <w:color w:val="auto"/>
                <w:w w:val="93"/>
              </w:rPr>
              <w:t>September 30,</w:t>
            </w:r>
          </w:p>
        </w:tc>
        <w:tc>
          <w:tcPr>
            <w:tcW w:w="3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800" w:type="dxa"/>
            <w:vAlign w:val="bottom"/>
            <w:tcBorders>
              <w:bottom w:val="single" w:sz="8" w:color="auto"/>
            </w:tcBorders>
          </w:tcPr>
          <w:p>
            <w:pPr>
              <w:jc w:val="right"/>
              <w:ind w:right="27"/>
              <w:spacing w:after="0" w:line="155" w:lineRule="exact"/>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7"/>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Cost of product revenue</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205</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241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360</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Research and development</w:t>
            </w:r>
          </w:p>
        </w:tc>
        <w:tc>
          <w:tcPr>
            <w:tcW w:w="7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251</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the first six months of fiscal 2022, Orion had the following activity related to its stock-based compensation: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Restricted Shares</w:t>
            </w:r>
          </w:p>
        </w:tc>
        <w:tc>
          <w:tcPr>
            <w:tcW w:w="16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 Options</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March 31, 2021</w:t>
            </w:r>
          </w:p>
        </w:tc>
        <w:tc>
          <w:tcPr>
            <w:tcW w:w="2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469,639</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196,318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Awards granted</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185,833</w:t>
            </w:r>
          </w:p>
        </w:tc>
        <w:tc>
          <w:tcPr>
            <w:tcW w:w="300" w:type="dxa"/>
            <w:vAlign w:val="bottom"/>
          </w:tcPr>
          <w:p>
            <w:pPr>
              <w:spacing w:after="0"/>
              <w:rPr>
                <w:sz w:val="19"/>
                <w:szCs w:val="19"/>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Awards vested or exercised</w:t>
            </w:r>
          </w:p>
        </w:tc>
        <w:tc>
          <w:tcPr>
            <w:tcW w:w="2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(227,366)</w:t>
            </w:r>
          </w:p>
        </w:tc>
        <w:tc>
          <w:tcPr>
            <w:tcW w:w="1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(31,045)</w:t>
            </w: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Awards forfeited</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60"/>
              <w:spacing w:after="0"/>
              <w:rPr>
                <w:sz w:val="20"/>
                <w:szCs w:val="20"/>
                <w:color w:val="auto"/>
              </w:rPr>
            </w:pPr>
            <w:r>
              <w:rPr>
                <w:rFonts w:ascii="Arial" w:cs="Arial" w:eastAsia="Arial" w:hAnsi="Arial"/>
                <w:sz w:val="18"/>
                <w:szCs w:val="18"/>
                <w:color w:val="auto"/>
              </w:rPr>
              <w:t>(22,045)</w:t>
            </w:r>
          </w:p>
        </w:tc>
      </w:tr>
      <w:tr>
        <w:trPr>
          <w:trHeight w:val="223"/>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September 30, 2021</w:t>
            </w:r>
          </w:p>
        </w:tc>
        <w:tc>
          <w:tcPr>
            <w:tcW w:w="23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428,106</w:t>
            </w:r>
          </w:p>
        </w:tc>
        <w:tc>
          <w:tcPr>
            <w:tcW w:w="300" w:type="dxa"/>
            <w:vAlign w:val="bottom"/>
            <w:tcBorders>
              <w:top w:val="single" w:sz="8" w:color="CFF0FC"/>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143,228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Per share price on grant date</w:t>
            </w:r>
          </w:p>
        </w:tc>
        <w:tc>
          <w:tcPr>
            <w:tcW w:w="24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5.98</w:t>
            </w:r>
          </w:p>
        </w:tc>
        <w:tc>
          <w:tcPr>
            <w:tcW w:w="300" w:type="dxa"/>
            <w:vAlign w:val="bottom"/>
          </w:tcPr>
          <w:p>
            <w:pPr>
              <w:spacing w:after="0"/>
              <w:rPr>
                <w:sz w:val="20"/>
                <w:szCs w:val="20"/>
                <w:color w:val="auto"/>
              </w:rPr>
            </w:pPr>
          </w:p>
        </w:tc>
        <w:tc>
          <w:tcPr>
            <w:tcW w:w="1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As of September 30, 2021, the amount of deferred stock-based compensation expense to be recognized, over a remaining period of 2.8 years, was approximately $1.7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SEGMENTS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Orion has the following business segments: Orion Engineered Services Division ("OES"), Orion Distribution Services Division ("ODS"), and Orion U.S. Markets Division ("USM"). The accounting policies are the same for each business segment as they are on a consolidated basis.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Orion Engineered Systems Division</w:t>
      </w:r>
    </w:p>
    <w:p>
      <w:pPr>
        <w:spacing w:after="0" w:line="171"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OES segment develops and sells lighting products and provides construction, engineering and maintenance services for Orion's commercial lighting and energy management systems. OES provides engineering, design, lighting products and in many cases turnkey solutions for large national accounts, governments, municipalities, schools and other customers.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Distribution Services Division</w:t>
      </w:r>
    </w:p>
    <w:p>
      <w:pPr>
        <w:spacing w:after="0" w:line="171"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The ODS segment sells lighting products through manufacturer representative agencies and a network of North American broadline electrical distributors and contractors.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Orion U.S. Markets Division</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USM segment sells commercial lighting systems and energy management systems to contractors and ESCOs.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71"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240"/>
          </w:cols>
          <w:pgMar w:left="320" w:top="598" w:right="339" w:bottom="1440" w:gutter="0" w:footer="0" w:header="0"/>
        </w:sectPr>
      </w:pPr>
    </w:p>
    <w:p>
      <w:pPr>
        <w:spacing w:after="0" w:line="243"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spacing w:after="0" w:line="5" w:lineRule="exact"/>
        <w:rPr>
          <w:sz w:val="20"/>
          <w:szCs w:val="20"/>
          <w:color w:val="auto"/>
        </w:rPr>
      </w:pPr>
    </w:p>
    <w:p>
      <w:pPr>
        <w:ind w:left="6200"/>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left="59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6350</wp:posOffset>
            </wp:positionV>
            <wp:extent cx="16116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 the Three Months Ended</w:t>
      </w:r>
    </w:p>
    <w:p>
      <w:pPr>
        <w:spacing w:after="0" w:line="4"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-3175</wp:posOffset>
            </wp:positionV>
            <wp:extent cx="161163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ind w:left="60"/>
        <w:spacing w:after="0"/>
        <w:tabs>
          <w:tab w:leader="none" w:pos="14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 w:lineRule="exact"/>
        <w:rPr>
          <w:sz w:val="20"/>
          <w:szCs w:val="20"/>
          <w:color w:val="auto"/>
        </w:rPr>
      </w:pPr>
    </w:p>
    <w:p>
      <w:pPr>
        <w:sectPr>
          <w:pgSz w:w="11900" w:h="16838" w:orient="portrait"/>
          <w:cols w:equalWidth="0" w:num="2">
            <w:col w:w="8240" w:space="720"/>
            <w:col w:w="2280"/>
          </w:cols>
          <w:pgMar w:left="320" w:top="59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26,952</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18,470</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4,281</w:t>
            </w:r>
          </w:p>
        </w:tc>
        <w:tc>
          <w:tcPr>
            <w:tcW w:w="100" w:type="dxa"/>
            <w:vAlign w:val="bottom"/>
          </w:tcPr>
          <w:p>
            <w:pPr>
              <w:spacing w:after="0"/>
              <w:rPr>
                <w:sz w:val="19"/>
                <w:szCs w:val="19"/>
                <w:color w:val="auto"/>
              </w:rPr>
            </w:pP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spacing w:after="0"/>
              <w:rPr>
                <w:sz w:val="20"/>
                <w:szCs w:val="20"/>
                <w:color w:val="auto"/>
              </w:rPr>
            </w:pPr>
            <w:r>
              <w:rPr>
                <w:rFonts w:ascii="Arial" w:cs="Arial" w:eastAsia="Arial" w:hAnsi="Arial"/>
                <w:sz w:val="18"/>
                <w:szCs w:val="18"/>
                <w:color w:val="auto"/>
              </w:rPr>
              <w:t>Orion U.S. Markets</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2,311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(1,107)</w:t>
            </w:r>
          </w:p>
        </w:tc>
        <w:tc>
          <w:tcPr>
            <w:tcW w:w="1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(1,125)</w:t>
            </w:r>
          </w:p>
        </w:tc>
      </w:tr>
      <w:tr>
        <w:trPr>
          <w:trHeight w:val="223"/>
        </w:trPr>
        <w:tc>
          <w:tcPr>
            <w:tcW w:w="58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36,510</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26,281</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598" w:right="339" w:bottom="1440" w:gutter="0" w:footer="0" w:header="0"/>
          <w:type w:val="continuous"/>
        </w:sectPr>
      </w:pPr>
    </w:p>
    <w:p>
      <w:pPr>
        <w:spacing w:after="0" w:line="74"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6350</wp:posOffset>
            </wp:positionV>
            <wp:extent cx="15944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94485" cy="8890"/>
                    </a:xfrm>
                    <a:prstGeom prst="rect">
                      <a:avLst/>
                    </a:prstGeom>
                    <a:noFill/>
                  </pic:spPr>
                </pic:pic>
              </a:graphicData>
            </a:graphic>
          </wp:anchor>
        </w:drawing>
      </w:r>
    </w:p>
    <w:p>
      <w:pPr>
        <w:spacing w:after="0" w:line="5" w:lineRule="exact"/>
        <w:rPr>
          <w:sz w:val="20"/>
          <w:szCs w:val="20"/>
          <w:color w:val="auto"/>
        </w:rPr>
      </w:pPr>
    </w:p>
    <w:p>
      <w:pPr>
        <w:ind w:left="6280"/>
        <w:spacing w:after="0"/>
        <w:rPr>
          <w:sz w:val="20"/>
          <w:szCs w:val="20"/>
          <w:color w:val="auto"/>
        </w:rPr>
      </w:pPr>
      <w:r>
        <w:rPr>
          <w:rFonts w:ascii="Arial" w:cs="Arial" w:eastAsia="Arial" w:hAnsi="Arial"/>
          <w:sz w:val="13"/>
          <w:szCs w:val="13"/>
          <w:b w:val="1"/>
          <w:bCs w:val="1"/>
          <w:color w:val="auto"/>
        </w:rPr>
        <w:t>For the Six Months Ended</w:t>
      </w:r>
    </w:p>
    <w:p>
      <w:pPr>
        <w:spacing w:after="0" w:line="4"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-3175</wp:posOffset>
            </wp:positionV>
            <wp:extent cx="159448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94485" cy="8255"/>
                    </a:xfrm>
                    <a:prstGeom prst="rect">
                      <a:avLst/>
                    </a:prstGeom>
                    <a:noFill/>
                  </pic:spPr>
                </pic:pic>
              </a:graphicData>
            </a:graphic>
          </wp:anchor>
        </w:drawing>
      </w:r>
    </w:p>
    <w:p>
      <w:pPr>
        <w:ind w:left="6260"/>
        <w:spacing w:after="0"/>
        <w:tabs>
          <w:tab w:leader="none" w:pos="7620" w:val="left"/>
        </w:tabs>
        <w:rPr>
          <w:sz w:val="20"/>
          <w:szCs w:val="20"/>
          <w:color w:val="auto"/>
        </w:rPr>
      </w:pPr>
      <w:r>
        <w:rPr>
          <w:rFonts w:ascii="Arial" w:cs="Arial" w:eastAsia="Arial" w:hAnsi="Arial"/>
          <w:sz w:val="12"/>
          <w:szCs w:val="12"/>
          <w:b w:val="1"/>
          <w:bCs w:val="1"/>
          <w:color w:val="auto"/>
        </w:rPr>
        <w:t>2021</w:t>
      </w:r>
      <w:r>
        <w:rPr>
          <w:sz w:val="20"/>
          <w:szCs w:val="20"/>
          <w:color w:val="auto"/>
        </w:rPr>
        <w:tab/>
      </w:r>
      <w:r>
        <w:rPr>
          <w:rFonts w:ascii="Arial" w:cs="Arial" w:eastAsia="Arial" w:hAnsi="Arial"/>
          <w:sz w:val="12"/>
          <w:szCs w:val="12"/>
          <w:b w:val="1"/>
          <w:bCs w:val="1"/>
          <w:color w:val="auto"/>
        </w:rPr>
        <w:t>2020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13970</wp:posOffset>
            </wp:positionV>
            <wp:extent cx="16116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11630" cy="8890"/>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For the Six Months Ended</w:t>
      </w:r>
    </w:p>
    <w:p>
      <w:pPr>
        <w:spacing w:after="0" w:line="4" w:lineRule="exact"/>
        <w:rPr>
          <w:sz w:val="20"/>
          <w:szCs w:val="20"/>
          <w:color w:val="auto"/>
        </w:rPr>
      </w:pPr>
    </w:p>
    <w:p>
      <w:pPr>
        <w:jc w:val="center"/>
        <w:ind w:right="5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-3175</wp:posOffset>
            </wp:positionV>
            <wp:extent cx="161163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tabs>
          <w:tab w:leader="none" w:pos="1360" w:val="left"/>
        </w:tabs>
        <w:rPr>
          <w:sz w:val="20"/>
          <w:szCs w:val="20"/>
          <w:color w:val="auto"/>
        </w:rPr>
      </w:pPr>
      <w:r>
        <w:rPr>
          <w:rFonts w:ascii="Arial" w:cs="Arial" w:eastAsia="Arial" w:hAnsi="Arial"/>
          <w:sz w:val="13"/>
          <w:szCs w:val="13"/>
          <w:b w:val="1"/>
          <w:bCs w:val="1"/>
          <w:color w:val="auto"/>
        </w:rPr>
        <w:t>2021</w:t>
      </w:r>
      <w:r>
        <w:rPr>
          <w:sz w:val="20"/>
          <w:szCs w:val="20"/>
          <w:color w:val="auto"/>
        </w:rPr>
        <w:tab/>
      </w:r>
      <w:r>
        <w:rPr>
          <w:rFonts w:ascii="Arial" w:cs="Arial" w:eastAsia="Arial" w:hAnsi="Arial"/>
          <w:sz w:val="13"/>
          <w:szCs w:val="13"/>
          <w:b w:val="1"/>
          <w:bCs w:val="1"/>
          <w:color w:val="auto"/>
        </w:rPr>
        <w:t>2020</w:t>
      </w:r>
    </w:p>
    <w:p>
      <w:pPr>
        <w:spacing w:after="0" w:line="11" w:lineRule="exact"/>
        <w:rPr>
          <w:sz w:val="20"/>
          <w:szCs w:val="20"/>
          <w:color w:val="auto"/>
        </w:rPr>
      </w:pPr>
    </w:p>
    <w:p>
      <w:pPr>
        <w:sectPr>
          <w:pgSz w:w="11900" w:h="16838" w:orient="portrait"/>
          <w:cols w:equalWidth="0" w:num="2">
            <w:col w:w="8300" w:space="720"/>
            <w:col w:w="2220"/>
          </w:cols>
          <w:pgMar w:left="320" w:top="598"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7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Segments:</w:t>
            </w:r>
          </w:p>
        </w:tc>
        <w:tc>
          <w:tcPr>
            <w:tcW w:w="20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Orion Engineered Systems</w:t>
            </w:r>
          </w:p>
        </w:tc>
        <w:tc>
          <w:tcPr>
            <w:tcW w:w="2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48,940</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20,726</w:t>
            </w:r>
          </w:p>
        </w:tc>
        <w:tc>
          <w:tcPr>
            <w:tcW w:w="240" w:type="dxa"/>
            <w:vAlign w:val="bottom"/>
          </w:tcPr>
          <w:p>
            <w:pPr>
              <w:spacing w:after="0"/>
              <w:rPr>
                <w:sz w:val="19"/>
                <w:szCs w:val="19"/>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6,145</w:t>
            </w:r>
          </w:p>
        </w:tc>
        <w:tc>
          <w:tcPr>
            <w:tcW w:w="160" w:type="dxa"/>
            <w:vAlign w:val="bottom"/>
          </w:tcPr>
          <w:p>
            <w:pPr>
              <w:spacing w:after="0"/>
              <w:rPr>
                <w:sz w:val="19"/>
                <w:szCs w:val="19"/>
                <w:color w:val="auto"/>
              </w:rPr>
            </w:pP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Orion Distribution Services</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13,322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12,129</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Orion U.S. Markets</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4,237</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0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(2,326)</w:t>
            </w: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71,611</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37,092</w:t>
            </w:r>
          </w:p>
        </w:tc>
        <w:tc>
          <w:tcPr>
            <w:tcW w:w="24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60" w:type="dxa"/>
            <w:vAlign w:val="bottom"/>
            <w:gridSpan w:val="7"/>
          </w:tcPr>
          <w:p>
            <w:pPr>
              <w:ind w:left="500"/>
              <w:spacing w:after="0"/>
              <w:rPr>
                <w:sz w:val="20"/>
                <w:szCs w:val="20"/>
                <w:color w:val="auto"/>
              </w:rPr>
            </w:pPr>
            <w:r>
              <w:rPr>
                <w:rFonts w:ascii="Arial" w:cs="Arial" w:eastAsia="Arial" w:hAnsi="Arial"/>
                <w:sz w:val="18"/>
                <w:szCs w:val="18"/>
                <w:color w:val="auto"/>
                <w:w w:val="89"/>
              </w:rPr>
              <w:t>Operating Income above includes a payroll tax credit for the three and six months ended September 30, 2021.</w:t>
            </w:r>
          </w:p>
        </w:tc>
        <w:tc>
          <w:tcPr>
            <w:tcW w:w="24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3760" w:type="dxa"/>
            <w:vAlign w:val="bottom"/>
          </w:tcPr>
          <w:p>
            <w:pPr>
              <w:spacing w:after="0"/>
              <w:rPr>
                <w:sz w:val="24"/>
                <w:szCs w:val="24"/>
                <w:color w:val="auto"/>
              </w:rPr>
            </w:pPr>
          </w:p>
        </w:tc>
        <w:tc>
          <w:tcPr>
            <w:tcW w:w="2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6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type w:val="continuous"/>
        </w:sectPr>
      </w:pPr>
    </w:p>
    <w:bookmarkStart w:id="18" w:name="page19"/>
    <w:bookmarkEnd w:id="18"/>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jc w:val="both"/>
        <w:ind w:firstLine="489"/>
        <w:spacing w:after="0" w:line="288" w:lineRule="auto"/>
        <w:rPr>
          <w:sz w:val="20"/>
          <w:szCs w:val="20"/>
          <w:color w:val="auto"/>
        </w:rPr>
      </w:pPr>
      <w:r>
        <w:rPr>
          <w:rFonts w:ascii="Arial" w:cs="Arial" w:eastAsia="Arial" w:hAnsi="Arial"/>
          <w:sz w:val="16"/>
          <w:szCs w:val="16"/>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2021.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firstLine="489"/>
        <w:spacing w:after="0" w:line="254" w:lineRule="auto"/>
        <w:rPr>
          <w:sz w:val="20"/>
          <w:szCs w:val="20"/>
          <w:color w:val="auto"/>
        </w:rPr>
      </w:pPr>
      <w:r>
        <w:rPr>
          <w:rFonts w:ascii="Arial" w:cs="Arial" w:eastAsia="Arial" w:hAnsi="Arial"/>
          <w:sz w:val="18"/>
          <w:szCs w:val="18"/>
          <w:color w:val="auto"/>
        </w:rPr>
        <w:t>We provide state-of-the-art light emitting diode (“LED”) lighting systems, wireless Internet of Things (“IoT”) enabled control solutions, project engineering, design energy project management and maintenance services. We help our customers achieve energy savings with healthy, safe and sustainable solutions that enable them to reduce their carbon footprint and digitize their business. We research, design, develop, manufacture, market, sell, install, and implement energy management systems consisting primarily of high-performance, energy-efficient commercial and industrial interior and exterior LED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41"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Our lighting products consist primarily of LED lighting fixtures, many of which include IoT enabled control systems. Our principal customers include large national account end-users, federal and state government facilities, large regional account end-users, electrical distributors, electrical contractors and energy service companies ("ESCOs"). Currently, most of our products are manufactured at our production facility located in Manitowoc, Wisconsin, although as the LED and related IoT market continues to evolve, we are increasingly sourcing products and components from third parties in order to provide versatility in our product development.</w:t>
      </w:r>
    </w:p>
    <w:p>
      <w:pPr>
        <w:spacing w:after="0" w:line="134"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We have experienced recent success offering our comprehensive project management services to national account customers to retrofit their multiple locations. Our comprehensive services include initial site surveys and audits, utility incentive and government subsidy management, engineering design, and project management from delivery through to installation and controls integration.</w:t>
      </w:r>
    </w:p>
    <w:p>
      <w:pPr>
        <w:spacing w:after="0" w:line="130" w:lineRule="exact"/>
        <w:rPr>
          <w:sz w:val="20"/>
          <w:szCs w:val="20"/>
          <w:color w:val="auto"/>
        </w:rPr>
      </w:pPr>
    </w:p>
    <w:p>
      <w:pPr>
        <w:jc w:val="both"/>
        <w:ind w:firstLine="489"/>
        <w:spacing w:after="0" w:line="272" w:lineRule="auto"/>
        <w:rPr>
          <w:sz w:val="20"/>
          <w:szCs w:val="20"/>
          <w:color w:val="auto"/>
        </w:rPr>
      </w:pPr>
      <w:r>
        <w:rPr>
          <w:rFonts w:ascii="Arial" w:cs="Arial" w:eastAsia="Arial" w:hAnsi="Arial"/>
          <w:sz w:val="17"/>
          <w:szCs w:val="17"/>
          <w:color w:val="auto"/>
        </w:rPr>
        <w:t>In fiscal 2021, we successfully capitalized on our capability of being a full service, turnkey provider of LED lighting and controls systems with design, build, installation and project management services, as we continued a very large project for a major national account. As a result of this success, we have begun to evolve our business strategy to focus on further expanding the nature and scope of our products and services offered to our customers. This further expansion of our products and services includes pursuing projects to develop recurring revenue streams, including providing lighting and electrical maintenance services and utilizing control sensor technology to collect data and assisting customers in the digitization of this data, along with other potential services. We also plan to pursue the expansion of our IoT, “smart-building” and “connected ceiling” and other related technology, software and controls products and services that we offer to our customers. We currently plan 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jc w:val="both"/>
        <w:spacing w:after="0" w:line="255" w:lineRule="auto"/>
        <w:rPr>
          <w:sz w:val="20"/>
          <w:szCs w:val="20"/>
          <w:color w:val="auto"/>
        </w:rPr>
      </w:pPr>
      <w:r>
        <w:rPr>
          <w:rFonts w:ascii="Arial" w:cs="Arial" w:eastAsia="Arial" w:hAnsi="Arial"/>
          <w:sz w:val="18"/>
          <w:szCs w:val="18"/>
          <w:color w:val="auto"/>
        </w:rPr>
        <w:t>investing significant time, resources and capital into expanding our offerings in these areas with no expectation that they will result in us realizing material revenue in the near term and without any assurance they will succeed or be profitable. In fact, it is likely that these efforts will reduce our profitability, at least in the near term as we invest resources and incur expenses to develop these offerings. While we intend to pursue these expansion strategies organically, we also are actively exploring potential business acquisitions which would more quickly add these types of expanded and different capabilities to our product and services offerings. It is possible that one or more of such potential acquisitions, if successfully completed, could significantly change, and potentially transform, the nature and extent of our business.</w:t>
      </w:r>
    </w:p>
    <w:p>
      <w:pPr>
        <w:spacing w:after="0" w:line="138" w:lineRule="exact"/>
        <w:rPr>
          <w:sz w:val="20"/>
          <w:szCs w:val="20"/>
          <w:color w:val="auto"/>
        </w:rPr>
      </w:pPr>
    </w:p>
    <w:p>
      <w:pPr>
        <w:jc w:val="both"/>
        <w:ind w:firstLine="489"/>
        <w:spacing w:after="0" w:line="271" w:lineRule="auto"/>
        <w:rPr>
          <w:sz w:val="20"/>
          <w:szCs w:val="20"/>
          <w:color w:val="auto"/>
        </w:rPr>
      </w:pPr>
      <w:r>
        <w:rPr>
          <w:rFonts w:ascii="Arial" w:cs="Arial" w:eastAsia="Arial" w:hAnsi="Arial"/>
          <w:sz w:val="17"/>
          <w:szCs w:val="17"/>
          <w:color w:val="auto"/>
        </w:rPr>
        <w:t>We generally do not have long-term contracts with our customers that provide us with recurring revenue from period to period and we typically generate substantially all of our revenue from sales of lighting and control systems and related services to governmental, commercial and industrial customers on a project-by-project basis. We also perform work under master services or product purchasing agreements with major customers with sales completed on a purchase order basis. In addition, in order to provide quality and timely service under our multi-location master retrofit agreements we are required to make substantial working capital expenditures and advance inventory purchases that we may not be able to recoup if the agreements or a substantial volume of purchase orders under the agreements are delayed or terminated. The loss of, or substantial reduction in sales to, any of our significant customers, or our current single largest customer, or the termination or delay of a significant volume of purchase orders by one or more key customers, could have a material adverse effect on our results of operations in any given future period.</w:t>
      </w:r>
    </w:p>
    <w:p>
      <w:pPr>
        <w:spacing w:after="0" w:line="124"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distributors and ESCOs to sell to their own customer bases.</w:t>
      </w:r>
    </w:p>
    <w:p>
      <w:pPr>
        <w:spacing w:after="0" w:line="130" w:lineRule="exact"/>
        <w:rPr>
          <w:sz w:val="20"/>
          <w:szCs w:val="20"/>
          <w:color w:val="auto"/>
        </w:rPr>
      </w:pPr>
    </w:p>
    <w:p>
      <w:pPr>
        <w:ind w:right="220" w:firstLine="489"/>
        <w:spacing w:after="0" w:line="263" w:lineRule="auto"/>
        <w:rPr>
          <w:sz w:val="20"/>
          <w:szCs w:val="20"/>
          <w:color w:val="auto"/>
        </w:rPr>
      </w:pPr>
      <w:r>
        <w:rPr>
          <w:rFonts w:ascii="Arial" w:cs="Arial" w:eastAsia="Arial" w:hAnsi="Arial"/>
          <w:sz w:val="18"/>
          <w:szCs w:val="18"/>
          <w:color w:val="auto"/>
        </w:rPr>
        <w:t>The gross profits of our products and services can vary significantly depending upon the types of products and services we sell, with margins typically ranging from 10% to 50%. As a result, a change in the total mix of our sales among higher or lower margin products and services can cause our profitability to fluctuate from period to period.</w:t>
      </w:r>
    </w:p>
    <w:p>
      <w:pPr>
        <w:spacing w:after="0" w:line="130" w:lineRule="exact"/>
        <w:rPr>
          <w:sz w:val="20"/>
          <w:szCs w:val="20"/>
          <w:color w:val="auto"/>
        </w:rPr>
      </w:pPr>
    </w:p>
    <w:p>
      <w:pPr>
        <w:ind w:right="100" w:firstLine="489"/>
        <w:spacing w:after="0" w:line="259" w:lineRule="auto"/>
        <w:rPr>
          <w:sz w:val="20"/>
          <w:szCs w:val="20"/>
          <w:color w:val="auto"/>
        </w:rPr>
      </w:pPr>
      <w:r>
        <w:rPr>
          <w:rFonts w:ascii="Arial" w:cs="Arial" w:eastAsia="Arial" w:hAnsi="Arial"/>
          <w:sz w:val="18"/>
          <w:szCs w:val="18"/>
          <w:color w:val="auto"/>
        </w:rPr>
        <w:t>Our fiscal year ends on March 31. Our current fiscal year ends on March 31, 2022 and is referred to as “fiscal 2022”. We refer to our just completed fiscal year, which ended on March 31, 2021, as "fiscal 2021", and our prior fiscal year which ended on March 31, 2020 as "fiscal 2020". Our fiscal first quarter of each fiscal year ends on June 30, our fiscal second quarter ends on September 30, our fiscal third quarter ends on December 31 and our fiscal fourth quarter ends on March 31.</w:t>
      </w:r>
    </w:p>
    <w:p>
      <w:pPr>
        <w:spacing w:after="0" w:line="133" w:lineRule="exact"/>
        <w:rPr>
          <w:sz w:val="20"/>
          <w:szCs w:val="20"/>
          <w:color w:val="auto"/>
        </w:rPr>
      </w:pPr>
    </w:p>
    <w:p>
      <w:pPr>
        <w:ind w:right="300" w:firstLine="489"/>
        <w:spacing w:after="0" w:line="311" w:lineRule="auto"/>
        <w:rPr>
          <w:sz w:val="20"/>
          <w:szCs w:val="20"/>
          <w:color w:val="auto"/>
        </w:rPr>
      </w:pPr>
      <w:r>
        <w:rPr>
          <w:rFonts w:ascii="Arial" w:cs="Arial" w:eastAsia="Arial" w:hAnsi="Arial"/>
          <w:sz w:val="16"/>
          <w:szCs w:val="16"/>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Engineered Systems Division ("OES"), and Orion Distribution Services Division ("ODS"), and Orion U.S. Markets Division (“USM”).</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175" w:lineRule="exact"/>
        <w:rPr>
          <w:sz w:val="20"/>
          <w:szCs w:val="20"/>
          <w:color w:val="auto"/>
        </w:rPr>
      </w:pPr>
    </w:p>
    <w:p>
      <w:pPr>
        <w:jc w:val="both"/>
        <w:ind w:firstLine="599"/>
        <w:spacing w:after="0" w:line="272" w:lineRule="auto"/>
        <w:rPr>
          <w:sz w:val="20"/>
          <w:szCs w:val="20"/>
          <w:color w:val="auto"/>
        </w:rPr>
      </w:pPr>
      <w:r>
        <w:rPr>
          <w:rFonts w:ascii="Arial" w:cs="Arial" w:eastAsia="Arial" w:hAnsi="Arial"/>
          <w:sz w:val="17"/>
          <w:szCs w:val="17"/>
          <w:color w:val="auto"/>
        </w:rPr>
        <w:t>The COVID-19 pandemic has disrupted business, trade, commerce, financial and credit markets, in the U.S. and globally. Our business was adversely impacted by measures taken by government entities and others to control the spread of the virus beginning in March 2020, the last few weeks of our 2020 fiscal year, and continuing most significantly into the second quarter of fiscal 2021. During the second half of fiscal 2021, we experienced a rebound in business. Project installations for our largest customer recommenced, as well installations for a new large specialty retail customer began, with no further significant COVID-19 impacts. However, some customers continue to refrain from awarding new projects and potential future risks remain due to the COVID-19 pandemic. In addition, the COVID-19 pandemic has led to various supply chain challenges, especially related to shipping and logistics issues, component availability, rising input costs and a tight labor market.</w:t>
      </w:r>
    </w:p>
    <w:p>
      <w:pPr>
        <w:spacing w:after="0" w:line="123" w:lineRule="exact"/>
        <w:rPr>
          <w:sz w:val="20"/>
          <w:szCs w:val="20"/>
          <w:color w:val="auto"/>
        </w:rPr>
      </w:pPr>
    </w:p>
    <w:p>
      <w:pPr>
        <w:jc w:val="both"/>
        <w:ind w:firstLine="599"/>
        <w:spacing w:after="0" w:line="286" w:lineRule="auto"/>
        <w:rPr>
          <w:sz w:val="20"/>
          <w:szCs w:val="20"/>
          <w:color w:val="auto"/>
        </w:rPr>
      </w:pPr>
      <w:r>
        <w:rPr>
          <w:rFonts w:ascii="Arial" w:cs="Arial" w:eastAsia="Arial" w:hAnsi="Arial"/>
          <w:sz w:val="17"/>
          <w:szCs w:val="17"/>
          <w:color w:val="auto"/>
        </w:rPr>
        <w:t>As a deemed essential business, we provide products and services to ensure energy and lighting infrastructure and we therefore have continued to operate throughout the pandemic. We have implemented a number of safety protocols, including limiting travel and restricting access to our facilities along with monitoring processes, physical distancing, physical barriers, enhanced cleaning procedures and requiring face coverings.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0" w:name="page21"/>
    <w:bookmarkEnd w:id="20"/>
    <w:p>
      <w:pPr>
        <w:jc w:val="both"/>
        <w:ind w:firstLine="599"/>
        <w:spacing w:after="0" w:line="288" w:lineRule="auto"/>
        <w:rPr>
          <w:sz w:val="20"/>
          <w:szCs w:val="20"/>
          <w:color w:val="auto"/>
        </w:rPr>
      </w:pPr>
      <w:r>
        <w:rPr>
          <w:rFonts w:ascii="Arial" w:cs="Arial" w:eastAsia="Arial" w:hAnsi="Arial"/>
          <w:sz w:val="16"/>
          <w:szCs w:val="16"/>
          <w:color w:val="auto"/>
        </w:rPr>
        <w:t>As part of our response to the impacts of the COVID-19 pandemic, during the fourth quarter of fiscal 2020 we implemented a number of cost reduction and cash conservation measures, including reducing headcount. While certain restrictions have lessened in certain jurisdictions, some restrictions continue. Some customers and projects are in areas where travel restrictions have been imposed, certain customers have either closed or reduced on-site activities, and timelines for the completion of several projects have been delayed, extended or terminated. These modifications to our business practices, including any future actions we take, may cause us to experience reductions in productivity and disruptions to our business routines. In addition, we are required to make substantial working capital expenditures and advance inventory purchases that we may not be able to recoup if our customer agreements or a substantial volume of purchase orders under our customer agreements are delayed or terminated as a result of COVID-19. At this time, it is not possible to predict the overall impact the COVID-19 pandemic will have on our business, liquidity, capital resources or financial results, although the economic and regulatory impacts of COVID-19 significantly reduced our revenue and profitability in the first half of fiscal 2021. If there is a resurgence of the COVID-19 pandemic, our markets and operations could be impacted and there could be a further material adverse financial impact.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Three Months Ended September 30, 2021 versus Three Months Ended September 30, 2020</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4"/>
                <w:szCs w:val="14"/>
                <w:b w:val="1"/>
                <w:bCs w:val="1"/>
                <w:color w:val="auto"/>
              </w:rPr>
              <w:t>Three Months Ended September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9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20,260</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37.3%</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76.2%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8,699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6,021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44.5%</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23.8%</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38.9%</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18,864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14,402</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31.0%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51.7%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18.8%</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25,722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19,018</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35.3%</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70.5%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48.5%</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29.5%</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2,753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2,638</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424</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(25.2)%</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0.9%</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169.2%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1300.0%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(75.4)%</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171.6%</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13.7%</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1,343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1320" w:type="dxa"/>
            <w:vAlign w:val="bottom"/>
            <w:gridSpan w:val="2"/>
          </w:tcPr>
          <w:p>
            <w:pPr>
              <w:jc w:val="right"/>
              <w:ind w:right="340"/>
              <w:spacing w:after="0"/>
              <w:rPr>
                <w:sz w:val="20"/>
                <w:szCs w:val="20"/>
                <w:color w:val="auto"/>
              </w:rPr>
            </w:pPr>
            <w:r>
              <w:rPr>
                <w:rFonts w:ascii="Arial" w:cs="Arial" w:eastAsia="Arial" w:hAnsi="Arial"/>
                <w:sz w:val="18"/>
                <w:szCs w:val="18"/>
                <w:color w:val="auto"/>
              </w:rPr>
              <w:t>NM</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3,659</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91.2%</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-98425</wp:posOffset>
            </wp:positionV>
            <wp:extent cx="38322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832225" cy="8890"/>
                    </a:xfrm>
                    <a:prstGeom prst="rect">
                      <a:avLst/>
                    </a:prstGeom>
                    <a:noFill/>
                  </pic:spPr>
                </pic:pic>
              </a:graphicData>
            </a:graphic>
          </wp:anchor>
        </w:drawing>
      </w:r>
    </w:p>
    <w:p>
      <w:pPr>
        <w:spacing w:after="0" w:line="134"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37.3%, or $7.6 million, for the second quarter of fiscal 2022 versus the second quarter of fiscal 2021.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increased 44.5%, or $2.7 million, for the second quarter of fiscal 2022 versus the second quarter of fiscal 2021. The increase in product and service revenue was primarily due to an increase of installations from our existing large national retail customer, which represented 58.9% of total revenue in the second quarter of fiscal 2022.</w:t>
      </w:r>
    </w:p>
    <w:p>
      <w:pPr>
        <w:spacing w:after="0" w:line="133"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i w:val="1"/>
          <w:iCs w:val="1"/>
          <w:color w:val="auto"/>
        </w:rPr>
        <w:t xml:space="preserve">Cost of Revenue and Gross Profit. </w:t>
      </w:r>
      <w:r>
        <w:rPr>
          <w:rFonts w:ascii="Arial" w:cs="Arial" w:eastAsia="Arial" w:hAnsi="Arial"/>
          <w:sz w:val="18"/>
          <w:szCs w:val="18"/>
          <w:color w:val="auto"/>
        </w:rPr>
        <w:t>Gross profit percentage increased to 29.5% of revenue in the second quarter of fiscal 2022 from 27.6% in the</w:t>
      </w:r>
      <w:r>
        <w:rPr>
          <w:rFonts w:ascii="Arial" w:cs="Arial" w:eastAsia="Arial" w:hAnsi="Arial"/>
          <w:sz w:val="18"/>
          <w:szCs w:val="18"/>
          <w:i w:val="1"/>
          <w:iCs w:val="1"/>
          <w:color w:val="auto"/>
        </w:rPr>
        <w:t xml:space="preserve"> </w:t>
      </w:r>
      <w:r>
        <w:rPr>
          <w:rFonts w:ascii="Arial" w:cs="Arial" w:eastAsia="Arial" w:hAnsi="Arial"/>
          <w:sz w:val="18"/>
          <w:szCs w:val="18"/>
          <w:color w:val="auto"/>
        </w:rPr>
        <w:t>second quarter of fiscal 2021, due primarily to an improvement in product margin on the coverage of fixed costs with significantly higher sales volume, as well as a portion of a payroll tax credit. Cost of product revenue increased 31.0%, or $4.5 million, in the second quarter of fiscal 2022 versus the second quarter of fiscal 2021 due to the increase in our sales. Cost of service revenue increased 48.6%, or $2.2 million, in the second quarter of fiscal 2022 versus the second quarter of fiscal 2021 due to the increase in sales.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4.4%, or $0.1 million, in the second quarter of fiscal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fiscal 2021. This comparative increase was primarily due to lower employment costs in fiscal 2021 as a result of COVID-19 related actions, partially offset by the payroll tax credit.</w:t>
      </w:r>
    </w:p>
    <w:p>
      <w:pPr>
        <w:spacing w:after="0" w:line="130"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15.2%, or $0.4 million, in the second quarter of fiscal 2022 compared to the second</w:t>
      </w:r>
      <w:r>
        <w:rPr>
          <w:rFonts w:ascii="Arial" w:cs="Arial" w:eastAsia="Arial" w:hAnsi="Arial"/>
          <w:sz w:val="18"/>
          <w:szCs w:val="18"/>
          <w:i w:val="1"/>
          <w:iCs w:val="1"/>
          <w:color w:val="auto"/>
        </w:rPr>
        <w:t xml:space="preserve"> </w:t>
      </w:r>
      <w:r>
        <w:rPr>
          <w:rFonts w:ascii="Arial" w:cs="Arial" w:eastAsia="Arial" w:hAnsi="Arial"/>
          <w:sz w:val="18"/>
          <w:szCs w:val="18"/>
          <w:color w:val="auto"/>
        </w:rPr>
        <w:t>quarter of fiscal 2021. This comparative increase was primarily due to an increase in commission expense on higher sales and increased travel, partially offset by the payroll tax credit.</w:t>
      </w:r>
    </w:p>
    <w:p>
      <w:pPr>
        <w:spacing w:after="0" w:line="130" w:lineRule="exact"/>
        <w:rPr>
          <w:sz w:val="20"/>
          <w:szCs w:val="20"/>
          <w:color w:val="auto"/>
        </w:rPr>
      </w:pPr>
    </w:p>
    <w:p>
      <w:pPr>
        <w:jc w:val="both"/>
        <w:ind w:right="20" w:firstLine="489"/>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25.2%, or $0.1 million, in the second quarter of fiscal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fiscal 2021, primarily due to the payroll tax credit.</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Interest Expense. </w:t>
      </w:r>
      <w:r>
        <w:rPr>
          <w:rFonts w:ascii="Arial" w:cs="Arial" w:eastAsia="Arial" w:hAnsi="Arial"/>
          <w:sz w:val="18"/>
          <w:szCs w:val="18"/>
          <w:color w:val="auto"/>
        </w:rPr>
        <w:t>Interest expense in the second quarter of fiscal 2022 increased $14 thousand compared to the second quarter of fiscal 2021. The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interest expense was primarily due to comparatively higher sales of receivables than in the prior 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OES segment develops and sells lighting products and provides construction, engineering and maintenance services for our commercial lighting and energy management systems. OES provides engineering, design, lighting products and in many cases turnkey solutions for large national accounts, governments, municipalities, schools and other customers.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ind w:left="380"/>
              <w:spacing w:after="0"/>
              <w:rPr>
                <w:sz w:val="20"/>
                <w:szCs w:val="20"/>
                <w:color w:val="auto"/>
              </w:rPr>
            </w:pPr>
            <w:r>
              <w:rPr>
                <w:rFonts w:ascii="Arial" w:cs="Arial" w:eastAsia="Arial" w:hAnsi="Arial"/>
                <w:sz w:val="14"/>
                <w:szCs w:val="14"/>
                <w:b w:val="1"/>
                <w:bCs w:val="1"/>
                <w:color w:val="auto"/>
                <w:w w:val="98"/>
              </w:rPr>
              <w:t>Three Months Ended September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26,952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18,470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4,281</w:t>
            </w:r>
          </w:p>
        </w:tc>
        <w:tc>
          <w:tcPr>
            <w:tcW w:w="240" w:type="dxa"/>
            <w:vAlign w:val="bottom"/>
          </w:tcPr>
          <w:p>
            <w:pPr>
              <w:spacing w:after="0"/>
              <w:rPr>
                <w:sz w:val="19"/>
                <w:szCs w:val="19"/>
                <w:color w:val="auto"/>
              </w:rPr>
            </w:pPr>
          </w:p>
        </w:tc>
        <w:tc>
          <w:tcPr>
            <w:tcW w:w="880" w:type="dxa"/>
            <w:vAlign w:val="bottom"/>
            <w:gridSpan w:val="2"/>
          </w:tcPr>
          <w:p>
            <w:pPr>
              <w:jc w:val="right"/>
              <w:ind w:right="619"/>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1,764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9.6%</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OES segment revenue in the second quarter of fiscal 2022 increased $8.5 million from the second quarter of fiscal 2021 due to multiple projects put on hold in the prior year period as a result of COVID-19, including the projects with one large national account customer that represented 58.9% of total revenue in the second quarter of fiscal 2022. The project installations for this customer resumed during the second quarter of fiscal 2021. This sales increase led to a corresponding increase in operating income in this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ODS segment focuses on selling lighting products through manufacturer representative agencies and a network of North American broadline and electrical distributors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8"/>
              </w:rPr>
              <w:t>Three Months Ended September 30,</w:t>
            </w:r>
          </w:p>
        </w:tc>
        <w:tc>
          <w:tcPr>
            <w:tcW w:w="10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519"/>
              <w:spacing w:after="0" w:line="13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8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4,036</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67"/>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5,500</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Operating income</w:t>
            </w:r>
          </w:p>
        </w:tc>
        <w:tc>
          <w:tcPr>
            <w:tcW w:w="34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560</w:t>
            </w:r>
          </w:p>
        </w:tc>
        <w:tc>
          <w:tcPr>
            <w:tcW w:w="220" w:type="dxa"/>
            <w:vAlign w:val="bottom"/>
          </w:tcPr>
          <w:p>
            <w:pPr>
              <w:spacing w:after="0"/>
              <w:rPr>
                <w:sz w:val="19"/>
                <w:szCs w:val="19"/>
                <w:color w:val="auto"/>
              </w:rPr>
            </w:pPr>
          </w:p>
        </w:tc>
        <w:tc>
          <w:tcPr>
            <w:tcW w:w="920" w:type="dxa"/>
            <w:vAlign w:val="bottom"/>
            <w:gridSpan w:val="2"/>
          </w:tcPr>
          <w:p>
            <w:pPr>
              <w:jc w:val="right"/>
              <w:ind w:right="667"/>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926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16.8%</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ODS segment revenue in the second quarter of fiscal 2022 decreased $1.5 million, compared to the second quarter of fiscal 2021, primarily due to a decrease in sales to one customer who represented 7.5% of total revenue in the second quarter of fiscal 2021. The decrease in sales resulted in a corresponding decrease in operating income in this segment based on operating leverage.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right="20" w:firstLine="493"/>
        <w:spacing w:after="0" w:line="277" w:lineRule="auto"/>
        <w:rPr>
          <w:sz w:val="20"/>
          <w:szCs w:val="20"/>
          <w:color w:val="auto"/>
        </w:rPr>
      </w:pPr>
      <w:r>
        <w:rPr>
          <w:rFonts w:ascii="Arial" w:cs="Arial" w:eastAsia="Arial" w:hAnsi="Arial"/>
          <w:sz w:val="18"/>
          <w:szCs w:val="18"/>
          <w:color w:val="auto"/>
        </w:rPr>
        <w:t>Our USM segment sells commercial lighting systems and energy management systems to the wholesale contractor markets. USM customers include ESCOs and contractors.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w w:val="98"/>
              </w:rPr>
              <w:t>Three Months Ended September 30,</w:t>
            </w:r>
          </w:p>
        </w:tc>
        <w:tc>
          <w:tcPr>
            <w:tcW w:w="10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5,522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2,311</w:t>
            </w:r>
          </w:p>
        </w:tc>
        <w:tc>
          <w:tcPr>
            <w:tcW w:w="3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34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1,297</w:t>
            </w:r>
          </w:p>
        </w:tc>
        <w:tc>
          <w:tcPr>
            <w:tcW w:w="240" w:type="dxa"/>
            <w:vAlign w:val="bottom"/>
          </w:tcPr>
          <w:p>
            <w:pPr>
              <w:spacing w:after="0"/>
              <w:rPr>
                <w:sz w:val="19"/>
                <w:szCs w:val="19"/>
                <w:color w:val="auto"/>
              </w:rPr>
            </w:pPr>
          </w:p>
        </w:tc>
        <w:tc>
          <w:tcPr>
            <w:tcW w:w="9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23.5%</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493"/>
        <w:spacing w:after="0" w:line="263" w:lineRule="auto"/>
        <w:rPr>
          <w:sz w:val="20"/>
          <w:szCs w:val="20"/>
          <w:color w:val="auto"/>
        </w:rPr>
      </w:pPr>
      <w:r>
        <w:rPr>
          <w:rFonts w:ascii="Arial" w:cs="Arial" w:eastAsia="Arial" w:hAnsi="Arial"/>
          <w:sz w:val="18"/>
          <w:szCs w:val="18"/>
          <w:color w:val="auto"/>
        </w:rPr>
        <w:t>USM segment revenue in the second quarter of fiscal 2022 increased $3.2 million, compared to the second quarter of fiscal 2021, primarily due to the impact of COVID-19 in the fiscal 2021 period, and resulted in a corresponding increase in operating income in this segment based on operating leverage.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Six Months Ended September 30, 2021 versus Six Months Ended September 30, 2020</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6"/>
          </w:tcPr>
          <w:p>
            <w:pPr>
              <w:jc w:val="right"/>
              <w:ind w:right="1000"/>
              <w:spacing w:after="0"/>
              <w:rPr>
                <w:sz w:val="20"/>
                <w:szCs w:val="20"/>
                <w:color w:val="auto"/>
              </w:rPr>
            </w:pPr>
            <w:r>
              <w:rPr>
                <w:rFonts w:ascii="Arial" w:cs="Arial" w:eastAsia="Arial" w:hAnsi="Arial"/>
                <w:sz w:val="14"/>
                <w:szCs w:val="14"/>
                <w:b w:val="1"/>
                <w:bCs w:val="1"/>
                <w:color w:val="auto"/>
              </w:rPr>
              <w:t>Six Months Ended September 30,</w:t>
            </w:r>
          </w:p>
        </w:tc>
        <w:tc>
          <w:tcPr>
            <w:tcW w:w="10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3"/>
                <w:szCs w:val="13"/>
                <w:color w:val="auto"/>
              </w:rPr>
            </w:pPr>
          </w:p>
        </w:tc>
        <w:tc>
          <w:tcPr>
            <w:tcW w:w="9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2021</w:t>
            </w:r>
          </w:p>
        </w:tc>
        <w:tc>
          <w:tcPr>
            <w:tcW w:w="34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4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1"/>
                <w:szCs w:val="11"/>
                <w:color w:val="auto"/>
              </w:rPr>
            </w:pPr>
          </w:p>
        </w:tc>
        <w:tc>
          <w:tcPr>
            <w:tcW w:w="9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9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4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9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Change</w:t>
            </w:r>
          </w:p>
        </w:tc>
        <w:tc>
          <w:tcPr>
            <w:tcW w:w="340" w:type="dxa"/>
            <w:vAlign w:val="bottom"/>
            <w:tcBorders>
              <w:bottom w:val="single" w:sz="8" w:color="CFF0FC"/>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34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56,057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29,961</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87.1%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78.3%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Service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15,554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7,131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118.1%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21.7%</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71,611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37,092</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93.1%</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Cost of product revenue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38,297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21,631</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77.0%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12,296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5,563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121.0%</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17.2%</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Total cost of revenue</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50,593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27,194</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86.0%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70.6%</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profit</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9,898</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112.3%</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29.4%</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c>
          <w:tcPr>
            <w:tcW w:w="2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16.1%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4,186</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41.7%</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8.3%</w:t>
            </w: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839</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22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20"/>
                <w:szCs w:val="20"/>
                <w:color w:val="auto"/>
              </w:rPr>
            </w:pPr>
            <w:r>
              <w:rPr>
                <w:rFonts w:ascii="Arial" w:cs="Arial" w:eastAsia="Arial" w:hAnsi="Arial"/>
                <w:sz w:val="18"/>
                <w:szCs w:val="18"/>
                <w:color w:val="auto"/>
              </w:rPr>
              <w:t>Other income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(97.7)%</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(34.0)%</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Amortization of debt issue costs</w:t>
            </w:r>
          </w:p>
        </w:tc>
        <w:tc>
          <w:tcPr>
            <w:tcW w:w="16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(74.6)%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Income (loss) before income tax</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8,386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2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11.7%</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80" w:type="dxa"/>
            <w:vAlign w:val="bottom"/>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3.1%</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6,169</w:t>
            </w:r>
          </w:p>
        </w:tc>
        <w:tc>
          <w:tcPr>
            <w:tcW w:w="140" w:type="dxa"/>
            <w:vAlign w:val="bottom"/>
            <w:shd w:val="clear" w:color="auto" w:fill="CFF0FC"/>
          </w:tcPr>
          <w:p>
            <w:pPr>
              <w:spacing w:after="0"/>
              <w:rPr>
                <w:sz w:val="19"/>
                <w:szCs w:val="19"/>
                <w:color w:val="auto"/>
              </w:rPr>
            </w:pPr>
          </w:p>
        </w:tc>
        <w:tc>
          <w:tcPr>
            <w:tcW w:w="8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220" w:type="dxa"/>
            <w:vAlign w:val="bottom"/>
            <w:vMerge w:val="continue"/>
            <w:shd w:val="clear" w:color="auto" w:fill="CFF0FC"/>
          </w:tcPr>
          <w:p>
            <w:pPr>
              <w:spacing w:after="0"/>
              <w:rPr>
                <w:sz w:val="19"/>
                <w:szCs w:val="19"/>
                <w:color w:val="auto"/>
              </w:rPr>
            </w:pPr>
          </w:p>
        </w:tc>
        <w:tc>
          <w:tcPr>
            <w:tcW w:w="98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9"/>
              </w:rPr>
              <w:t>NM</w:t>
            </w:r>
          </w:p>
        </w:tc>
        <w:tc>
          <w:tcPr>
            <w:tcW w:w="340" w:type="dxa"/>
            <w:vAlign w:val="bottom"/>
            <w:vMerge w:val="continue"/>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49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-98425</wp:posOffset>
            </wp:positionV>
            <wp:extent cx="3832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32225" cy="8255"/>
                    </a:xfrm>
                    <a:prstGeom prst="rect">
                      <a:avLst/>
                    </a:prstGeom>
                    <a:noFill/>
                  </pic:spPr>
                </pic:pic>
              </a:graphicData>
            </a:graphic>
          </wp:anchor>
        </w:drawing>
      </w:r>
    </w:p>
    <w:p>
      <w:pPr>
        <w:spacing w:after="0" w:line="134" w:lineRule="exact"/>
        <w:rPr>
          <w:sz w:val="20"/>
          <w:szCs w:val="20"/>
          <w:color w:val="auto"/>
        </w:rPr>
      </w:pPr>
    </w:p>
    <w:p>
      <w:pPr>
        <w:jc w:val="both"/>
        <w:ind w:firstLine="493"/>
        <w:spacing w:after="0" w:line="25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Product revenue increased 87.1%, or $26.1 million, for the first six months of fiscal 2022 versus the first six months of fiscal 2021.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increased 118.1%, or $8.4 million, for the first six months of fiscal 2022 versus the first six months of fiscal 2021. The increase in product and service revenue was primarily due to multiple projects put on hold in the prior year period as a result of COVID-19 concerns, including the projects for one large national account customer which represented 55.0% of total revenue in the first six months of fiscal 2022, but only 44.4% of total revenue in the first six months of fiscal 2021.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3" w:name="page24"/>
    <w:bookmarkEnd w:id="23"/>
    <w:p>
      <w:pPr>
        <w:jc w:val="both"/>
        <w:ind w:firstLine="489"/>
        <w:spacing w:after="0" w:line="257" w:lineRule="auto"/>
        <w:rPr>
          <w:sz w:val="20"/>
          <w:szCs w:val="20"/>
          <w:color w:val="auto"/>
        </w:rPr>
      </w:pPr>
      <w:r>
        <w:rPr>
          <w:rFonts w:ascii="Arial" w:cs="Arial" w:eastAsia="Arial" w:hAnsi="Arial"/>
          <w:sz w:val="18"/>
          <w:szCs w:val="18"/>
          <w:i w:val="1"/>
          <w:iCs w:val="1"/>
          <w:color w:val="auto"/>
        </w:rPr>
        <w:t xml:space="preserve">Cost of Revenue and Gross Profit. </w:t>
      </w:r>
      <w:r>
        <w:rPr>
          <w:rFonts w:ascii="Arial" w:cs="Arial" w:eastAsia="Arial" w:hAnsi="Arial"/>
          <w:sz w:val="18"/>
          <w:szCs w:val="18"/>
          <w:color w:val="auto"/>
        </w:rPr>
        <w:t>Gross profit percentage increased to 29.4% of revenue in the first six months of fiscal 2022 from 26.7%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six months of fiscal 2021, due primarily to an improvement in product margin on the coverage of fixed costs with significantly higher sales volume, as well as the payroll tax credit. Cost of product revenue increased 77.0%, or $16.7 million, in the first six months of fiscal 2022 versus the first six months of fiscal 2021 due to the increase in our sales. Cost of service revenue increased 121.0%, or $6.7 million, in the first six months of fiscal 2022 versus the first six months of fiscal 2021 due to the increase in sales.</w:t>
      </w:r>
    </w:p>
    <w:p>
      <w:pPr>
        <w:spacing w:after="0" w:line="22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Operating Expenses</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16.1%, or $0.8 million, in the first six months of fiscal 2022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the first six months of fiscal 2021. This comparative increase was primarily due to lower employment costs in fiscal 2021 as a result of COVID-19 related actions, partially offset by the payroll tax credit.</w:t>
      </w:r>
    </w:p>
    <w:p>
      <w:pPr>
        <w:spacing w:after="0" w:line="130"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41.7%, or $1.7 million, in the first six months of fiscal 2022 compared to the first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fiscal 2021. This comparative increase was primarily due to an increase in commission expense on higher sales, partially offset by the payroll tax credit.</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Research and development expenses decreased 7.9%, or $0.1 million, in the first six months of fiscal 2022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six months of fiscal 2021. This comparative decrease was primarily due to the payroll tax credit.</w:t>
      </w:r>
    </w:p>
    <w:p>
      <w:pPr>
        <w:spacing w:after="0" w:line="116" w:lineRule="exact"/>
        <w:rPr>
          <w:sz w:val="20"/>
          <w:szCs w:val="20"/>
          <w:color w:val="auto"/>
        </w:rPr>
      </w:pPr>
    </w:p>
    <w:p>
      <w:pPr>
        <w:ind w:right="20" w:firstLine="489"/>
        <w:spacing w:after="0" w:line="308"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in the first six months of fiscal 2022 decreased by 34.0%, or $17 thousand, from the first six months of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2021. The decrease in interest expense was primarily due to comparatively lower sales of receivables than in the prior year period.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Engineered Systems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OES segment operating results (dollars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7"/>
          </w:tcPr>
          <w:p>
            <w:pPr>
              <w:ind w:left="480"/>
              <w:spacing w:after="0"/>
              <w:rPr>
                <w:sz w:val="20"/>
                <w:szCs w:val="20"/>
                <w:color w:val="auto"/>
              </w:rPr>
            </w:pPr>
            <w:r>
              <w:rPr>
                <w:rFonts w:ascii="Arial" w:cs="Arial" w:eastAsia="Arial" w:hAnsi="Arial"/>
                <w:sz w:val="14"/>
                <w:szCs w:val="14"/>
                <w:b w:val="1"/>
                <w:bCs w:val="1"/>
                <w:color w:val="auto"/>
              </w:rPr>
              <w:t>Six Months Ended September 30,</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120" w:type="dxa"/>
            <w:vAlign w:val="bottom"/>
          </w:tcPr>
          <w:p>
            <w:pPr>
              <w:spacing w:after="0"/>
              <w:rPr>
                <w:sz w:val="11"/>
                <w:szCs w:val="11"/>
                <w:color w:val="auto"/>
              </w:rPr>
            </w:pPr>
          </w:p>
        </w:tc>
        <w:tc>
          <w:tcPr>
            <w:tcW w:w="236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vMerge w:val="restart"/>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120" w:type="dxa"/>
            <w:vAlign w:val="bottom"/>
            <w:tcBorders>
              <w:bottom w:val="single" w:sz="8" w:color="CFF0FC"/>
            </w:tcBorders>
          </w:tcPr>
          <w:p>
            <w:pPr>
              <w:spacing w:after="0"/>
              <w:rPr>
                <w:sz w:val="14"/>
                <w:szCs w:val="14"/>
                <w:color w:val="auto"/>
              </w:rPr>
            </w:pPr>
          </w:p>
        </w:tc>
        <w:tc>
          <w:tcPr>
            <w:tcW w:w="236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39"/>
              <w:spacing w:after="0"/>
              <w:rPr>
                <w:sz w:val="20"/>
                <w:szCs w:val="20"/>
                <w:color w:val="auto"/>
              </w:rPr>
            </w:pPr>
            <w:r>
              <w:rPr>
                <w:rFonts w:ascii="Arial" w:cs="Arial" w:eastAsia="Arial" w:hAnsi="Arial"/>
                <w:sz w:val="14"/>
                <w:szCs w:val="14"/>
                <w:b w:val="1"/>
                <w:bCs w:val="1"/>
                <w:color w:val="auto"/>
                <w:w w:val="89"/>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36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48,940</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ind w:right="62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20,726</w:t>
            </w: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color w:val="auto"/>
              </w:rPr>
              <w:t>Operating income (loss)</w:t>
            </w:r>
          </w:p>
        </w:tc>
        <w:tc>
          <w:tcPr>
            <w:tcW w:w="31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6,145</w:t>
            </w:r>
          </w:p>
        </w:tc>
        <w:tc>
          <w:tcPr>
            <w:tcW w:w="220" w:type="dxa"/>
            <w:vAlign w:val="bottom"/>
          </w:tcPr>
          <w:p>
            <w:pPr>
              <w:spacing w:after="0"/>
              <w:rPr>
                <w:sz w:val="19"/>
                <w:szCs w:val="19"/>
                <w:color w:val="auto"/>
              </w:rPr>
            </w:pPr>
          </w:p>
        </w:tc>
        <w:tc>
          <w:tcPr>
            <w:tcW w:w="88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4120" w:type="dxa"/>
            <w:vAlign w:val="bottom"/>
          </w:tcPr>
          <w:p>
            <w:pPr>
              <w:spacing w:after="0"/>
              <w:rPr>
                <w:sz w:val="20"/>
                <w:szCs w:val="20"/>
                <w:color w:val="auto"/>
              </w:rPr>
            </w:pPr>
            <w:r>
              <w:rPr>
                <w:rFonts w:ascii="Arial" w:cs="Arial" w:eastAsia="Arial" w:hAnsi="Arial"/>
                <w:sz w:val="18"/>
                <w:szCs w:val="18"/>
                <w:color w:val="auto"/>
              </w:rPr>
              <w:t>Operating margin</w:t>
            </w:r>
          </w:p>
        </w:tc>
        <w:tc>
          <w:tcPr>
            <w:tcW w:w="2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500" w:hanging="492"/>
        <w:spacing w:after="0"/>
        <w:tabs>
          <w:tab w:leader="none" w:pos="500" w:val="left"/>
        </w:tabs>
        <w:numPr>
          <w:ilvl w:val="0"/>
          <w:numId w:val="5"/>
        </w:numPr>
        <w:rPr>
          <w:rFonts w:ascii="Arial" w:cs="Arial" w:eastAsia="Arial" w:hAnsi="Arial"/>
          <w:sz w:val="14"/>
          <w:szCs w:val="14"/>
          <w:color w:val="auto"/>
        </w:rPr>
      </w:pPr>
      <w:r>
        <w:rPr>
          <w:rFonts w:ascii="Arial" w:cs="Arial" w:eastAsia="Arial" w:hAnsi="Arial"/>
          <w:sz w:val="14"/>
          <w:szCs w:val="14"/>
          <w:color w:val="auto"/>
        </w:rPr>
        <w:t>NM - Not Meaningful</w:t>
      </w:r>
    </w:p>
    <w:p>
      <w:pPr>
        <w:spacing w:after="0" w:line="182" w:lineRule="exact"/>
        <w:rPr>
          <w:sz w:val="20"/>
          <w:szCs w:val="20"/>
          <w:color w:val="auto"/>
        </w:rPr>
      </w:pPr>
    </w:p>
    <w:p>
      <w:pPr>
        <w:jc w:val="both"/>
        <w:ind w:firstLine="493"/>
        <w:spacing w:after="0" w:line="301" w:lineRule="auto"/>
        <w:rPr>
          <w:sz w:val="20"/>
          <w:szCs w:val="20"/>
          <w:color w:val="auto"/>
        </w:rPr>
      </w:pPr>
      <w:r>
        <w:rPr>
          <w:rFonts w:ascii="Arial" w:cs="Arial" w:eastAsia="Arial" w:hAnsi="Arial"/>
          <w:sz w:val="16"/>
          <w:szCs w:val="16"/>
          <w:color w:val="auto"/>
        </w:rPr>
        <w:t>OES segment revenue in the first six months of fiscal 2022 increased $28.2 million from the first six months of fiscal 2021 due to multiple projects put on hold in the prior year period as a result of COVID-19, including the projects with one large national account customer that represented 55.0% of total revenue in the first six months of fiscal 2022, but only 44.4% of total revenue in the first six months fiscal 2021. The project installations for this customer resumed during the first six months of fiscal 2021. This sales increase led to a corresponding increase in operating income in this segment.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Orion Distribution Services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ODS segment operating results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7"/>
          </w:tcPr>
          <w:p>
            <w:pPr>
              <w:jc w:val="center"/>
              <w:ind w:left="195"/>
              <w:spacing w:after="0"/>
              <w:rPr>
                <w:sz w:val="20"/>
                <w:szCs w:val="20"/>
                <w:color w:val="auto"/>
              </w:rPr>
            </w:pPr>
            <w:r>
              <w:rPr>
                <w:rFonts w:ascii="Arial" w:cs="Arial" w:eastAsia="Arial" w:hAnsi="Arial"/>
                <w:sz w:val="14"/>
                <w:szCs w:val="14"/>
                <w:b w:val="1"/>
                <w:bCs w:val="1"/>
                <w:color w:val="auto"/>
                <w:w w:val="93"/>
              </w:rPr>
              <w:t>Six Months Ended September 30,</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64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6480" w:type="dxa"/>
            <w:vAlign w:val="bottom"/>
            <w:tcBorders>
              <w:bottom w:val="single" w:sz="8" w:color="CFF0FC"/>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13,322</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12,129</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Operating income</w:t>
            </w: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2,682</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1,678</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80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20.1%</w:t>
            </w: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13.8%</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ODS segment revenue in the first six months of fiscal 2022 increased $1.2 million, compared to the first six months of fiscal 2021, primarily due to the increase of sales to one customer in the fiscal 2022 period, and resulted in a corresponding increase in operating income in this segment based on operating leverage.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Orion U.S. Markets Division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USM segment operating results (dollars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w w:val="99"/>
              </w:rPr>
              <w:t>Six Months Ended September 30,</w:t>
            </w:r>
          </w:p>
        </w:tc>
        <w:tc>
          <w:tcPr>
            <w:tcW w:w="10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900" w:type="dxa"/>
            <w:vAlign w:val="bottom"/>
          </w:tcPr>
          <w:p>
            <w:pPr>
              <w:spacing w:after="0"/>
              <w:rPr>
                <w:sz w:val="11"/>
                <w:szCs w:val="11"/>
                <w:color w:val="auto"/>
              </w:rPr>
            </w:pPr>
          </w:p>
        </w:tc>
        <w:tc>
          <w:tcPr>
            <w:tcW w:w="260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vMerge w:val="restart"/>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jc w:val="right"/>
              <w:ind w:right="499"/>
              <w:spacing w:after="0" w:line="133"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900" w:type="dxa"/>
            <w:vAlign w:val="bottom"/>
            <w:tcBorders>
              <w:bottom w:val="single" w:sz="8" w:color="CFF0FC"/>
            </w:tcBorders>
          </w:tcPr>
          <w:p>
            <w:pPr>
              <w:spacing w:after="0"/>
              <w:rPr>
                <w:sz w:val="14"/>
                <w:szCs w:val="14"/>
                <w:color w:val="auto"/>
              </w:rPr>
            </w:pPr>
          </w:p>
        </w:tc>
        <w:tc>
          <w:tcPr>
            <w:tcW w:w="260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59"/>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9,349</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4,237</w:t>
            </w: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120.7%</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Operating income</w:t>
            </w:r>
          </w:p>
        </w:tc>
        <w:tc>
          <w:tcPr>
            <w:tcW w:w="344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1,948</w:t>
            </w:r>
          </w:p>
        </w:tc>
        <w:tc>
          <w:tcPr>
            <w:tcW w:w="240" w:type="dxa"/>
            <w:vAlign w:val="bottom"/>
          </w:tcPr>
          <w:p>
            <w:pPr>
              <w:spacing w:after="0"/>
              <w:rPr>
                <w:sz w:val="19"/>
                <w:szCs w:val="19"/>
                <w:color w:val="auto"/>
              </w:rPr>
            </w:pPr>
          </w:p>
        </w:tc>
        <w:tc>
          <w:tcPr>
            <w:tcW w:w="920" w:type="dxa"/>
            <w:vAlign w:val="bottom"/>
            <w:gridSpan w:val="2"/>
          </w:tcPr>
          <w:p>
            <w:pPr>
              <w:jc w:val="right"/>
              <w:ind w:right="659"/>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385</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29"/>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Operating margin</w:t>
            </w:r>
          </w:p>
        </w:tc>
        <w:tc>
          <w:tcPr>
            <w:tcW w:w="26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20.8%</w:t>
            </w: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9.1%</w:t>
            </w:r>
          </w:p>
        </w:tc>
        <w:tc>
          <w:tcPr>
            <w:tcW w:w="2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firstLine="493"/>
        <w:spacing w:after="0" w:line="263" w:lineRule="auto"/>
        <w:rPr>
          <w:sz w:val="20"/>
          <w:szCs w:val="20"/>
          <w:color w:val="auto"/>
        </w:rPr>
      </w:pPr>
      <w:r>
        <w:rPr>
          <w:rFonts w:ascii="Arial" w:cs="Arial" w:eastAsia="Arial" w:hAnsi="Arial"/>
          <w:sz w:val="18"/>
          <w:szCs w:val="18"/>
          <w:color w:val="auto"/>
        </w:rPr>
        <w:t>USM segment revenue in the first six months of fiscal 2022 increased $5.1 million, compared to the first six months of fiscal 2021, primarily due to the impact of COVID-19 in the fiscal 2021 period, and resulted in a corresponding increase in operating income in this segment based on operating leverage.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jc w:val="both"/>
        <w:ind w:right="20" w:firstLine="493"/>
        <w:spacing w:after="0" w:line="311" w:lineRule="auto"/>
        <w:rPr>
          <w:sz w:val="20"/>
          <w:szCs w:val="20"/>
          <w:color w:val="auto"/>
        </w:rPr>
      </w:pPr>
      <w:r>
        <w:rPr>
          <w:rFonts w:ascii="Arial" w:cs="Arial" w:eastAsia="Arial" w:hAnsi="Arial"/>
          <w:sz w:val="16"/>
          <w:szCs w:val="16"/>
          <w:color w:val="auto"/>
        </w:rPr>
        <w:t>We had approximately $14.7 million in cash and cash equivalents as of September 30, 2021, compared to $19.4 million at March 31, 2021. Our cash position decreased as a result of an increase in accounts receivable of $10.0 million, a decrease in accrued expenses of $1.9 million, and a non-controlling equity investment of $0.5 million, partially offset by net income of $6.2 million, and a decrease in revenue earned not billed of $0.7 million.</w:t>
      </w:r>
    </w:p>
    <w:p>
      <w:pPr>
        <w:spacing w:after="0" w:line="9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future liquidity needs and forecasted cash flows are dependent upon many factors, including our relative revenue, gross profits, cash management practices, cost reduction initiatives, working capital management, capital expenditures, pending or future litigation results and cost containment measures. In addition, we tend to experience higher working capital costs when we increase sales from existing levels.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six months ended September 30, 2021 and 2020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2800" w:type="dxa"/>
            <w:vAlign w:val="bottom"/>
            <w:tcBorders>
              <w:bottom w:val="single" w:sz="8" w:color="auto"/>
            </w:tcBorders>
            <w:gridSpan w:val="5"/>
          </w:tcPr>
          <w:p>
            <w:pPr>
              <w:jc w:val="right"/>
              <w:ind w:right="29"/>
              <w:spacing w:after="0"/>
              <w:rPr>
                <w:sz w:val="20"/>
                <w:szCs w:val="20"/>
                <w:color w:val="auto"/>
              </w:rPr>
            </w:pPr>
            <w:r>
              <w:rPr>
                <w:rFonts w:ascii="Arial" w:cs="Arial" w:eastAsia="Arial" w:hAnsi="Arial"/>
                <w:sz w:val="14"/>
                <w:szCs w:val="14"/>
                <w:b w:val="1"/>
                <w:bCs w:val="1"/>
                <w:color w:val="auto"/>
              </w:rPr>
              <w:t>Six Months Ended September 30,</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52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0" w:type="dxa"/>
            <w:vAlign w:val="bottom"/>
          </w:tcPr>
          <w:p>
            <w:pPr>
              <w:jc w:val="right"/>
              <w:ind w:right="27"/>
              <w:spacing w:after="0" w:line="155" w:lineRule="exact"/>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2480" w:type="dxa"/>
            <w:vAlign w:val="bottom"/>
            <w:tcBorders>
              <w:top w:val="single" w:sz="8" w:color="CFF0FC"/>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(3,956)</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(14,138)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Investing activities</w:t>
            </w:r>
          </w:p>
        </w:tc>
        <w:tc>
          <w:tcPr>
            <w:tcW w:w="2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(802)</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24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(2,062)</w:t>
            </w: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Decrease in cash and cash equivalents</w:t>
            </w:r>
          </w:p>
        </w:tc>
        <w:tc>
          <w:tcPr>
            <w:tcW w:w="24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(4,653)</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82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(16,627)</w:t>
            </w:r>
          </w:p>
        </w:tc>
        <w:tc>
          <w:tcPr>
            <w:tcW w:w="12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i w:val="1"/>
          <w:iCs w:val="1"/>
          <w:color w:val="auto"/>
        </w:rPr>
        <w:t xml:space="preserve">Cash Flows Related to Operating Activities. </w:t>
      </w:r>
      <w:r>
        <w:rPr>
          <w:rFonts w:ascii="Arial" w:cs="Arial" w:eastAsia="Arial" w:hAnsi="Arial"/>
          <w:sz w:val="18"/>
          <w:szCs w:val="18"/>
          <w:color w:val="auto"/>
        </w:rPr>
        <w:t>Cash used in operating activities primarily consists of net income (loss) adjusted for certain non-cash</w:t>
      </w:r>
      <w:r>
        <w:rPr>
          <w:rFonts w:ascii="Arial" w:cs="Arial" w:eastAsia="Arial" w:hAnsi="Arial"/>
          <w:sz w:val="18"/>
          <w:szCs w:val="18"/>
          <w:i w:val="1"/>
          <w:iCs w:val="1"/>
          <w:color w:val="auto"/>
        </w:rPr>
        <w:t xml:space="preserve"> </w:t>
      </w:r>
      <w:r>
        <w:rPr>
          <w:rFonts w:ascii="Arial" w:cs="Arial" w:eastAsia="Arial" w:hAnsi="Arial"/>
          <w:sz w:val="18"/>
          <w:szCs w:val="18"/>
          <w:color w:val="auto"/>
        </w:rPr>
        <w:t>items, including depreciation, amortization of intangible assets, stock-based compensation, amortization of debt issue costs, provisions for reserves, and the effect of changes in working capital and other activities.</w:t>
      </w:r>
    </w:p>
    <w:p>
      <w:pPr>
        <w:spacing w:after="0" w:line="130" w:lineRule="exact"/>
        <w:rPr>
          <w:sz w:val="20"/>
          <w:szCs w:val="20"/>
          <w:color w:val="auto"/>
        </w:rPr>
      </w:pPr>
    </w:p>
    <w:p>
      <w:pPr>
        <w:jc w:val="both"/>
        <w:ind w:right="20" w:firstLine="489"/>
        <w:spacing w:after="0" w:line="263" w:lineRule="auto"/>
        <w:rPr>
          <w:sz w:val="20"/>
          <w:szCs w:val="20"/>
          <w:color w:val="auto"/>
        </w:rPr>
      </w:pPr>
      <w:r>
        <w:rPr>
          <w:rFonts w:ascii="Arial" w:cs="Arial" w:eastAsia="Arial" w:hAnsi="Arial"/>
          <w:sz w:val="18"/>
          <w:szCs w:val="18"/>
          <w:color w:val="auto"/>
        </w:rPr>
        <w:t>Cash used in operating activities for the first six months of fiscal 2022 was $4.0 million and consisted of our net income of $6.2 million adjusted for non-cash expense items of $3.5 million offset by working capital uses of $13.7 million, the largest of which was a $10.0 million increase in accounts receivable.</w:t>
      </w:r>
    </w:p>
    <w:p>
      <w:pPr>
        <w:spacing w:after="0" w:line="130"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Cash used in operating activities for the first six months of fiscal 2021 was $14.1 million and consisted of our net loss adjusted for non-cash expense items of $1.0 million and net cash used in changes in operating assets and liabilities of $15.2 million. Cash used by operating assets and liabilities consisted primarily of a decrease in accounts payable of $6.3 million and an increase in accounts receivable of $5.9 million and inventory of $3.7 million based on increased second quarter and anticipated third quarter sales.</w:t>
      </w:r>
    </w:p>
    <w:p>
      <w:pPr>
        <w:spacing w:after="0" w:line="133"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i w:val="1"/>
          <w:iCs w:val="1"/>
          <w:color w:val="auto"/>
        </w:rPr>
        <w:t>Cash Flows Related to Investing Activities</w:t>
      </w:r>
      <w:r>
        <w:rPr>
          <w:rFonts w:ascii="Arial" w:cs="Arial" w:eastAsia="Arial" w:hAnsi="Arial"/>
          <w:sz w:val="18"/>
          <w:szCs w:val="18"/>
          <w:color w:val="auto"/>
        </w:rPr>
        <w:t>. Cash used in investing activities of $0.8 million in the first six months of fiscal 2022 consisted primarily</w:t>
      </w:r>
      <w:r>
        <w:rPr>
          <w:rFonts w:ascii="Arial" w:cs="Arial" w:eastAsia="Arial" w:hAnsi="Arial"/>
          <w:sz w:val="18"/>
          <w:szCs w:val="18"/>
          <w:i w:val="1"/>
          <w:iCs w:val="1"/>
          <w:color w:val="auto"/>
        </w:rPr>
        <w:t xml:space="preserve"> </w:t>
      </w:r>
      <w:r>
        <w:rPr>
          <w:rFonts w:ascii="Arial" w:cs="Arial" w:eastAsia="Arial" w:hAnsi="Arial"/>
          <w:sz w:val="18"/>
          <w:szCs w:val="18"/>
          <w:color w:val="auto"/>
        </w:rPr>
        <w:t>of cash paid for a non-controlling equity stake in ndustrial, Inc. of $0.5 million and purchases of property and equipment.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5" w:name="page26"/>
    <w:bookmarkEnd w:id="25"/>
    <w:p>
      <w:pPr>
        <w:ind w:left="500"/>
        <w:spacing w:after="0"/>
        <w:rPr>
          <w:sz w:val="20"/>
          <w:szCs w:val="20"/>
          <w:color w:val="auto"/>
        </w:rPr>
      </w:pPr>
      <w:r>
        <w:rPr>
          <w:rFonts w:ascii="Arial" w:cs="Arial" w:eastAsia="Arial" w:hAnsi="Arial"/>
          <w:sz w:val="16"/>
          <w:szCs w:val="16"/>
          <w:color w:val="auto"/>
        </w:rPr>
        <w:t>Cash used in investing activities of $0.3 million in the first six months of fiscal 2021 consisted primarily of purchases of property and equipment.</w:t>
      </w:r>
    </w:p>
    <w:p>
      <w:pPr>
        <w:spacing w:after="0" w:line="194" w:lineRule="exact"/>
        <w:rPr>
          <w:sz w:val="20"/>
          <w:szCs w:val="20"/>
          <w:color w:val="auto"/>
        </w:rPr>
      </w:pPr>
    </w:p>
    <w:p>
      <w:pPr>
        <w:jc w:val="both"/>
        <w:ind w:right="20" w:firstLine="489"/>
        <w:spacing w:after="0" w:line="277" w:lineRule="auto"/>
        <w:rPr>
          <w:sz w:val="20"/>
          <w:szCs w:val="20"/>
          <w:color w:val="auto"/>
        </w:rPr>
      </w:pPr>
      <w:r>
        <w:rPr>
          <w:rFonts w:ascii="Arial" w:cs="Arial" w:eastAsia="Arial" w:hAnsi="Arial"/>
          <w:sz w:val="18"/>
          <w:szCs w:val="18"/>
          <w:i w:val="1"/>
          <w:iCs w:val="1"/>
          <w:color w:val="auto"/>
        </w:rPr>
        <w:t xml:space="preserve">Cash Flows Related to Financing Activities. </w:t>
      </w:r>
      <w:r>
        <w:rPr>
          <w:rFonts w:ascii="Arial" w:cs="Arial" w:eastAsia="Arial" w:hAnsi="Arial"/>
          <w:sz w:val="18"/>
          <w:szCs w:val="18"/>
          <w:color w:val="auto"/>
        </w:rPr>
        <w:t>Cash provided by financing activities of $0.1 million in the first six months of fiscal 2022 consisted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proceeds from employee equity exercises.</w:t>
      </w:r>
    </w:p>
    <w:p>
      <w:pPr>
        <w:spacing w:after="0" w:line="116"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Cash used in financing activities of $2.1 million in the first six months of fiscal 2021 consisted primarily of net repayments of $(2.1) million on our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Working Capital</w:t>
      </w:r>
    </w:p>
    <w:p>
      <w:pPr>
        <w:spacing w:after="0" w:line="171" w:lineRule="exact"/>
        <w:rPr>
          <w:sz w:val="20"/>
          <w:szCs w:val="20"/>
          <w:color w:val="auto"/>
        </w:rPr>
      </w:pPr>
    </w:p>
    <w:p>
      <w:pPr>
        <w:jc w:val="both"/>
        <w:ind w:firstLine="489"/>
        <w:spacing w:after="0" w:line="257" w:lineRule="auto"/>
        <w:rPr>
          <w:sz w:val="20"/>
          <w:szCs w:val="20"/>
          <w:color w:val="auto"/>
        </w:rPr>
      </w:pPr>
      <w:r>
        <w:rPr>
          <w:rFonts w:ascii="Arial" w:cs="Arial" w:eastAsia="Arial" w:hAnsi="Arial"/>
          <w:sz w:val="18"/>
          <w:szCs w:val="18"/>
          <w:color w:val="auto"/>
        </w:rPr>
        <w:t>Our net working capital as of September 30, 2021 was $34.7 million, consisting of $62.6 million in current assets and $27.8 million in current liabilities. Our net working capital as of March 31, 2021 was $26.2 million, consisting of $56.5 million in current assets and $30.4 million in current liabilities. Our current accounts receivable, net balance increased by $10.0 million from the fiscal 2021 year-end primarily due to the timing of invoicing and customer collections. Our accrued expenses decreased from our fiscal 2021 year-end by $1.9 million due primarily to a decrease in accrued project costs.</w:t>
      </w:r>
    </w:p>
    <w:p>
      <w:pPr>
        <w:spacing w:after="0" w:line="134" w:lineRule="exact"/>
        <w:rPr>
          <w:sz w:val="20"/>
          <w:szCs w:val="20"/>
          <w:color w:val="auto"/>
        </w:rPr>
      </w:pPr>
    </w:p>
    <w:p>
      <w:pPr>
        <w:jc w:val="both"/>
        <w:ind w:firstLine="489"/>
        <w:spacing w:after="0" w:line="255" w:lineRule="auto"/>
        <w:rPr>
          <w:sz w:val="20"/>
          <w:szCs w:val="20"/>
          <w:color w:val="auto"/>
        </w:rPr>
      </w:pPr>
      <w:r>
        <w:rPr>
          <w:rFonts w:ascii="Arial" w:cs="Arial" w:eastAsia="Arial" w:hAnsi="Arial"/>
          <w:sz w:val="18"/>
          <w:szCs w:val="18"/>
          <w:color w:val="auto"/>
        </w:rPr>
        <w:t>We generally attempt to maintain at least a three-month supply of on-hand inventory of purchased components and raw materials to meet anticipated demand, as well as to reduce our risk of unexpected raw material or component shortages or supply interruptions. Because of recent supply chain challenges, we have been making additional incremental inventory purchases. Our accounts receivables, inventory and payables may increase to the extent our revenue and order levels increase. In addition, in order to provide quality and timely service under our multi-location master retrofit agreements we are required to make substantial working capital expenditures and advance inventory purchases, including purchases to support the provision of products and services to our largest customer.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Agreement</w:t>
      </w:r>
    </w:p>
    <w:p>
      <w:pPr>
        <w:spacing w:after="0" w:line="171"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On December 29, 2020, we entered into a new $25 million Loan and Security Agreement (the “Credit Agreement”) with Bank of America, N.A., as lender (the “Lender”). The Credit Agreement replaced our prior $20.15 million secured revolving credit and security agreement (the “Prior Credit Agreement”).</w:t>
      </w:r>
    </w:p>
    <w:p>
      <w:pPr>
        <w:spacing w:after="0" w:line="130" w:lineRule="exact"/>
        <w:rPr>
          <w:sz w:val="20"/>
          <w:szCs w:val="20"/>
          <w:color w:val="auto"/>
        </w:rPr>
      </w:pPr>
    </w:p>
    <w:p>
      <w:pPr>
        <w:jc w:val="both"/>
        <w:ind w:firstLine="489"/>
        <w:spacing w:after="0" w:line="277" w:lineRule="auto"/>
        <w:rPr>
          <w:sz w:val="20"/>
          <w:szCs w:val="20"/>
          <w:color w:val="auto"/>
        </w:rPr>
      </w:pPr>
      <w:r>
        <w:rPr>
          <w:rFonts w:ascii="Arial" w:cs="Arial" w:eastAsia="Arial" w:hAnsi="Arial"/>
          <w:sz w:val="18"/>
          <w:szCs w:val="18"/>
          <w:color w:val="auto"/>
        </w:rPr>
        <w:t>The replacement of the Prior Credit Agreement with the Credit Agreement provides us with increased financing capacity and liquidity to fund our operations and implement our strategic plans.</w:t>
      </w:r>
    </w:p>
    <w:p>
      <w:pPr>
        <w:spacing w:after="0" w:line="116" w:lineRule="exact"/>
        <w:rPr>
          <w:sz w:val="20"/>
          <w:szCs w:val="20"/>
          <w:color w:val="auto"/>
        </w:rPr>
      </w:pPr>
    </w:p>
    <w:p>
      <w:pPr>
        <w:jc w:val="both"/>
        <w:ind w:firstLine="489"/>
        <w:spacing w:after="0" w:line="259" w:lineRule="auto"/>
        <w:rPr>
          <w:sz w:val="20"/>
          <w:szCs w:val="20"/>
          <w:color w:val="auto"/>
        </w:rPr>
      </w:pPr>
      <w:r>
        <w:rPr>
          <w:rFonts w:ascii="Arial" w:cs="Arial" w:eastAsia="Arial" w:hAnsi="Arial"/>
          <w:sz w:val="18"/>
          <w:szCs w:val="18"/>
          <w:color w:val="auto"/>
        </w:rPr>
        <w:t>The Credit Agreement provides for a five-year $25.0 million revolving credit facility (the “Credit Facility”) that matures on December 29, 2025. Borrowings under the Credit Facility are subject to a borrowing base requirement based on eligible receivables, inventory and cash. As of September 30, 2021, the borrowing base supports the full availability of the Credit Facility. As of September 30, 2021, no amounts were borrowed under the Credit Facility.</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is secured by a first lien security interest in substantially all of our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ind w:firstLine="489"/>
        <w:spacing w:after="0" w:line="263" w:lineRule="auto"/>
        <w:rPr>
          <w:sz w:val="20"/>
          <w:szCs w:val="20"/>
          <w:color w:val="auto"/>
        </w:rPr>
      </w:pPr>
      <w:r>
        <w:rPr>
          <w:rFonts w:ascii="Arial" w:cs="Arial" w:eastAsia="Arial" w:hAnsi="Arial"/>
          <w:sz w:val="18"/>
          <w:szCs w:val="18"/>
          <w:color w:val="auto"/>
        </w:rPr>
        <w:t>Backlog represents the amount of revenue that we expect to realize in the future as a result of firm, committed purchase orders. Backlog totaled $15.5 million and $19.2 million as of September 30, 2021 and March 31, 2021, respectively. We generally expect our backlog to be recognized as revenue within one year, although the COVID-19 pandemic may extend this time period.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Inflation</w:t>
      </w:r>
    </w:p>
    <w:p>
      <w:pPr>
        <w:spacing w:after="0" w:line="175" w:lineRule="exact"/>
        <w:rPr>
          <w:sz w:val="20"/>
          <w:szCs w:val="20"/>
          <w:color w:val="auto"/>
        </w:rPr>
      </w:pPr>
    </w:p>
    <w:p>
      <w:pPr>
        <w:jc w:val="both"/>
        <w:ind w:firstLine="493"/>
        <w:spacing w:after="0" w:line="277" w:lineRule="auto"/>
        <w:rPr>
          <w:sz w:val="20"/>
          <w:szCs w:val="20"/>
          <w:color w:val="auto"/>
        </w:rPr>
      </w:pPr>
      <w:r>
        <w:rPr>
          <w:rFonts w:ascii="Arial" w:cs="Arial" w:eastAsia="Arial" w:hAnsi="Arial"/>
          <w:sz w:val="18"/>
          <w:szCs w:val="18"/>
          <w:color w:val="auto"/>
        </w:rPr>
        <w:t>Our results from operations have not been materially affected by inflation. We are monitoring input costs and cannot currently predict the future impact to our operations by inflation.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firstLine="493"/>
        <w:spacing w:after="0" w:line="270" w:lineRule="auto"/>
        <w:rPr>
          <w:sz w:val="20"/>
          <w:szCs w:val="20"/>
          <w:color w:val="auto"/>
        </w:rPr>
      </w:pPr>
      <w:r>
        <w:rPr>
          <w:rFonts w:ascii="Arial" w:cs="Arial" w:eastAsia="Arial" w:hAnsi="Arial"/>
          <w:sz w:val="17"/>
          <w:szCs w:val="17"/>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2021. For the six months ended September 30, 2021, there were no material changes in our accounting policies.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right="20" w:firstLine="493"/>
        <w:spacing w:after="0" w:line="277" w:lineRule="auto"/>
        <w:rPr>
          <w:sz w:val="20"/>
          <w:szCs w:val="20"/>
          <w:color w:val="auto"/>
        </w:rPr>
      </w:pPr>
      <w:r>
        <w:rPr>
          <w:rFonts w:ascii="Arial" w:cs="Arial" w:eastAsia="Arial" w:hAnsi="Arial"/>
          <w:sz w:val="18"/>
          <w:szCs w:val="18"/>
          <w:color w:val="auto"/>
        </w:rPr>
        <w:t>For a complete discussion of recent accounting pronouncements, refer to Note 3 in the Condensed Consolidated Financial Statements included elsewhere in this report.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4" w:right="339" w:bottom="1440" w:gutter="0" w:footer="0" w:header="0"/>
        </w:sectPr>
      </w:pPr>
    </w:p>
    <w:bookmarkStart w:id="27" w:name="page28"/>
    <w:bookmarkEnd w:id="27"/>
    <w:p>
      <w:pPr>
        <w:spacing w:after="0"/>
        <w:tabs>
          <w:tab w:leader="none" w:pos="13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Our exposure to market risk was discussed in the “Quantitative and Qualitative Disclosures About Market Risk” section contained in our Annual Report on Form 10-K for the year ended March 31, 2021. There have been no material changes to such exposures since March 31, 2021.</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jc w:val="both"/>
        <w:ind w:firstLine="493"/>
        <w:spacing w:after="0" w:line="263"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Exchange Act is accumulated and communicated to our management, including the Chief Executive Officer and Chief Financial Officer, as appropriate, to allow timely decisions regarding required disclosure.</w:t>
      </w:r>
    </w:p>
    <w:p>
      <w:pPr>
        <w:spacing w:after="0" w:line="130" w:lineRule="exact"/>
        <w:rPr>
          <w:sz w:val="20"/>
          <w:szCs w:val="20"/>
          <w:color w:val="auto"/>
        </w:rPr>
      </w:pPr>
    </w:p>
    <w:p>
      <w:pPr>
        <w:jc w:val="both"/>
        <w:ind w:firstLine="493"/>
        <w:spacing w:after="0" w:line="259" w:lineRule="auto"/>
        <w:rPr>
          <w:sz w:val="20"/>
          <w:szCs w:val="20"/>
          <w:color w:val="auto"/>
        </w:rPr>
      </w:pPr>
      <w:r>
        <w:rPr>
          <w:rFonts w:ascii="Arial" w:cs="Arial" w:eastAsia="Arial" w:hAnsi="Arial"/>
          <w:sz w:val="18"/>
          <w:szCs w:val="18"/>
          <w:color w:val="auto"/>
        </w:rPr>
        <w:t>As of September 30, 2021, an evaluation was conducted under the supervision and with the participation of our management, including our Chief Executive Officer and Chief Financial Officer, of the effectiveness of our disclosure controls and procedures (as defined in Rule 13a-15(e) and Rule 15d-15(e) of the Exchange Act). Based on this evaluation, such officers have concluded that our disclosure controls and procedures were effective as of September 30,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jc w:val="both"/>
        <w:ind w:firstLine="493"/>
        <w:spacing w:after="0" w:line="342" w:lineRule="auto"/>
        <w:rPr>
          <w:sz w:val="20"/>
          <w:szCs w:val="20"/>
          <w:color w:val="auto"/>
        </w:rPr>
      </w:pPr>
      <w:r>
        <w:rPr>
          <w:rFonts w:ascii="Arial" w:cs="Arial" w:eastAsia="Arial" w:hAnsi="Arial"/>
          <w:sz w:val="16"/>
          <w:szCs w:val="16"/>
          <w:color w:val="auto"/>
        </w:rPr>
        <w:t>There were no changes in our internal control over financial reporting (as defined in Rule 13a-15(e) and Rule 15d-15(e) of the Exchange Act) for the six months ended September 30, 2021, that materially affected, or are reasonably likely to materially affect, our internal control over financial reporting.</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firstLine="493"/>
        <w:spacing w:after="0" w:line="308" w:lineRule="auto"/>
        <w:rPr>
          <w:sz w:val="20"/>
          <w:szCs w:val="20"/>
          <w:color w:val="auto"/>
        </w:rPr>
      </w:pPr>
      <w:r>
        <w:rPr>
          <w:rFonts w:ascii="Arial" w:cs="Arial" w:eastAsia="Arial" w:hAnsi="Arial"/>
          <w:sz w:val="17"/>
          <w:szCs w:val="17"/>
          <w:color w:val="auto"/>
        </w:rPr>
        <w:t>We are subject to various claims and legal proceedings arising in the ordinary course of business. As of the date of this report, we do not believe that the final resolution of any of such claims or legal proceedings will have a material adverse effect on our future results of operations.</w:t>
      </w:r>
    </w:p>
    <w:p>
      <w:pPr>
        <w:spacing w:after="0" w:line="9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See Note 15 – Commitments and Contingencies, to the Condensed Consolidated Financial Statements in Item 1 of this Quarterly Report on Form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10-Q.</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5" w:lineRule="exact"/>
        <w:rPr>
          <w:sz w:val="20"/>
          <w:szCs w:val="20"/>
          <w:color w:val="auto"/>
        </w:rPr>
      </w:pPr>
    </w:p>
    <w:p>
      <w:pPr>
        <w:jc w:val="both"/>
        <w:ind w:firstLine="493"/>
        <w:spacing w:after="0" w:line="275" w:lineRule="auto"/>
        <w:rPr>
          <w:sz w:val="20"/>
          <w:szCs w:val="20"/>
          <w:color w:val="auto"/>
        </w:rPr>
      </w:pPr>
      <w:r>
        <w:rPr>
          <w:rFonts w:ascii="Arial" w:cs="Arial" w:eastAsia="Arial" w:hAnsi="Arial"/>
          <w:sz w:val="17"/>
          <w:szCs w:val="17"/>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2021, which we filed with the SEC on June 1, 2021 and in Part 1 - Item 2 under the heading "Management's Discussion and Analysis of Financial Condition and Results of Operations" in this Form 10-Q.</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71"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ind w:left="100"/>
              <w:spacing w:after="0"/>
              <w:rPr>
                <w:sz w:val="20"/>
                <w:szCs w:val="20"/>
                <w:color w:val="auto"/>
              </w:rPr>
            </w:pPr>
            <w:r>
              <w:rPr>
                <w:rFonts w:ascii="Arial" w:cs="Arial" w:eastAsia="Arial" w:hAnsi="Arial"/>
                <w:sz w:val="18"/>
                <w:szCs w:val="18"/>
                <w:color w:val="auto"/>
              </w:rPr>
              <w:t>10.1</w:t>
            </w:r>
          </w:p>
        </w:tc>
        <w:tc>
          <w:tcPr>
            <w:tcW w:w="10100" w:type="dxa"/>
            <w:vAlign w:val="bottom"/>
            <w:tcBorders>
              <w:bottom w:val="single" w:sz="8" w:color="0000EE"/>
            </w:tcBorders>
            <w:gridSpan w:val="7"/>
          </w:tcPr>
          <w:p>
            <w:pPr>
              <w:spacing w:after="0"/>
              <w:rPr>
                <w:rFonts w:ascii="Arial" w:cs="Arial" w:eastAsia="Arial" w:hAnsi="Arial"/>
                <w:sz w:val="18"/>
                <w:szCs w:val="18"/>
                <w:color w:val="0000EE"/>
                <w:w w:val="90"/>
              </w:rPr>
            </w:pPr>
            <w:hyperlink r:id="rId63">
              <w:r>
                <w:rPr>
                  <w:rFonts w:ascii="Arial" w:cs="Arial" w:eastAsia="Arial" w:hAnsi="Arial"/>
                  <w:sz w:val="18"/>
                  <w:szCs w:val="18"/>
                  <w:color w:val="0000EE"/>
                  <w:w w:val="90"/>
                </w:rPr>
                <w:t>Executive Employment and Severance Agreement, effective as of November 11, 2021, between Orion Energy Systems, Inc. and Michael H.</w:t>
              </w:r>
            </w:hyperlink>
          </w:p>
        </w:tc>
      </w:tr>
      <w:tr>
        <w:trPr>
          <w:trHeight w:val="196"/>
        </w:trPr>
        <w:tc>
          <w:tcPr>
            <w:tcW w:w="1080" w:type="dxa"/>
            <w:vAlign w:val="bottom"/>
          </w:tcPr>
          <w:p>
            <w:pPr>
              <w:spacing w:after="0"/>
              <w:rPr>
                <w:sz w:val="17"/>
                <w:szCs w:val="17"/>
                <w:color w:val="auto"/>
              </w:rPr>
            </w:pPr>
          </w:p>
        </w:tc>
        <w:tc>
          <w:tcPr>
            <w:tcW w:w="8960" w:type="dxa"/>
            <w:vAlign w:val="bottom"/>
            <w:tcBorders>
              <w:bottom w:val="single" w:sz="8" w:color="0000EE"/>
            </w:tcBorders>
            <w:gridSpan w:val="2"/>
          </w:tcPr>
          <w:p>
            <w:pPr>
              <w:spacing w:after="0" w:line="196" w:lineRule="exact"/>
              <w:rPr>
                <w:rFonts w:ascii="Arial" w:cs="Arial" w:eastAsia="Arial" w:hAnsi="Arial"/>
                <w:sz w:val="18"/>
                <w:szCs w:val="18"/>
                <w:color w:val="0000EE"/>
                <w:w w:val="91"/>
              </w:rPr>
            </w:pPr>
            <w:hyperlink r:id="rId63">
              <w:r>
                <w:rPr>
                  <w:rFonts w:ascii="Arial" w:cs="Arial" w:eastAsia="Arial" w:hAnsi="Arial"/>
                  <w:sz w:val="18"/>
                  <w:szCs w:val="18"/>
                  <w:color w:val="0000EE"/>
                  <w:w w:val="91"/>
                </w:rPr>
                <w:t>Jenkins, filed as Exhibit 10.1 to the Registrant's Form 8-K filed on November 4, 2021, is hereby incorporated by reference.*</w:t>
              </w:r>
            </w:hyperlink>
          </w:p>
        </w:tc>
        <w:tc>
          <w:tcPr>
            <w:tcW w:w="1140" w:type="dxa"/>
            <w:vAlign w:val="bottom"/>
            <w:gridSpan w:val="5"/>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31.1</w:t>
            </w:r>
          </w:p>
        </w:tc>
        <w:tc>
          <w:tcPr>
            <w:tcW w:w="101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Certification of Chief Executive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Securities Exchange Act of 1934, as amended.+</w:t>
              </w:r>
            </w:hyperlink>
          </w:p>
        </w:tc>
        <w:tc>
          <w:tcPr>
            <w:tcW w:w="6640" w:type="dxa"/>
            <w:vAlign w:val="bottom"/>
            <w:gridSpan w:val="6"/>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31.2</w:t>
            </w:r>
          </w:p>
        </w:tc>
        <w:tc>
          <w:tcPr>
            <w:tcW w:w="10100" w:type="dxa"/>
            <w:vAlign w:val="bottom"/>
            <w:gridSpan w:val="7"/>
          </w:tcPr>
          <w:p>
            <w:pPr>
              <w:spacing w:after="0"/>
              <w:rPr>
                <w:rFonts w:ascii="Arial" w:cs="Arial" w:eastAsia="Arial" w:hAnsi="Arial"/>
                <w:sz w:val="18"/>
                <w:szCs w:val="18"/>
                <w:color w:val="0000EE"/>
                <w:w w:val="92"/>
              </w:rPr>
            </w:pPr>
            <w:hyperlink w:anchor="page33">
              <w:r>
                <w:rPr>
                  <w:rFonts w:ascii="Arial" w:cs="Arial" w:eastAsia="Arial" w:hAnsi="Arial"/>
                  <w:sz w:val="18"/>
                  <w:szCs w:val="18"/>
                  <w:color w:val="0000EE"/>
                  <w:w w:val="92"/>
                </w:rPr>
                <w:t>Certification of Chief Financial Officer of Orion Energy Systems, Inc. pursuant to Rule 13a-14(a) or Rule 15d-14(a) promulgated under the</w:t>
              </w:r>
            </w:hyperlink>
          </w:p>
        </w:tc>
      </w:tr>
      <w:tr>
        <w:trPr>
          <w:trHeight w:val="196"/>
        </w:trPr>
        <w:tc>
          <w:tcPr>
            <w:tcW w:w="1080" w:type="dxa"/>
            <w:vAlign w:val="bottom"/>
          </w:tcPr>
          <w:p>
            <w:pPr>
              <w:spacing w:after="0"/>
              <w:rPr>
                <w:sz w:val="17"/>
                <w:szCs w:val="17"/>
                <w:color w:val="auto"/>
              </w:rPr>
            </w:pPr>
          </w:p>
        </w:tc>
        <w:tc>
          <w:tcPr>
            <w:tcW w:w="3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Securities Exchange Act of 1934, as amended.+</w:t>
              </w:r>
            </w:hyperlink>
          </w:p>
        </w:tc>
        <w:tc>
          <w:tcPr>
            <w:tcW w:w="6580" w:type="dxa"/>
            <w:vAlign w:val="bottom"/>
            <w:tcBorders>
              <w:top w:val="single" w:sz="8" w:color="0000EE"/>
            </w:tcBorders>
            <w:gridSpan w:val="5"/>
          </w:tcPr>
          <w:p>
            <w:pPr>
              <w:spacing w:after="0"/>
              <w:rPr>
                <w:sz w:val="17"/>
                <w:szCs w:val="17"/>
                <w:color w:val="auto"/>
              </w:rPr>
            </w:pPr>
          </w:p>
        </w:tc>
        <w:tc>
          <w:tcPr>
            <w:tcW w:w="60" w:type="dxa"/>
            <w:vAlign w:val="bottom"/>
          </w:tcPr>
          <w:p>
            <w:pPr>
              <w:spacing w:after="0"/>
              <w:rPr>
                <w:sz w:val="17"/>
                <w:szCs w:val="17"/>
                <w:color w:val="auto"/>
              </w:rPr>
            </w:pPr>
          </w:p>
        </w:tc>
      </w:tr>
      <w:tr>
        <w:trPr>
          <w:trHeight w:val="318"/>
        </w:trPr>
        <w:tc>
          <w:tcPr>
            <w:tcW w:w="1080" w:type="dxa"/>
            <w:vAlign w:val="bottom"/>
          </w:tcPr>
          <w:p>
            <w:pPr>
              <w:ind w:left="100"/>
              <w:spacing w:after="0"/>
              <w:rPr>
                <w:sz w:val="20"/>
                <w:szCs w:val="20"/>
                <w:color w:val="auto"/>
              </w:rPr>
            </w:pPr>
            <w:r>
              <w:rPr>
                <w:rFonts w:ascii="Arial" w:cs="Arial" w:eastAsia="Arial" w:hAnsi="Arial"/>
                <w:sz w:val="18"/>
                <w:szCs w:val="18"/>
                <w:color w:val="auto"/>
              </w:rPr>
              <w:t>32.1</w:t>
            </w:r>
          </w:p>
        </w:tc>
        <w:tc>
          <w:tcPr>
            <w:tcW w:w="95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Certification of Chief Executive Officer of Orion Energy Systems, Inc. pursuant to Rule 13a-14(b) promulgated under the Securities</w:t>
              </w:r>
            </w:hyperlink>
          </w:p>
        </w:tc>
        <w:tc>
          <w:tcPr>
            <w:tcW w:w="560" w:type="dxa"/>
            <w:vAlign w:val="bottom"/>
            <w:gridSpan w:val="3"/>
          </w:tcPr>
          <w:p>
            <w:pPr>
              <w:spacing w:after="0"/>
              <w:rPr>
                <w:sz w:val="24"/>
                <w:szCs w:val="24"/>
                <w:color w:val="auto"/>
              </w:rPr>
            </w:pPr>
          </w:p>
        </w:tc>
      </w:tr>
      <w:tr>
        <w:trPr>
          <w:trHeight w:val="196"/>
        </w:trPr>
        <w:tc>
          <w:tcPr>
            <w:tcW w:w="1080" w:type="dxa"/>
            <w:vAlign w:val="bottom"/>
          </w:tcPr>
          <w:p>
            <w:pPr>
              <w:spacing w:after="0"/>
              <w:rPr>
                <w:sz w:val="17"/>
                <w:szCs w:val="17"/>
                <w:color w:val="auto"/>
              </w:rPr>
            </w:pPr>
          </w:p>
        </w:tc>
        <w:tc>
          <w:tcPr>
            <w:tcW w:w="9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Exchange Act of 1934, as amended, and 18 U.S.C. Section 1350, as adopted pursuant to Section 906 of the Sarbanes-Oxley Act of 2002.+</w:t>
              </w:r>
            </w:hyperlink>
          </w:p>
        </w:tc>
        <w:tc>
          <w:tcPr>
            <w:tcW w:w="140" w:type="dxa"/>
            <w:vAlign w:val="bottom"/>
            <w:gridSpan w:val="2"/>
          </w:tcPr>
          <w:p>
            <w:pPr>
              <w:spacing w:after="0"/>
              <w:rPr>
                <w:sz w:val="17"/>
                <w:szCs w:val="17"/>
                <w:color w:val="auto"/>
              </w:rPr>
            </w:pPr>
          </w:p>
        </w:tc>
      </w:tr>
      <w:tr>
        <w:trPr>
          <w:trHeight w:val="317"/>
        </w:trPr>
        <w:tc>
          <w:tcPr>
            <w:tcW w:w="1080" w:type="dxa"/>
            <w:vAlign w:val="bottom"/>
          </w:tcPr>
          <w:p>
            <w:pPr>
              <w:ind w:left="100"/>
              <w:spacing w:after="0"/>
              <w:rPr>
                <w:sz w:val="20"/>
                <w:szCs w:val="20"/>
                <w:color w:val="auto"/>
              </w:rPr>
            </w:pPr>
            <w:r>
              <w:rPr>
                <w:rFonts w:ascii="Arial" w:cs="Arial" w:eastAsia="Arial" w:hAnsi="Arial"/>
                <w:sz w:val="18"/>
                <w:szCs w:val="18"/>
                <w:color w:val="auto"/>
              </w:rPr>
              <w:t>32.2</w:t>
            </w:r>
          </w:p>
        </w:tc>
        <w:tc>
          <w:tcPr>
            <w:tcW w:w="10100" w:type="dxa"/>
            <w:vAlign w:val="bottom"/>
            <w:gridSpan w:val="7"/>
          </w:tcPr>
          <w:p>
            <w:pPr>
              <w:spacing w:after="0"/>
              <w:rPr>
                <w:rFonts w:ascii="Arial" w:cs="Arial" w:eastAsia="Arial" w:hAnsi="Arial"/>
                <w:sz w:val="18"/>
                <w:szCs w:val="18"/>
                <w:color w:val="0000EE"/>
                <w:w w:val="97"/>
              </w:rPr>
            </w:pPr>
            <w:hyperlink w:anchor="page35">
              <w:r>
                <w:rPr>
                  <w:rFonts w:ascii="Arial" w:cs="Arial" w:eastAsia="Arial" w:hAnsi="Arial"/>
                  <w:sz w:val="18"/>
                  <w:szCs w:val="18"/>
                  <w:color w:val="0000EE"/>
                  <w:w w:val="97"/>
                </w:rPr>
                <w:t>Certification of Chief Financial Officer of Orion Energy Systems, Inc. pursuant to Rule 13a-14(b) promulgated under the Securities</w:t>
              </w:r>
            </w:hyperlink>
          </w:p>
        </w:tc>
      </w:tr>
      <w:tr>
        <w:trPr>
          <w:trHeight w:val="20"/>
        </w:trPr>
        <w:tc>
          <w:tcPr>
            <w:tcW w:w="1080" w:type="dxa"/>
            <w:vAlign w:val="bottom"/>
          </w:tcPr>
          <w:p>
            <w:pPr>
              <w:spacing w:after="0" w:line="20" w:lineRule="exact"/>
              <w:rPr>
                <w:sz w:val="1"/>
                <w:szCs w:val="1"/>
                <w:color w:val="auto"/>
              </w:rPr>
            </w:pPr>
          </w:p>
        </w:tc>
        <w:tc>
          <w:tcPr>
            <w:tcW w:w="9480" w:type="dxa"/>
            <w:vAlign w:val="bottom"/>
            <w:gridSpan w:val="3"/>
            <w:shd w:val="clear" w:color="auto" w:fill="0000EE"/>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99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Exchange Act of 1934, as amended, and 18 U.S.C. Section 1350, as adopted pursuant to Section 906 of the Sarbanes-Oxley Act of 2002.+</w:t>
              </w:r>
            </w:hyperlink>
          </w:p>
        </w:tc>
        <w:tc>
          <w:tcPr>
            <w:tcW w:w="140" w:type="dxa"/>
            <w:vAlign w:val="bottom"/>
            <w:gridSpan w:val="2"/>
          </w:tcPr>
          <w:p>
            <w:pPr>
              <w:spacing w:after="0"/>
              <w:rPr>
                <w:sz w:val="17"/>
                <w:szCs w:val="17"/>
                <w:color w:val="auto"/>
              </w:rPr>
            </w:pPr>
          </w:p>
        </w:tc>
      </w:tr>
      <w:tr>
        <w:trPr>
          <w:trHeight w:val="358"/>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080" w:right="440" w:hanging="107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September 30, 2021, has been formatted in Inline XBRL.</w:t>
      </w:r>
    </w:p>
    <w:p>
      <w:pPr>
        <w:spacing w:after="0" w:line="17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53" w:right="39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9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November 9,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ORION ENERGY SYSTEMS, INC.</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 Per Brodin</w:t>
            </w:r>
          </w:p>
        </w:tc>
      </w:tr>
      <w:tr>
        <w:trPr>
          <w:trHeight w:val="195"/>
        </w:trPr>
        <w:tc>
          <w:tcPr>
            <w:tcW w:w="580" w:type="dxa"/>
            <w:vAlign w:val="bottom"/>
          </w:tcPr>
          <w:p>
            <w:pPr>
              <w:spacing w:after="0"/>
              <w:rPr>
                <w:sz w:val="16"/>
                <w:szCs w:val="16"/>
                <w:color w:val="auto"/>
              </w:rPr>
            </w:pPr>
          </w:p>
        </w:tc>
        <w:tc>
          <w:tcPr>
            <w:tcW w:w="5600" w:type="dxa"/>
            <w:vAlign w:val="bottom"/>
          </w:tcPr>
          <w:p>
            <w:pPr>
              <w:spacing w:after="0" w:line="195" w:lineRule="exact"/>
              <w:rPr>
                <w:sz w:val="20"/>
                <w:szCs w:val="20"/>
                <w:color w:val="auto"/>
              </w:rPr>
            </w:pPr>
            <w:r>
              <w:rPr>
                <w:rFonts w:ascii="Arial" w:cs="Arial" w:eastAsia="Arial" w:hAnsi="Arial"/>
                <w:sz w:val="18"/>
                <w:szCs w:val="18"/>
                <w:color w:val="auto"/>
              </w:rPr>
              <w:t>J. Per Brodin</w:t>
            </w:r>
          </w:p>
        </w:tc>
      </w:tr>
      <w:tr>
        <w:trPr>
          <w:trHeight w:val="216"/>
        </w:trPr>
        <w:tc>
          <w:tcPr>
            <w:tcW w:w="58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8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(Principal Financial Officer and Authorized Signatory)</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553"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Michael W. Altschaefl, certify that:</w:t>
      </w:r>
    </w:p>
    <w:p>
      <w:pPr>
        <w:spacing w:after="0" w:line="225"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2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Certification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 J. Per Brodin, certify that:</w:t>
      </w:r>
    </w:p>
    <w:p>
      <w:pPr>
        <w:spacing w:after="0" w:line="225"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Orion Energy Systems, Inc.;</w:t>
      </w:r>
    </w:p>
    <w:p>
      <w:pPr>
        <w:spacing w:after="0" w:line="225" w:lineRule="exact"/>
        <w:rPr>
          <w:rFonts w:ascii="Arial" w:cs="Arial" w:eastAsia="Arial" w:hAnsi="Arial"/>
          <w:sz w:val="18"/>
          <w:szCs w:val="18"/>
          <w:color w:val="auto"/>
        </w:rPr>
      </w:pPr>
    </w:p>
    <w:p>
      <w:pPr>
        <w:jc w:val="both"/>
        <w:ind w:left="480" w:right="300" w:hanging="472"/>
        <w:spacing w:after="0" w:line="263"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480" w:right="260" w:hanging="472"/>
        <w:spacing w:after="0" w:line="308"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80" w:right="280" w:hanging="472"/>
        <w:spacing w:after="0" w:line="263" w:lineRule="auto"/>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60" w:right="80" w:hanging="480"/>
        <w:spacing w:after="0" w:line="263"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960" w:right="400" w:hanging="480"/>
        <w:spacing w:after="0" w:line="263"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960" w:right="560" w:hanging="480"/>
        <w:spacing w:after="0" w:line="342"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60" w:right="80" w:hanging="480"/>
        <w:spacing w:after="0" w:line="263"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480" w:right="180" w:hanging="472"/>
        <w:spacing w:after="0" w:line="308" w:lineRule="auto"/>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960" w:right="800" w:hanging="480"/>
        <w:spacing w:after="0" w:line="342" w:lineRule="auto"/>
        <w:tabs>
          <w:tab w:leader="none" w:pos="96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500" w:hanging="480"/>
        <w:spacing w:after="0" w:line="277" w:lineRule="auto"/>
        <w:tabs>
          <w:tab w:leader="none" w:pos="9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pacing w:after="0" w:line="25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2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Quarterly Report of Orion Energy Systems, Inc., a Wisconsin corporation (the “Company”), on Form 10-Q for the period ended September 30, 2021,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79" w:lineRule="exact"/>
        <w:rPr>
          <w:sz w:val="20"/>
          <w:szCs w:val="20"/>
          <w:color w:val="auto"/>
        </w:rPr>
      </w:pPr>
    </w:p>
    <w:p>
      <w:pPr>
        <w:ind w:left="960" w:hanging="480"/>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Michael W.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2297430" cy="8890"/>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Michael W. Altschaefl</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Executive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CFO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Quarterly Report of Orion Energy Systems, Inc., a Wisconsin corporation (the “Company”), on Form 10-Q for the period ended September 30, 2021, as filed with the Securities and Exchange Commission on the date hereof (the “Report”), I, J. Per Brodin, Chief Financial Officer of the Company, certify, pursuant to 18 U.S.C. 1350, as adopted pursuant to Section 906 of the Sarbanes-Oxley Act of 2002, that, based on my knowledge:</w:t>
      </w:r>
    </w:p>
    <w:p>
      <w:pPr>
        <w:spacing w:after="0" w:line="41" w:lineRule="exact"/>
        <w:rPr>
          <w:sz w:val="20"/>
          <w:szCs w:val="20"/>
          <w:color w:val="auto"/>
        </w:rPr>
      </w:pPr>
    </w:p>
    <w:p>
      <w:pPr>
        <w:ind w:left="960" w:hanging="480"/>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44"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Date: November 9, 2021</w:t>
      </w:r>
    </w:p>
    <w:p>
      <w:pPr>
        <w:spacing w:after="0" w:line="225"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/s/ J. Per Brodin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14605</wp:posOffset>
            </wp:positionV>
            <wp:extent cx="22974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J. Per Brodin</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decimal"/>
      <w:start w:val="10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3" Type="http://schemas.openxmlformats.org/officeDocument/2006/relationships/hyperlink" Target="http://www.sec.gov/Archives/edgar/data/0001409375/000119312521319367/d15206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2021-11-09T15:51:37Z</dcterms:created>
  <dcterms:modified xsi:type="dcterms:W3CDTF">2021-11-09T15:51:37Z</dcterms:modified>
</cp:coreProperties>
</file>