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36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60" w:hanging="451"/>
        <w:spacing w:after="0" w:line="269"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00" w:type="dxa"/>
            <w:vAlign w:val="bottom"/>
          </w:tcPr>
          <w:p>
            <w:pPr>
              <w:jc w:val="center"/>
              <w:ind w:right="16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5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28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20" w:type="dxa"/>
            <w:vAlign w:val="bottom"/>
          </w:tcPr>
          <w:p>
            <w:pPr>
              <w:ind w:left="280"/>
              <w:spacing w:after="0"/>
              <w:rPr>
                <w:sz w:val="20"/>
                <w:szCs w:val="20"/>
                <w:color w:val="auto"/>
              </w:rPr>
            </w:pPr>
            <w:r>
              <w:rPr>
                <w:rFonts w:ascii="Arial" w:cs="Arial" w:eastAsia="Arial" w:hAnsi="Arial"/>
                <w:sz w:val="18"/>
                <w:szCs w:val="18"/>
                <w:color w:val="auto"/>
              </w:rPr>
              <w:t>o</w:t>
            </w:r>
          </w:p>
        </w:tc>
        <w:tc>
          <w:tcPr>
            <w:tcW w:w="3920" w:type="dxa"/>
            <w:vAlign w:val="bottom"/>
          </w:tcPr>
          <w:p>
            <w:pPr>
              <w:spacing w:after="0"/>
              <w:rPr>
                <w:sz w:val="20"/>
                <w:szCs w:val="20"/>
                <w:color w:val="auto"/>
              </w:rPr>
            </w:pPr>
          </w:p>
        </w:tc>
        <w:tc>
          <w:tcPr>
            <w:tcW w:w="366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1360" w:type="dxa"/>
            <w:vAlign w:val="bottom"/>
          </w:tcPr>
          <w:p>
            <w:pPr>
              <w:ind w:left="1180"/>
              <w:spacing w:after="0"/>
              <w:rPr>
                <w:sz w:val="20"/>
                <w:szCs w:val="20"/>
                <w:color w:val="auto"/>
              </w:rPr>
            </w:pPr>
            <w:r>
              <w:rPr>
                <w:rFonts w:ascii="Arial" w:cs="Arial" w:eastAsia="Arial" w:hAnsi="Arial"/>
                <w:sz w:val="18"/>
                <w:szCs w:val="18"/>
                <w:color w:val="auto"/>
              </w:rPr>
              <w:t>o</w:t>
            </w:r>
          </w:p>
        </w:tc>
      </w:tr>
      <w:tr>
        <w:trPr>
          <w:trHeight w:val="41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420" w:type="dxa"/>
            <w:vAlign w:val="bottom"/>
          </w:tcPr>
          <w:p>
            <w:pPr>
              <w:ind w:left="280"/>
              <w:spacing w:after="0"/>
              <w:rPr>
                <w:sz w:val="20"/>
                <w:szCs w:val="20"/>
                <w:color w:val="auto"/>
              </w:rPr>
            </w:pPr>
            <w:r>
              <w:rPr>
                <w:rFonts w:ascii="Arial" w:cs="Arial" w:eastAsia="Arial" w:hAnsi="Arial"/>
                <w:sz w:val="18"/>
                <w:szCs w:val="18"/>
                <w:color w:val="auto"/>
              </w:rPr>
              <w:t>o</w:t>
            </w:r>
          </w:p>
        </w:tc>
        <w:tc>
          <w:tcPr>
            <w:tcW w:w="392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366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136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50"/>
        </w:trPr>
        <w:tc>
          <w:tcPr>
            <w:tcW w:w="1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60" w:type="dxa"/>
            <w:vAlign w:val="bottom"/>
          </w:tcPr>
          <w:p>
            <w:pPr>
              <w:ind w:left="520"/>
              <w:spacing w:after="0"/>
              <w:rPr>
                <w:sz w:val="20"/>
                <w:szCs w:val="20"/>
                <w:color w:val="auto"/>
              </w:rPr>
            </w:pPr>
            <w:r>
              <w:rPr>
                <w:rFonts w:ascii="Arial" w:cs="Arial" w:eastAsia="Arial" w:hAnsi="Arial"/>
                <w:sz w:val="18"/>
                <w:szCs w:val="18"/>
                <w:color w:val="auto"/>
              </w:rPr>
              <w:t>Emerging growth company</w:t>
            </w:r>
          </w:p>
        </w:tc>
        <w:tc>
          <w:tcPr>
            <w:tcW w:w="1360" w:type="dxa"/>
            <w:vAlign w:val="bottom"/>
          </w:tcPr>
          <w:p>
            <w:pPr>
              <w:ind w:left="1180"/>
              <w:spacing w:after="0"/>
              <w:rPr>
                <w:sz w:val="20"/>
                <w:szCs w:val="20"/>
                <w:color w:val="auto"/>
              </w:rPr>
            </w:pPr>
            <w:r>
              <w:rPr>
                <w:rFonts w:ascii="Arial" w:cs="Arial" w:eastAsia="Arial" w:hAnsi="Arial"/>
                <w:sz w:val="18"/>
                <w:szCs w:val="18"/>
                <w:color w:val="auto"/>
              </w:rPr>
              <w:t>o</w:t>
            </w:r>
          </w:p>
        </w:tc>
      </w:tr>
    </w:tbl>
    <w:p>
      <w:pPr>
        <w:spacing w:after="0" w:line="40" w:lineRule="exact"/>
        <w:rPr>
          <w:sz w:val="24"/>
          <w:szCs w:val="24"/>
          <w:color w:val="auto"/>
        </w:rPr>
      </w:pPr>
    </w:p>
    <w:p>
      <w:pPr>
        <w:ind w:left="40" w:right="3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274" w:right="299" w:bottom="1440" w:gutter="0" w:footer="0" w:header="0"/>
        </w:sectPr>
      </w:pPr>
    </w:p>
    <w:bookmarkStart w:id="1" w:name="page2"/>
    <w:bookmarkEnd w:id="1"/>
    <w:p>
      <w:pPr>
        <w:spacing w:after="0" w:line="207" w:lineRule="exact"/>
        <w:tabs>
          <w:tab w:leader="none" w:pos="8400" w:val="left"/>
          <w:tab w:leader="none" w:pos="91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There were 28,910,068 shares of the Registrant’s common stock outstanding on October 27, 2017.</w:t>
      </w:r>
    </w:p>
    <w:p>
      <w:pPr>
        <w:sectPr>
          <w:pgSz w:w="11900" w:h="16838" w:orient="portrait"/>
          <w:cols w:equalWidth="0" w:num="1">
            <w:col w:w="10219"/>
          </w:cols>
          <w:pgMar w:left="240" w:top="498"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Page(s)</w:t>
            </w:r>
          </w:p>
        </w:tc>
      </w:tr>
      <w:tr>
        <w:trPr>
          <w:trHeight w:val="196"/>
        </w:trPr>
        <w:tc>
          <w:tcPr>
            <w:tcW w:w="3380" w:type="dxa"/>
            <w:vAlign w:val="bottom"/>
            <w:tcBorders>
              <w:bottom w:val="single" w:sz="8" w:color="auto"/>
            </w:tcBorders>
            <w:gridSpan w:val="10"/>
          </w:tcPr>
          <w:p>
            <w:pPr>
              <w:spacing w:after="0" w:line="170" w:lineRule="exact"/>
              <w:rPr>
                <w:rFonts w:ascii="Arial" w:cs="Arial" w:eastAsia="Arial" w:hAnsi="Arial"/>
                <w:sz w:val="18"/>
                <w:szCs w:val="18"/>
                <w:color w:val="auto"/>
              </w:rPr>
            </w:pPr>
            <w:hyperlink w:anchor="page4">
              <w:r>
                <w:rPr>
                  <w:rFonts w:ascii="Arial" w:cs="Arial" w:eastAsia="Arial" w:hAnsi="Arial"/>
                  <w:sz w:val="18"/>
                  <w:szCs w:val="18"/>
                  <w:color w:val="auto"/>
                </w:rPr>
                <w:t>PART I FINANCIAL INFORMATION</w:t>
              </w:r>
            </w:hyperlink>
          </w:p>
        </w:tc>
        <w:tc>
          <w:tcPr>
            <w:tcW w:w="7020" w:type="dxa"/>
            <w:vAlign w:val="bottom"/>
            <w:gridSpan w:val="7"/>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70" w:lineRule="exact"/>
              <w:rPr>
                <w:rFonts w:ascii="Arial" w:cs="Arial" w:eastAsia="Arial" w:hAnsi="Arial"/>
                <w:sz w:val="18"/>
                <w:szCs w:val="18"/>
                <w:color w:val="auto"/>
                <w:w w:val="79"/>
              </w:rPr>
            </w:pPr>
            <w:hyperlink w:anchor="page4">
              <w:r>
                <w:rPr>
                  <w:rFonts w:ascii="Arial" w:cs="Arial" w:eastAsia="Arial" w:hAnsi="Arial"/>
                  <w:sz w:val="18"/>
                  <w:szCs w:val="18"/>
                  <w:color w:val="auto"/>
                  <w:w w:val="79"/>
                </w:rPr>
                <w:t>3</w:t>
              </w:r>
            </w:hyperlink>
          </w:p>
        </w:tc>
        <w:tc>
          <w:tcPr>
            <w:tcW w:w="20" w:type="dxa"/>
            <w:vAlign w:val="bottom"/>
          </w:tcPr>
          <w:p>
            <w:pPr>
              <w:spacing w:after="0"/>
              <w:rPr>
                <w:sz w:val="17"/>
                <w:szCs w:val="17"/>
                <w:color w:val="auto"/>
              </w:rPr>
            </w:pPr>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6"/>
          </w:tcPr>
          <w:p>
            <w:pPr>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 (unaudited)</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6320" w:type="dxa"/>
            <w:vAlign w:val="bottom"/>
            <w:tcBorders>
              <w:bottom w:val="single" w:sz="8" w:color="auto"/>
            </w:tcBorders>
            <w:gridSpan w:val="12"/>
          </w:tcPr>
          <w:p>
            <w:pPr>
              <w:spacing w:after="0"/>
              <w:rPr>
                <w:rFonts w:ascii="Arial" w:cs="Arial" w:eastAsia="Arial" w:hAnsi="Arial"/>
                <w:sz w:val="18"/>
                <w:szCs w:val="18"/>
                <w:color w:val="auto"/>
                <w:w w:val="88"/>
              </w:rPr>
            </w:pPr>
            <w:hyperlink w:anchor="page4">
              <w:r>
                <w:rPr>
                  <w:rFonts w:ascii="Arial" w:cs="Arial" w:eastAsia="Arial" w:hAnsi="Arial"/>
                  <w:sz w:val="18"/>
                  <w:szCs w:val="18"/>
                  <w:color w:val="auto"/>
                  <w:w w:val="88"/>
                </w:rPr>
                <w:t>Condensed Consolidated Balance Sheets as of September 30, 2017 and March 31, 2017</w:t>
              </w:r>
            </w:hyperlink>
          </w:p>
        </w:tc>
        <w:tc>
          <w:tcPr>
            <w:tcW w:w="3080" w:type="dxa"/>
            <w:vAlign w:val="bottom"/>
            <w:gridSpan w:val="4"/>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6"/>
          </w:tcPr>
          <w:p>
            <w:pPr>
              <w:spacing w:after="0"/>
              <w:rPr>
                <w:rFonts w:ascii="Arial" w:cs="Arial" w:eastAsia="Arial" w:hAnsi="Arial"/>
                <w:sz w:val="18"/>
                <w:szCs w:val="18"/>
                <w:color w:val="auto"/>
                <w:w w:val="90"/>
              </w:rPr>
            </w:pPr>
            <w:hyperlink w:anchor="page5">
              <w:r>
                <w:rPr>
                  <w:rFonts w:ascii="Arial" w:cs="Arial" w:eastAsia="Arial" w:hAnsi="Arial"/>
                  <w:sz w:val="18"/>
                  <w:szCs w:val="18"/>
                  <w:color w:val="auto"/>
                  <w:w w:val="90"/>
                </w:rPr>
                <w:t>Condensed Consolidated Statements of Operations for the Three and Six Months Ended September 30, 2017 and September 30,</w:t>
              </w:r>
            </w:hyperlink>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000" w:type="dxa"/>
            <w:vAlign w:val="bottom"/>
          </w:tcPr>
          <w:p>
            <w:pPr>
              <w:spacing w:after="0"/>
              <w:rPr>
                <w:sz w:val="17"/>
                <w:szCs w:val="17"/>
                <w:color w:val="auto"/>
              </w:rPr>
            </w:pPr>
          </w:p>
        </w:tc>
        <w:tc>
          <w:tcPr>
            <w:tcW w:w="360" w:type="dxa"/>
            <w:vAlign w:val="bottom"/>
            <w:tcBorders>
              <w:top w:val="single" w:sz="8" w:color="auto"/>
              <w:bottom w:val="single" w:sz="8" w:color="auto"/>
            </w:tcBorders>
            <w:gridSpan w:val="2"/>
          </w:tcPr>
          <w:p>
            <w:pPr>
              <w:spacing w:after="0" w:line="196" w:lineRule="exact"/>
              <w:rPr>
                <w:rFonts w:ascii="Arial" w:cs="Arial" w:eastAsia="Arial" w:hAnsi="Arial"/>
                <w:sz w:val="18"/>
                <w:szCs w:val="18"/>
                <w:color w:val="auto"/>
                <w:w w:val="84"/>
              </w:rPr>
            </w:pPr>
            <w:hyperlink w:anchor="page5">
              <w:r>
                <w:rPr>
                  <w:rFonts w:ascii="Arial" w:cs="Arial" w:eastAsia="Arial" w:hAnsi="Arial"/>
                  <w:sz w:val="18"/>
                  <w:szCs w:val="18"/>
                  <w:color w:val="auto"/>
                  <w:w w:val="84"/>
                </w:rPr>
                <w:t>2016</w:t>
              </w:r>
            </w:hyperlink>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96" w:lineRule="exact"/>
              <w:rPr>
                <w:rFonts w:ascii="Arial" w:cs="Arial" w:eastAsia="Arial" w:hAnsi="Arial"/>
                <w:sz w:val="18"/>
                <w:szCs w:val="18"/>
                <w:color w:val="auto"/>
                <w:w w:val="79"/>
              </w:rPr>
            </w:pPr>
            <w:hyperlink w:anchor="page5">
              <w:r>
                <w:rPr>
                  <w:rFonts w:ascii="Arial" w:cs="Arial" w:eastAsia="Arial" w:hAnsi="Arial"/>
                  <w:sz w:val="18"/>
                  <w:szCs w:val="18"/>
                  <w:color w:val="auto"/>
                  <w:w w:val="79"/>
                </w:rPr>
                <w:t>4</w:t>
              </w:r>
            </w:hyperlink>
          </w:p>
        </w:tc>
        <w:tc>
          <w:tcPr>
            <w:tcW w:w="20" w:type="dxa"/>
            <w:vAlign w:val="bottom"/>
          </w:tcPr>
          <w:p>
            <w:pPr>
              <w:spacing w:after="0"/>
              <w:rPr>
                <w:sz w:val="17"/>
                <w:szCs w:val="17"/>
                <w:color w:val="auto"/>
              </w:rPr>
            </w:pPr>
          </w:p>
        </w:tc>
      </w:tr>
      <w:tr>
        <w:trPr>
          <w:trHeight w:val="250"/>
        </w:trPr>
        <w:tc>
          <w:tcPr>
            <w:tcW w:w="1000" w:type="dxa"/>
            <w:vAlign w:val="bottom"/>
          </w:tcPr>
          <w:p>
            <w:pPr>
              <w:spacing w:after="0"/>
              <w:rPr>
                <w:sz w:val="21"/>
                <w:szCs w:val="21"/>
                <w:color w:val="auto"/>
              </w:rPr>
            </w:pPr>
          </w:p>
        </w:tc>
        <w:tc>
          <w:tcPr>
            <w:tcW w:w="8920" w:type="dxa"/>
            <w:vAlign w:val="bottom"/>
            <w:tcBorders>
              <w:bottom w:val="single" w:sz="8" w:color="auto"/>
            </w:tcBorders>
            <w:gridSpan w:val="14"/>
          </w:tcPr>
          <w:p>
            <w:pPr>
              <w:spacing w:after="0"/>
              <w:rPr>
                <w:rFonts w:ascii="Arial" w:cs="Arial" w:eastAsia="Arial" w:hAnsi="Arial"/>
                <w:sz w:val="18"/>
                <w:szCs w:val="18"/>
                <w:color w:val="auto"/>
                <w:w w:val="89"/>
              </w:rPr>
            </w:pPr>
            <w:hyperlink w:anchor="page6">
              <w:r>
                <w:rPr>
                  <w:rFonts w:ascii="Arial" w:cs="Arial" w:eastAsia="Arial" w:hAnsi="Arial"/>
                  <w:sz w:val="18"/>
                  <w:szCs w:val="18"/>
                  <w:color w:val="auto"/>
                  <w:w w:val="89"/>
                </w:rPr>
                <w:t>Condensed Consolidated Statements of Cash Flows for the Six Months Ended September 30, 2017 and September 30, 2016</w:t>
              </w:r>
            </w:hyperlink>
          </w:p>
        </w:tc>
        <w:tc>
          <w:tcPr>
            <w:tcW w:w="480" w:type="dxa"/>
            <w:vAlign w:val="bottom"/>
            <w:gridSpan w:val="2"/>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5</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6"/>
          </w:tcPr>
          <w:p>
            <w:pPr>
              <w:spacing w:after="0"/>
              <w:rPr>
                <w:rFonts w:ascii="Arial" w:cs="Arial" w:eastAsia="Arial" w:hAnsi="Arial"/>
                <w:sz w:val="18"/>
                <w:szCs w:val="18"/>
                <w:color w:val="auto"/>
              </w:rPr>
            </w:pPr>
            <w:hyperlink w:anchor="page7">
              <w:r>
                <w:rPr>
                  <w:rFonts w:ascii="Arial" w:cs="Arial" w:eastAsia="Arial" w:hAnsi="Arial"/>
                  <w:sz w:val="18"/>
                  <w:szCs w:val="18"/>
                  <w:color w:val="auto"/>
                </w:rPr>
                <w:t>Notes to the Condensed Consolidated Financial Statements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6"/>
          </w:tcPr>
          <w:p>
            <w:pPr>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2180" w:type="dxa"/>
            <w:vAlign w:val="bottom"/>
            <w:tcBorders>
              <w:left w:val="single" w:sz="8" w:color="auto"/>
            </w:tcBorders>
            <w:gridSpan w:val="2"/>
            <w:shd w:val="clear" w:color="auto" w:fill="000000"/>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gridSpan w:val="11"/>
          </w:tcPr>
          <w:p>
            <w:pPr>
              <w:spacing w:after="0"/>
              <w:rPr>
                <w:rFonts w:ascii="Arial" w:cs="Arial" w:eastAsia="Arial" w:hAnsi="Arial"/>
                <w:sz w:val="18"/>
                <w:szCs w:val="18"/>
                <w:color w:val="auto"/>
                <w:w w:val="90"/>
              </w:rPr>
            </w:pPr>
            <w:hyperlink w:anchor="page34">
              <w:r>
                <w:rPr>
                  <w:rFonts w:ascii="Arial" w:cs="Arial" w:eastAsia="Arial" w:hAnsi="Arial"/>
                  <w:sz w:val="18"/>
                  <w:szCs w:val="18"/>
                  <w:color w:val="auto"/>
                  <w:w w:val="90"/>
                </w:rPr>
                <w:t>Quantitative and Qualitative Disclosures about Market Risk</w:t>
              </w:r>
            </w:hyperlink>
          </w:p>
        </w:tc>
        <w:tc>
          <w:tcPr>
            <w:tcW w:w="2180" w:type="dxa"/>
            <w:vAlign w:val="bottom"/>
            <w:gridSpan w:val="2"/>
          </w:tcPr>
          <w:p>
            <w:pPr>
              <w:spacing w:after="0"/>
              <w:rPr>
                <w:sz w:val="21"/>
                <w:szCs w:val="21"/>
                <w:color w:val="auto"/>
              </w:rPr>
            </w:pPr>
          </w:p>
        </w:tc>
        <w:tc>
          <w:tcPr>
            <w:tcW w:w="2940" w:type="dxa"/>
            <w:vAlign w:val="bottom"/>
            <w:gridSpan w:val="3"/>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5120" w:type="dxa"/>
            <w:vAlign w:val="bottom"/>
            <w:tcBorders>
              <w:left w:val="single" w:sz="8" w:color="auto"/>
            </w:tcBorders>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auto"/>
                <w:w w:val="88"/>
              </w:rPr>
            </w:pPr>
            <w:hyperlink w:anchor="page35">
              <w:r>
                <w:rPr>
                  <w:rFonts w:ascii="Arial" w:cs="Arial" w:eastAsia="Arial" w:hAnsi="Arial"/>
                  <w:sz w:val="18"/>
                  <w:szCs w:val="18"/>
                  <w:color w:val="auto"/>
                  <w:w w:val="88"/>
                </w:rPr>
                <w:t>Controls and Procedures</w:t>
              </w:r>
            </w:hyperlink>
          </w:p>
        </w:tc>
        <w:tc>
          <w:tcPr>
            <w:tcW w:w="2500" w:type="dxa"/>
            <w:vAlign w:val="bottom"/>
            <w:gridSpan w:val="4"/>
          </w:tcPr>
          <w:p>
            <w:pPr>
              <w:spacing w:after="0"/>
              <w:rPr>
                <w:sz w:val="21"/>
                <w:szCs w:val="21"/>
                <w:color w:val="auto"/>
              </w:rPr>
            </w:pPr>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7"/>
          </w:tcPr>
          <w:p>
            <w:pPr>
              <w:spacing w:after="0"/>
              <w:rPr>
                <w:rFonts w:ascii="Arial" w:cs="Arial" w:eastAsia="Arial" w:hAnsi="Arial"/>
                <w:sz w:val="18"/>
                <w:szCs w:val="18"/>
                <w:color w:val="auto"/>
              </w:rPr>
            </w:pPr>
            <w:hyperlink w:anchor="page37">
              <w:r>
                <w:rPr>
                  <w:rFonts w:ascii="Arial" w:cs="Arial" w:eastAsia="Arial" w:hAnsi="Arial"/>
                  <w:sz w:val="18"/>
                  <w:szCs w:val="18"/>
                  <w:color w:val="auto"/>
                </w:rPr>
                <w:t>PART II OTHER INFORMATION</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gridSpan w:val="6"/>
          </w:tcPr>
          <w:p>
            <w:pPr>
              <w:spacing w:after="0"/>
              <w:rPr>
                <w:rFonts w:ascii="Arial" w:cs="Arial" w:eastAsia="Arial" w:hAnsi="Arial"/>
                <w:sz w:val="18"/>
                <w:szCs w:val="18"/>
                <w:color w:val="auto"/>
              </w:rPr>
            </w:pPr>
            <w:hyperlink w:anchor="page37">
              <w:r>
                <w:rPr>
                  <w:rFonts w:ascii="Arial" w:cs="Arial" w:eastAsia="Arial" w:hAnsi="Arial"/>
                  <w:sz w:val="18"/>
                  <w:szCs w:val="18"/>
                  <w:color w:val="auto"/>
                </w:rPr>
                <w:t>Legal Proceedings</w:t>
              </w:r>
            </w:hyperlink>
          </w:p>
        </w:tc>
        <w:tc>
          <w:tcPr>
            <w:tcW w:w="7880" w:type="dxa"/>
            <w:vAlign w:val="bottom"/>
            <w:gridSpan w:val="10"/>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60" w:type="dxa"/>
            <w:vAlign w:val="bottom"/>
            <w:tcBorders>
              <w:left w:val="single" w:sz="8" w:color="auto"/>
            </w:tcBorders>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auto"/>
                <w:w w:val="89"/>
              </w:rPr>
            </w:pPr>
            <w:hyperlink w:anchor="page37">
              <w:r>
                <w:rPr>
                  <w:rFonts w:ascii="Arial" w:cs="Arial" w:eastAsia="Arial" w:hAnsi="Arial"/>
                  <w:sz w:val="18"/>
                  <w:szCs w:val="18"/>
                  <w:color w:val="auto"/>
                  <w:w w:val="89"/>
                </w:rPr>
                <w:t>Risk Factors</w:t>
              </w:r>
            </w:hyperlink>
          </w:p>
        </w:tc>
        <w:tc>
          <w:tcPr>
            <w:tcW w:w="400" w:type="dxa"/>
            <w:vAlign w:val="bottom"/>
          </w:tcPr>
          <w:p>
            <w:pPr>
              <w:spacing w:after="0"/>
              <w:rPr>
                <w:sz w:val="21"/>
                <w:szCs w:val="21"/>
                <w:color w:val="auto"/>
              </w:rPr>
            </w:pPr>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6"/>
          </w:tcPr>
          <w:p>
            <w:pPr>
              <w:spacing w:after="0"/>
              <w:rPr>
                <w:rFonts w:ascii="Arial" w:cs="Arial" w:eastAsia="Arial" w:hAnsi="Arial"/>
                <w:sz w:val="18"/>
                <w:szCs w:val="18"/>
                <w:color w:val="auto"/>
              </w:rPr>
            </w:pPr>
            <w:hyperlink w:anchor="page37">
              <w:r>
                <w:rPr>
                  <w:rFonts w:ascii="Arial" w:cs="Arial" w:eastAsia="Arial" w:hAnsi="Arial"/>
                  <w:sz w:val="18"/>
                  <w:szCs w:val="18"/>
                  <w:color w:val="auto"/>
                </w:rPr>
                <w:t>Unregistered Sale of Equity Securities and Use of Proceeds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960" w:type="dxa"/>
            <w:vAlign w:val="bottom"/>
            <w:tcBorders>
              <w:left w:val="single" w:sz="8" w:color="auto"/>
            </w:tcBorders>
            <w:gridSpan w:val="6"/>
            <w:shd w:val="clear" w:color="auto" w:fill="000000"/>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4280" w:type="dxa"/>
            <w:vAlign w:val="bottom"/>
            <w:gridSpan w:val="11"/>
          </w:tcPr>
          <w:p>
            <w:pPr>
              <w:spacing w:after="0"/>
              <w:rPr>
                <w:rFonts w:ascii="Arial" w:cs="Arial" w:eastAsia="Arial" w:hAnsi="Arial"/>
                <w:sz w:val="18"/>
                <w:szCs w:val="18"/>
                <w:color w:val="auto"/>
              </w:rPr>
            </w:pPr>
            <w:hyperlink w:anchor="page37">
              <w:r>
                <w:rPr>
                  <w:rFonts w:ascii="Arial" w:cs="Arial" w:eastAsia="Arial" w:hAnsi="Arial"/>
                  <w:sz w:val="18"/>
                  <w:szCs w:val="18"/>
                  <w:color w:val="auto"/>
                </w:rPr>
                <w:t>Other Information</w:t>
              </w:r>
            </w:hyperlink>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rPr>
                <w:rFonts w:ascii="Arial" w:cs="Arial" w:eastAsia="Arial" w:hAnsi="Arial"/>
                <w:sz w:val="18"/>
                <w:szCs w:val="18"/>
                <w:color w:val="auto"/>
              </w:rPr>
            </w:pPr>
            <w:hyperlink w:anchor="page38">
              <w:r>
                <w:rPr>
                  <w:rFonts w:ascii="Arial" w:cs="Arial" w:eastAsia="Arial" w:hAnsi="Arial"/>
                  <w:sz w:val="18"/>
                  <w:szCs w:val="18"/>
                  <w:color w:val="auto"/>
                </w:rPr>
                <w:t>Exhibits</w:t>
              </w:r>
            </w:hyperlink>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8">
              <w:r>
                <w:rPr>
                  <w:rFonts w:ascii="Arial" w:cs="Arial" w:eastAsia="Arial" w:hAnsi="Arial"/>
                  <w:sz w:val="18"/>
                  <w:szCs w:val="18"/>
                  <w:color w:val="auto"/>
                </w:rPr>
                <w:t>37</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7"/>
          </w:tcPr>
          <w:p>
            <w:pPr>
              <w:spacing w:after="0"/>
              <w:rPr>
                <w:rFonts w:ascii="Arial" w:cs="Arial" w:eastAsia="Arial" w:hAnsi="Arial"/>
                <w:sz w:val="18"/>
                <w:szCs w:val="18"/>
                <w:color w:val="auto"/>
              </w:rPr>
            </w:pPr>
            <w:hyperlink w:anchor="page39">
              <w:r>
                <w:rPr>
                  <w:rFonts w:ascii="Arial" w:cs="Arial" w:eastAsia="Arial" w:hAnsi="Arial"/>
                  <w:sz w:val="18"/>
                  <w:szCs w:val="18"/>
                  <w:color w:val="auto"/>
                </w:rPr>
                <w:t>SIGNATURES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91"/>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31.1</w:t>
            </w:r>
          </w:p>
        </w:tc>
        <w:tc>
          <w:tcPr>
            <w:tcW w:w="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Exhibit 31.2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Exhibit 32.1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32.2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PRESENTATION LINKBASE DOCUMENT</w:t>
      </w:r>
    </w:p>
    <w:p>
      <w:pPr>
        <w:sectPr>
          <w:pgSz w:w="11900" w:h="16838" w:orient="portrait"/>
          <w:cols w:equalWidth="0" w:num="1">
            <w:col w:w="11180"/>
          </w:cols>
          <w:pgMar w:left="280" w:top="36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2017</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6"/>
                <w:szCs w:val="16"/>
                <w:b w:val="1"/>
                <w:bCs w:val="1"/>
                <w:color w:val="auto"/>
                <w:w w:val="96"/>
              </w:rPr>
              <w:t>March 31, 2017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9,171</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contract costs</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935</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2,877</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43,883</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4,207</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44,768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62,051</w:t>
            </w:r>
          </w:p>
        </w:tc>
      </w:tr>
      <w:tr>
        <w:trPr>
          <w:trHeight w:val="67"/>
        </w:trPr>
        <w:tc>
          <w:tcPr>
            <w:tcW w:w="8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11,635</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621</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18,396</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long-term</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26,601</w:t>
            </w: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89"/>
              </w:rPr>
              <w:t>Preferred stock, $0.01 par value: Shares authorized: 30,000,000 at September 30, 2017 and March 31, 2017; no</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shares issued and outstanding at September 30, 2017 and March 31, 2017</w:t>
            </w:r>
          </w:p>
        </w:tc>
        <w:tc>
          <w:tcPr>
            <w:tcW w:w="1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Common stock, no par value: Shares authorized: 200,000,000 at September 30, 2017 and March 31, 2017;</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6"/>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shares issued: 38,314,390 at September 30, 2017 and 37,747,227 at March 31, 2017; shares outstanding:</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28,880,987 at September 30, 2017 and 28,317,490 at March 31, 2017</w:t>
            </w: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154,506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153,901</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common shares: 9,433,403 at September 30, 2017 and 9,429,737 at March 31, 2017</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Shareholder notes receivable</w:t>
            </w:r>
          </w:p>
        </w:tc>
        <w:tc>
          <w:tcPr>
            <w:tcW w:w="14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(82,366)</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35,450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62,051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4" w:name="page5"/>
    <w:bookmarkEnd w:id="4"/>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7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1,277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10,593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11,752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23,171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12,426</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21,649</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24,034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Impairment of intangible assets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 income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(10,233)</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(10,233)</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(3,910)</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net loss per share attributable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28,834,868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28,171,899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28,646,188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28,029,526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1"/>
              </w:rPr>
              <w:t>Weighted-average common shares and share equivalents outstanding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28,834,868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28,171,899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28,646,188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28,029,526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(3,910)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755</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868</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Provision for inventory reserves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bad debts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current and long-term</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contract costs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667</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 current and long-term</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Additions to patents and licenses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property, plant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 of long-term debt and capital leases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41,211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 of revolving credit facility</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(40,071)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proceeds from employee equity exercises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18,734</w:t>
            </w:r>
          </w:p>
        </w:tc>
      </w:tr>
      <w:tr>
        <w:trPr>
          <w:trHeight w:val="27"/>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79"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7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Orion’s corporate offices and leased primary manufacturing operations are located in Manitowoc, Wisconsin. Orion leases office space in Jacksonville, Florida; Chicago, Illinois; and Houston, Texas. Orion also leases warehouse space in Manitowoc, Wisconsin and Augusta, Georgia.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 appropriate, certain reclassifications have been made to prior years’ financial statements to conform to the current year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2018 or other interim periods.</w:t>
      </w:r>
    </w:p>
    <w:p>
      <w:pPr>
        <w:spacing w:after="0" w:line="11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condensed consolidated balance sheet at March 31, 2017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2017 filed with the Securities and Exchange Commission on June 13,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impairments, income taxes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the three and six months ended September 30, 2017 and 2016, no supplier accounted for more than 10% of total cost of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7" w:name="page8"/>
    <w:bookmarkEnd w:id="7"/>
    <w:p>
      <w:pPr>
        <w:ind w:right="20" w:firstLine="405"/>
        <w:spacing w:after="0" w:line="264" w:lineRule="auto"/>
        <w:rPr>
          <w:sz w:val="20"/>
          <w:szCs w:val="20"/>
          <w:color w:val="auto"/>
        </w:rPr>
      </w:pPr>
      <w:r>
        <w:rPr>
          <w:rFonts w:ascii="Arial" w:cs="Arial" w:eastAsia="Arial" w:hAnsi="Arial"/>
          <w:sz w:val="18"/>
          <w:szCs w:val="18"/>
          <w:color w:val="auto"/>
        </w:rPr>
        <w:t>For the three months ended September 30, 2017, one customer accounted for 13.7% of total revenue. For the six months ended September 30, 2017, one customer accounted for 11.9% of total revenue. For the three and six months ended September 30, 2016, no customer accounted for more than 10% of revenue.</w:t>
      </w:r>
    </w:p>
    <w:p>
      <w:pPr>
        <w:spacing w:after="0" w:line="12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September 30, 2017, no customer accounted for more than 10% of accounts receivable. As of March 31, 2017, one customer accounted for 11.6% of accounts receivable.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2016, the Financial Accounting Standards Board (“FASB”) issued Accounting Standards Update (“ASU”) 2016-15, "Classification of Certain Cash Receipts and Cash Payments," which provides clarification and additional guidance as to the presentation and classification of certain cash receipts and cash payments in the statement of cash flows. The ASU provides guidance, as to the classification of a number of transactions including: contingent consideration payments made after a business combination, proceeds from the settlement of insurance claims, proceeds from the settlement of corporate-owned life insurance policies, and distributions received from equity method investees. The new standard will be effective for Orion in the first quarter of fiscal 2019 and will be applied through retrospective adjustment to all periods presented. Orion does not expect the adoption of this guidance to have a material impact on its consolidated financial statements.</w:t>
      </w:r>
    </w:p>
    <w:p>
      <w:pPr>
        <w:spacing w:after="0" w:line="13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February 2016, the FASB issued ASU 2016-02, “Leases (Subtopic 842)." This ASU requires that lessees recognize right-of-use assets and liabilities on the balance sheet for the rights and obligations created by long-term leases and disclose additional quantitative and qualitative information about leasing arrangements. Under this ASU, leases will be classified as either finance or operating, with classification affecting the pattern of expense recognition. Similarly, lessors will be required to classify leases as sales-type, finance or operating leases, with classification affecting the pattern of income recognition. Classification for both lessees and lessors will be based on an assessment of whether risks and rewards as well as substantive control have been transferred through the lease contract. This ASU also provides guidance on the presentation of the effects of leases in the income statement and statement of cash flows. This guidance will be effective for Orion on April 1, 2019. Early adoption of the standard is permitted and a modified retrospective transition approach is required for leases existing at, or entered into after, the beginning of the earliest comparative period presented in the financial statements, with certain practical expedients available. The Company has not yet completed its review of the full provisions of this standard against its outstanding lease arrangements and is in the process of quantifying the lease liability and related right of use asset which will be recorded to its consolidated balance sheets upon adoption of the standard. In addition, management continues to assess the impact of adoption of this standard on its consolidated statements of operations, cash flows, and the related footnote disclosures.</w:t>
      </w:r>
    </w:p>
    <w:p>
      <w:pPr>
        <w:spacing w:after="0" w:line="12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This ASU is a comprehensive new revenue recognition model that requires a company to recognize revenue as control of the goods or services is transferred to a customer at an amount that reflects the consideration it expects to receive in exchange for those goods or services. In addition, the ASU requires enhanced and expanded financial statement disclosures. Since the issuance of this ASU, the FASB has issued further ASU’s to provide additional guidance and clarification as to the application of ASU 2014-09 and delaying its original effective date. The ASU allows companies to elect either a full retrospective or modified retrospective approach to adoption.</w:t>
      </w:r>
    </w:p>
    <w:p>
      <w:pPr>
        <w:spacing w:after="0" w:line="10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Orion will adopt ASU 2014-09 and the related updates with their effective date on April 1, 2018 (“ASC 606”). To date, Orion has identified that it has four different revenue streams that will require evaluation as to what, if any, changes will be necessary under ASC 606 as compared to legacy accounting guidance. These revenue streams are (a) material only sales that are shipped to customers from Orion’s plant or directly from Orion’s vendors, (b) contracts that involve a combination of material and installation services and (c) contracts entered into under the Company’s legacy solar business. The Company also has revenue from contracts that involve a combination of material and installation services where Orion also provides a financing arrangement to the customer. These contracts are currently accounted for as leases under the provisions of Topic 840, Leases; such transactions are excluded from the scope of ASU 2014-09. Therefore, we do not anticipate our accounting for these matters will change on April 1, 2018.</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continues to review the provisions of these standards against its customer contracts, including evaluating and identifying distinct performance obligations and variable consideration in the form of customer rebates. The Company has selected a representative sample of customer contracts from each of its major revenue streams and is in the process of evaluating these contracts against the standards to determine any impact on the timing, measurement or presentation of revenue recognition.</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identifying the necessary changes in its ongoing process for the review of new customer contracts and the identification of key terms impacting revenue recognition. The Company is also evaluating the necessary changes to its systems, revenue related processes and controls as a result of the new standard, including the related footnote disclosures. Under ASU 2014-09 incremental contract costs, including sales commissions, may be required to be capitalized and expensed over the period these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are recovered. Although Orion incurs commission costs, its contracts are typically completed within one year. As such, the Company will elect to apply the practical expedient for contract costs recovered within one year and will continue to recognize commissions immediately. Orion currently plans to elect the modified retrospective adoption method but continues to evaluate both of the available transition methods.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May 2017, the FASB issued ASU 2017-09, “Compensation-Stock Compensation: Scope of Modification Accounting” which provides guidance about which changes to the terms or conditions of a share-based payment award would require an entity to apply modification accounting. The provisions of this standard are effective for Orion beginning on April 1, 2018. The adoption of this standard is not expected to have a material impact on Orion’s consolidated condensed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November 2015, the FASB issued ASU 2015-17, “Income Taxes (Topic 740): Balance Sheet Classification of Deferred Taxes,” to simplify the presentation of deferred taxes. The amendments in this update require that deferred tax assets and liabilities be classified as non-current on the balance sheet. This ASU is effective for Orion's annual reporting period, and interim periods therein, as of April 1, 2017. The adoption of this standard had no impact on Orion’s condensed consolidated financial statements.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which changes the measurement principle for inventory from the lower of cost or market to the lower of cost or net realizable value for entities that measure inventory using first-in, first-out ("FIFO") or average cost. Net realizable value is defined as the estimated selling prices in the ordinary course of business, less reasonably predictable costs of completion, disposal and transportation. Orion adopted this standard as of April 1, 2017. The adoption of this standard had no impact on its condensed consolidated financial statements as the previous measurement and validation of the carrying value of its inventory incorporated market values consistent with the net realizable value measurements of the standard.</w:t>
      </w:r>
    </w:p>
    <w:p>
      <w:pPr>
        <w:spacing w:after="0" w:line="13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changes how companies account for certain aspects of share-based payment awards to employees, including the accounting for income taxes, forfeitures, and statutory tax withholding requirements, as well as the classification of related matters in the statement of cash flows. Orion adopted this ASU as of April 1, 2017. As a result of adopting the income tax accounting provisions of this standard, Orion realized an increase in both its deferred tax assets related to stock-based compensation awards and the related valuation allowance. As the Company carries a full valuation allowance against its deferred tax assets, there was no net impact to its condensed consolidated balance sheets or statements of operations. In accordance with the provisions of this standard, the Company elected to prospectively adopt an accounting policy to recognize forfeitures as they occur in lieu of estimating forfeitures. The cashflow presentation provisions of the standard had no impact on Orion’s condensed consolidated financial statements. Finally, due to the Company’s net loss, the modifications to the calculation of diluted earnings per share as a result of adopting this standard did not impact its diluted earnings per share.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ACCOUNTS RECEIVABLE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Orion's accounts receivable and allowance for doubtful accounts balances were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gross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8,141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 INVENTORIES</w:t>
            </w: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20" w:type="dxa"/>
            <w:vAlign w:val="bottom"/>
            <w:gridSpan w:val="3"/>
          </w:tcPr>
          <w:p>
            <w:pPr>
              <w:ind w:left="440"/>
              <w:spacing w:after="0"/>
              <w:rPr>
                <w:sz w:val="20"/>
                <w:szCs w:val="20"/>
                <w:color w:val="auto"/>
              </w:rPr>
            </w:pPr>
            <w:r>
              <w:rPr>
                <w:rFonts w:ascii="Arial" w:cs="Arial" w:eastAsia="Arial" w:hAnsi="Arial"/>
                <w:sz w:val="18"/>
                <w:szCs w:val="18"/>
                <w:color w:val="auto"/>
                <w:w w:val="93"/>
              </w:rPr>
              <w:t>As of September 30, 2017 and March 31, 2017, Orion's inventory balances were as follows (dollars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ind w:left="320"/>
              <w:spacing w:after="0"/>
              <w:rPr>
                <w:sz w:val="20"/>
                <w:szCs w:val="20"/>
                <w:color w:val="auto"/>
              </w:rPr>
            </w:pPr>
            <w:r>
              <w:rPr>
                <w:rFonts w:ascii="Arial" w:cs="Arial" w:eastAsia="Arial" w:hAnsi="Arial"/>
                <w:sz w:val="14"/>
                <w:szCs w:val="14"/>
                <w:b w:val="1"/>
                <w:bCs w:val="1"/>
                <w:color w:val="auto"/>
              </w:rPr>
              <w:t>Reserve</w:t>
            </w:r>
          </w:p>
        </w:tc>
        <w:tc>
          <w:tcPr>
            <w:tcW w:w="11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2017</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6,578</w:t>
            </w: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(1,468)</w:t>
            </w:r>
          </w:p>
        </w:tc>
        <w:tc>
          <w:tcPr>
            <w:tcW w:w="100" w:type="dxa"/>
            <w:vAlign w:val="bottom"/>
          </w:tcPr>
          <w:p>
            <w:pPr>
              <w:spacing w:after="0"/>
              <w:rPr>
                <w:sz w:val="21"/>
                <w:szCs w:val="21"/>
                <w:color w:val="auto"/>
              </w:rPr>
            </w:pP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4,678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(1,461)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12,590</w:t>
            </w:r>
          </w:p>
        </w:tc>
        <w:tc>
          <w:tcPr>
            <w:tcW w:w="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(3,280)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2017</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8,104</w:t>
            </w: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(1,807)</w:t>
            </w:r>
          </w:p>
        </w:tc>
        <w:tc>
          <w:tcPr>
            <w:tcW w:w="100" w:type="dxa"/>
            <w:vAlign w:val="bottom"/>
          </w:tcPr>
          <w:p>
            <w:pPr>
              <w:spacing w:after="0"/>
              <w:rPr>
                <w:sz w:val="21"/>
                <w:szCs w:val="21"/>
                <w:color w:val="auto"/>
              </w:rPr>
            </w:pP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7,044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(1,337)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17,066</w:t>
            </w:r>
          </w:p>
        </w:tc>
        <w:tc>
          <w:tcPr>
            <w:tcW w:w="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(3,473)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13,593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PREPAID EXPENSES AND OTHER CURRENT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80" w:type="dxa"/>
            <w:vAlign w:val="bottom"/>
          </w:tcPr>
          <w:p>
            <w:pPr>
              <w:ind w:left="660"/>
              <w:spacing w:after="0"/>
              <w:rPr>
                <w:sz w:val="20"/>
                <w:szCs w:val="20"/>
                <w:color w:val="auto"/>
              </w:rPr>
            </w:pPr>
            <w:r>
              <w:rPr>
                <w:rFonts w:ascii="Arial" w:cs="Arial" w:eastAsia="Arial" w:hAnsi="Arial"/>
                <w:sz w:val="18"/>
                <w:szCs w:val="18"/>
                <w:color w:val="auto"/>
              </w:rPr>
              <w:t>Prepaid expenses and other current assets include the following (dollars in thousands):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5"/>
          </w:tcPr>
          <w:p>
            <w:pPr>
              <w:ind w:left="40"/>
              <w:spacing w:after="0"/>
              <w:rPr>
                <w:sz w:val="20"/>
                <w:szCs w:val="20"/>
                <w:color w:val="auto"/>
              </w:rPr>
            </w:pPr>
            <w:r>
              <w:rPr>
                <w:rFonts w:ascii="Arial" w:cs="Arial" w:eastAsia="Arial" w:hAnsi="Arial"/>
                <w:sz w:val="14"/>
                <w:szCs w:val="14"/>
                <w:b w:val="1"/>
                <w:bCs w:val="1"/>
                <w:color w:val="auto"/>
              </w:rPr>
              <w:t>September 30, 2017</w:t>
            </w:r>
          </w:p>
        </w:tc>
        <w:tc>
          <w:tcPr>
            <w:tcW w:w="124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accounts receivable</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1,202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prepaid expenses</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80" w:type="dxa"/>
            <w:vAlign w:val="bottom"/>
            <w:tcBorders>
              <w:bottom w:val="single" w:sz="8" w:color="auto"/>
            </w:tcBorders>
            <w:shd w:val="clear" w:color="auto" w:fill="CCEEFF"/>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0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6 — PROPERTY AND EQUIPMENT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16"/>
                <w:szCs w:val="16"/>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March 31, 2017</w:t>
            </w: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40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9,245</w:t>
            </w:r>
          </w:p>
        </w:tc>
      </w:tr>
      <w:tr>
        <w:trPr>
          <w:trHeight w:val="27"/>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7,056</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324</w:t>
            </w:r>
          </w:p>
        </w:tc>
      </w:tr>
      <w:tr>
        <w:trPr>
          <w:trHeight w:val="27"/>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11,795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11,627</w:t>
            </w:r>
          </w:p>
        </w:tc>
      </w:tr>
      <w:tr>
        <w:trPr>
          <w:trHeight w:val="27"/>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r>
      <w:tr>
        <w:trPr>
          <w:trHeight w:val="237"/>
        </w:trPr>
        <w:tc>
          <w:tcPr>
            <w:tcW w:w="87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33,734</w:t>
            </w:r>
          </w:p>
        </w:tc>
      </w:tr>
      <w:tr>
        <w:trPr>
          <w:trHeight w:val="27"/>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(19,948)</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13,786</w:t>
            </w:r>
          </w:p>
        </w:tc>
      </w:tr>
      <w:tr>
        <w:trPr>
          <w:trHeight w:val="27"/>
        </w:trPr>
        <w:tc>
          <w:tcPr>
            <w:tcW w:w="8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As a result of lower than anticipated operating results in the first half of fiscal 2018, Orion revised its full year fiscal 2018 forecast. As such, a triggering event occurred requiring the Company to evaluate its long-lived assets for impairment. Due to the central nature of its operations, Orion’s tangible and intangible definite-lived assets support its full operations, are utilized by all three of its reportable segments, and do not generate separately identifiable cash flows. As such, these assets together represent a single asset group. In reviewing the asset group for impairment, Orion elected to bypass the qualitative impairment assessment and went directly to performing the Step 1 recoverability test. The Company performed the Step 1 recoverability test for the asset group comparing its carrying value to the group’s expected future undiscounted cash flows. The Company concluded that the undiscounted cash flows of the definite lived asset group exceeded its carrying value. As such the asset group was deemed recoverable and no impairment was recorded.</w:t>
      </w:r>
    </w:p>
    <w:p>
      <w:pPr>
        <w:spacing w:after="0" w:line="11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the six months ended September 30, 2017, the Company began pursuing the potential sale and leaseback of its Tech Center building located in Manitowoc, Wisconsin. The Tech Center building houses Orion's corporate offices. Due to the expected leaseback of more than a minor portion of the facility, it does not meet the criteria to be classified as held for sale as of September 30, 2017. Orion assessed the impact of the potential sale and leaseback of the facility on its carrying value by as of September 30, 2017 by performing a probability weighted cashflow analysis (a Level 3 fair value measure). As a result of this analysis, and based on the assumptions used, including management’s best estimate of the potential sales price, future rent expense, sublease income, and the probability of various scenarios under consideration, the Company concluded that the asset is not impaired as of September 30,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Equipment included above under capital leases was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22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March 31, 2017</w:t>
            </w:r>
          </w:p>
        </w:tc>
        <w:tc>
          <w:tcPr>
            <w:tcW w:w="0" w:type="dxa"/>
            <w:vAlign w:val="bottom"/>
          </w:tcPr>
          <w:p>
            <w:pPr>
              <w:spacing w:after="0"/>
              <w:rPr>
                <w:sz w:val="1"/>
                <w:szCs w:val="1"/>
                <w:color w:val="auto"/>
              </w:rPr>
            </w:pPr>
          </w:p>
        </w:tc>
      </w:tr>
      <w:tr>
        <w:trPr>
          <w:trHeight w:val="192"/>
        </w:trPr>
        <w:tc>
          <w:tcPr>
            <w:tcW w:w="6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net</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Orion recorded depreciation expense of $0.3 and $0.7 million for the three and six months ended September 30, 2017, respectively, and $0.4 and $0.8 million for the three and six months ended September 30,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0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7 — INTANGIBLE ASSETS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and changes in, the carrying amount of other intangible assets were as follows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2017</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6"/>
              </w:rPr>
              <w:t>March 31, 2017</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w:t>
            </w:r>
          </w:p>
        </w:tc>
        <w:tc>
          <w:tcPr>
            <w:tcW w:w="2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3,203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As a result of lower than anticipated operating results in the first half of fiscal 2018, Orion revised its full year fiscal 2018 forecast. As such, a triggering event occurred requiring the Company to evaluate its long-lived assets for impairment. As such Orion performed a quantitative impairment review of its indefinite lived intangible assets related to the Harris trade name applying the royalty replacement method to determine the asset’s fair value as of September 30, 2017. Under the royalty replacement method, the fair value of the Harris tradename was determined based on a market participant’s view of the royalty that would be paid to license the right to use the tradename.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impairment test, the carrying value of the Harris trade name exceeded its estimated fair value and an impairment of $0.7 million was recorded to Impairment of intangible assets during the quarter ended September 30, 2017 to reduce the asset’s carrying value to its calculated fair value. This fair value determination was categorized as Level 3 in the fair value hierarchy.</w:t>
      </w:r>
    </w:p>
    <w:p>
      <w:pPr>
        <w:spacing w:after="0" w:line="11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discussed in Note 6, Orion’s definite-lived intangible assets are part of a broader asset group which was also reviewed for impairment. See Note 6 for further discussion.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expense on intangible assets was $0.2 million for both the three months ended September 30, 2017 and 2016.</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on intangible assets was $0.3 and $0.5 million for the six months ended September 30, 2017 and 2016, respectively.</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2017, the weighted average remaining useful life of intangible assets was 5.79 years.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estimated amortization expense for the next five years and beyond is shown below (dollars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BFE4FF"/>
          </w:tcPr>
          <w:p>
            <w:pPr>
              <w:ind w:left="40"/>
              <w:spacing w:after="0"/>
              <w:rPr>
                <w:sz w:val="20"/>
                <w:szCs w:val="20"/>
                <w:color w:val="auto"/>
              </w:rPr>
            </w:pPr>
            <w:r>
              <w:rPr>
                <w:rFonts w:ascii="Arial" w:cs="Arial" w:eastAsia="Arial" w:hAnsi="Arial"/>
                <w:sz w:val="18"/>
                <w:szCs w:val="18"/>
                <w:color w:val="auto"/>
              </w:rPr>
              <w:t>Fiscal 2018 (period remaining)</w:t>
            </w:r>
          </w:p>
        </w:tc>
        <w:tc>
          <w:tcPr>
            <w:tcW w:w="660" w:type="dxa"/>
            <w:vAlign w:val="bottom"/>
            <w:shd w:val="clear" w:color="auto" w:fill="BFE4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Fiscal 2019</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448</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Fiscal 2020</w:t>
            </w:r>
          </w:p>
        </w:tc>
        <w:tc>
          <w:tcPr>
            <w:tcW w:w="6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362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288</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Fiscal 2022</w:t>
            </w:r>
          </w:p>
        </w:tc>
        <w:tc>
          <w:tcPr>
            <w:tcW w:w="6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7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445</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2,198</w:t>
            </w:r>
          </w:p>
        </w:tc>
      </w:tr>
      <w:tr>
        <w:trPr>
          <w:trHeight w:val="20"/>
        </w:trPr>
        <w:tc>
          <w:tcPr>
            <w:tcW w:w="9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0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8 — OTHER LONG-TERM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assets include the following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March 31, 2017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Security deposits</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NOTE 9 — ACCRUED EXPENSES AND OTHER LONG-TERM LIABILITIES</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80" w:type="dxa"/>
            <w:vAlign w:val="bottom"/>
          </w:tcPr>
          <w:p>
            <w:pPr>
              <w:ind w:left="440"/>
              <w:spacing w:after="0"/>
              <w:rPr>
                <w:sz w:val="20"/>
                <w:szCs w:val="20"/>
                <w:color w:val="auto"/>
              </w:rPr>
            </w:pPr>
            <w:r>
              <w:rPr>
                <w:rFonts w:ascii="Arial" w:cs="Arial" w:eastAsia="Arial" w:hAnsi="Arial"/>
                <w:sz w:val="18"/>
                <w:szCs w:val="18"/>
                <w:color w:val="auto"/>
              </w:rPr>
              <w:t>Accrued expenses and other include the following (dollars in thousands):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March 31, 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Sales tax</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costs</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Legal and professional fees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Other long-term liabilities includes the following (dollars in thousands):</w:t>
            </w: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24"/>
                <w:szCs w:val="24"/>
                <w:color w:val="auto"/>
              </w:rPr>
            </w:pPr>
          </w:p>
        </w:tc>
        <w:tc>
          <w:tcPr>
            <w:tcW w:w="112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March 31, 2017</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Medical benefits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generally offers a limited warranty of one to ten years on its lighting products in addition to those standard warranties offered by major original equipment component manufacturers. The manufacturers’ warranties cover lamps, chips, drivers and ballasts, which are significant components in Orion's lighting products.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5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8"/>
              </w:rPr>
              <w:t>Six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to product cost of revenue</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251</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1,114</w:t>
            </w:r>
          </w:p>
        </w:tc>
      </w:tr>
      <w:tr>
        <w:trPr>
          <w:trHeight w:val="27"/>
        </w:trPr>
        <w:tc>
          <w:tcPr>
            <w:tcW w:w="5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NET LOSS PER COMMON SHARE</w:t>
      </w:r>
    </w:p>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07" w:right="239" w:bottom="1440" w:gutter="0" w:footer="0" w:header="0"/>
        </w:sectPr>
      </w:pPr>
    </w:p>
    <w:bookmarkStart w:id="13" w:name="page14"/>
    <w:bookmarkEnd w:id="13"/>
    <w:p>
      <w:pPr>
        <w:jc w:val="both"/>
        <w:ind w:firstLine="405"/>
        <w:spacing w:after="0" w:line="264" w:lineRule="auto"/>
        <w:rPr>
          <w:sz w:val="20"/>
          <w:szCs w:val="20"/>
          <w:color w:val="auto"/>
        </w:rPr>
      </w:pPr>
      <w:r>
        <w:rPr>
          <w:rFonts w:ascii="Arial" w:cs="Arial" w:eastAsia="Arial" w:hAnsi="Arial"/>
          <w:sz w:val="18"/>
          <w:szCs w:val="18"/>
          <w:color w:val="auto"/>
        </w:rPr>
        <w:t>For the three and six months ended September 30, 2017 and 2016, Orion was in a net loss position; therefore, the basic and diluted weighted average shares outstanding are equal because any increase to the basic shares would be anti-dilutive. Net loss per common share is calculated based upon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7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(in thousands)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28,834,868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28,171,899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28,646,188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28,029,526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Weighted-average common shares and common share equivalents</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28,834,868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28,171,899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28,646,188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28,029,526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loss per common share because their inclusion would have been anti-dilutive. The number of shares are as of the end of each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2017</w:t>
            </w:r>
          </w:p>
        </w:tc>
        <w:tc>
          <w:tcPr>
            <w:tcW w:w="1480" w:type="dxa"/>
            <w:vAlign w:val="bottom"/>
          </w:tcPr>
          <w:p>
            <w:pPr>
              <w:jc w:val="right"/>
              <w:ind w:right="54"/>
              <w:spacing w:after="0"/>
              <w:rPr>
                <w:sz w:val="20"/>
                <w:szCs w:val="20"/>
                <w:color w:val="auto"/>
              </w:rPr>
            </w:pPr>
            <w:r>
              <w:rPr>
                <w:rFonts w:ascii="Arial" w:cs="Arial" w:eastAsia="Arial" w:hAnsi="Arial"/>
                <w:sz w:val="14"/>
                <w:szCs w:val="14"/>
                <w:b w:val="1"/>
                <w:bCs w:val="1"/>
                <w:color w:val="auto"/>
              </w:rPr>
              <w:t>September 30, 2016</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993,011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1,942,446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1,536,506</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1,723,920</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2,529,517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3,666,366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9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During the three and six months ended September 30, 2017, Orion incurred a de minimis amount for consulting services provided by a member of its Board of Directors. During the three and six months ended September 30, 2016, Orion purchased goods and services from an entity in the amount of approximately twenty-five thousand and thirty-two thousand dollars, respectively, at which time a director of Orion served as a minority owner and as the president and chairman of the board of directors of the entity.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12 —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16"/>
                <w:szCs w:val="16"/>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March 31, 2017</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Equipment lease obligations</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321</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Orion has an amended credit agreement ("Credit Agreement") that provides for a revolving credit facility ("Credit Facility") subject to a borrowing base requirement based on eligible receivables and inventory. As of September 30, 2017, Orion's borrowing base was approximately $3.2 million. The Credit Facility has a maturity date of February 6, 2019 and includes a $2.0 million sublimit for the issuance of letters of credit. As of September 30, 2017, Orion had no outstanding letters of credit. Borrowings outstanding as of September 30, 2017, amounted to approximately $3.1 million and are included in non-current liabilities in the accompanying condensed consolidated balance sheet. Orion estimates that as of September 30, 2017, it was eligible to borrow an additional $0.1 million under the Credit Facility based upon current levels of eligible inventory and accounts receivable.</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Subject in each case to Orion's applicable borrowing base limitations, the Credit Agreement otherwise provides for a $15.0 million Credit Facility. This limit may increase to $20.0 million based on a borrowing base requirement, if Orion satisfies certain conditions. Orion did not meet the requirements to increase the borrowing limit to $20.0 million as of July 31, 2017, the most recent measurement date.</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From and after any increase in the Credit Facility limit from $15.0 million to $20.0 million, the Credit Agreement requires that Orion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Orion’s ability to incur additional indebtedness, consolidate or merge, enter into acquisitions, guarantee obligations of third parties, make loans or advances, declare or pay any dividend or distribution on Orion’s stock, redeem or repurchase shares of Orion’s stock, or pledge or dispose of assets. Orion was in compliance with its covenants in the Credit Agreement as of September 30, 2017.</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Each subsidiary of Orion is a joint and several co-borrower or guarantor under the Credit Agreement, and the Credit Agreement is secured by a security interest in substantially all of Orion’s and each subsidiary’s personal property (excluding various assets relating to customer OTAs) and a mortgage on certain real property.</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$0.1 million, regardless of usage. As of September 30, 2017, the interest rate was 4.33%. Orion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Harris Seller's Note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July 1, 2013, Orion issued an unsecured and subordinated promissory note in the principal amount of $3.1 million to partially fund the acquisition of Harris Manufacturing, Inc. and Harris LED, LLC (collectively, "Harris"). The note's interest rate was 4% per annum. Principal and interest were payable quarterly. The note matured in July 2016 and was paid in full upon maturity.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 Obligation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March 2016 and June 2015, Orion entered into lease agreements with a financing company in the principal amount of nineteen thousand dollars and $0.4 million, respectively, to fund certain equipment. The leases are secured by the related equipment. The leases bear interest at a rate of 5.9% and 3.6%, respectively, and mature in February 2018 and June 2020. Both leases contain a one dollar buyout option.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0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2014, Orion entered into a secured borrowing agreement with a financing company in the principal amount of $0.4 million to fund completed customer contracts under its OTA finance program that were previously funded under a different OTA credit agreement. The loan amount is secured by the OTA-related equipment and the expected future monthly payments under the supporting 25 individual OTA customer contracts. The borrowing agreement bears interest at a rate of 8.36% and matures in April 2018.</w:t>
      </w:r>
    </w:p>
    <w:p>
      <w:pPr>
        <w:spacing w:after="0" w:line="133"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In June 2011, Orion entered into a note agreement with a financial institution that provided Orion with $2.8 million to fund completed customer contracts under Orion’s OTA finance program. The note bore interest at 7.85%. The note matured in April 2016 and was paid in full upon maturity.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September 2010, Orion entered into a note agreement with the Wisconsin Department of Commerce that provided Orion with $0.3 million to fund Orion’s rooftop solar project at its Manitowoc facility. This note is included in the table above as other long-term debt. The note is collateralized by the related solar equipment. The note allowed for two years without interest accruing or principal payments due. Beginning in July 2012, the note bears interest at 2% and requires monthly payments of four thousand six hundred. The note matured in June 2017 and was paid in full upon maturity.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75"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The income tax provision for the three months ended September 30, 2017 was determined by applying an estimated annual effective tax rate of 0.0% to loss before income tax. The estimated effective tax rate for the three month period ended September 30, 2016 was (1.0)%. The estimated effective income tax rate was determined by applying statutory tax rates to pretax loss adjusted for certain permanent book to tax differences and tax credits.</w:t>
      </w:r>
    </w:p>
    <w:p>
      <w:pPr>
        <w:spacing w:after="0" w:line="9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income tax provision for the six months ended September 30, 2017 was determined by applying an estimated annual effective tax rate of 0.0% to loss before income tax. The estimated effective tax rate for the six month period ended September 30, 2016 was (0.5)%. The estimated effective income tax rate was determined by applying statutory tax rates to pretax loss adjusted for certain permanent book to tax differences and tax credits.</w:t>
      </w:r>
    </w:p>
    <w:p>
      <w:pPr>
        <w:spacing w:after="0" w:line="9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Orion is eligible for tax benefits associated with the excess of the tax deduction available for exercises of non-qualified stock options (NQSOs) over the amount recorded at grant. The amount of the benefit is based upon the ultimate deduction reflected in the applicable income tax return.</w:t>
      </w:r>
    </w:p>
    <w:p>
      <w:pPr>
        <w:spacing w:after="0" w:line="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September 30, 2017, Orion had federal net operating loss carryforwards of approximately $78.0 million. Orion also has state net operating loss carryforwards of approximately $67.1 million. Orion also had federal tax credit carryforwards of approximately $1.4 million and state tax credits of $0.7 million. Orion's net operating loss and tax credit carryforwards will begin to expire in varying amounts between 2020 and 2038. As of September 30, 2017, Orion had recorded a valuation allowance of $35.5 million equaling the net deferred tax asset due to the uncertainty of its realizable value in the future.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2017, the balance of gross unrecognized tax benefits was approximately $0.1 million, all of which would reduce Orion’s effective tax rate if recognized.</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leases office space and equipment under operating leases expiring at various dates through 2020. Rent expense under operating leases was $0.2 million and $0.2 million for the three months ended September 30, 2017 and 2016, respectively, and $0.4 million and $0.3 million for the six months ended September 30, 2017 and 2016, respectively.</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28, 2017, Orion renewed the lease for its Jacksonville, Florida office space for an additional three-year term with annual rent expense of approximately $0.1 million.</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March 31, 2016, Orion entered into a purchase and sale agreement ("Agreement") with a third party to sell and leaseback Orion's manufacturing and distribution facility for gross cash proceeds of $2.6 million. The transaction closed on June 30,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our future results of operations. In addition to ordinary-course litigation, Orion is a party to the proceedings described below.</w:t>
      </w:r>
    </w:p>
    <w:p>
      <w:pPr>
        <w:spacing w:after="0" w:line="12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March 27, 2014, Orion was named as a defendant in a civil lawsuit filed by Neal R. Verfuerth, a Former Chief Executive Officer who was terminated for cause in November 2012, in the United States District Court for the Eastern District of Wisconsin (Green Bay Division). The plaintiff alleged, among other things, that Orion breached certain agreements entered into with the plaintiff, including the plaintiff’s employment agreement, and violated certain laws. The complaint sought, among other relief, unspecified pecuniary and compensatory damages, fees and such other relief as the court may deem just and proper. On November 4, 2014, the court granted Orion's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Orion filed a motion to dismiss and a motion to strike certain of the claims made in the amended complaint. On May 18, 2015, the court dismissed the intellectual property claims re-alleged in the January 9, 2015 amended complaint. At the court's direction, the parties attempted to mediate the matter in May 2016, but were unsuccessful in resolving the matter.</w:t>
      </w:r>
    </w:p>
    <w:p>
      <w:pPr>
        <w:spacing w:after="0" w:line="11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August 25, 2016, the Chief Judge of the United States District Court for the Eastern District of Wisconsin (Green Bay Division) dismissed all claims against Orion brought by the plaintiff, including his claims that Orion had allegedly breached the plaintiff’s employment agreement and had allegedly violated the plaintiff's whistleblower rights. On September 22, 2016, the plaintiff filed an appeal to the United States Court of Appeals challenging the judgment rendered on August 25, 2016. After the court-mandated mediation was unsuccessful, the plaintiff moved forward with his appeal focusing only on the District Court's dismissal of his whistleblower claims. The oral arguments for the appeal were held on September 27, 2017.</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intends to continue to defend against the claims vigorously. Orion believes it has substantial legal and factual defenses to the claims and allegations remaining in the case and that Orion will prevail in this proceeding. Based upon the current status of the lawsuit, Orion does not believe that it is reasonably possible that the lawsuit will have a material adverse impact on its future continuing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Orion negotiated a settlement with the Wisconsin Department of Revenue with respect to an assessment regarding the proper classification of its products for tax purposes under Wisconsin law. Orion resolved this matter with the Wisconsin Department of Revenue in June 2016 for $0.5 million.</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September 30, 2017, Orion was notified of a pending sales and use tax audit by the Wisconsin Department of Revenue for the period covering April 1, 2013 through March 31, 2017. Although the final resolution of the Company’s sales and use tax audit is uncertain, based on current information, in the opinion of the Company’s management, the ultimate disposition of these matters will not have a material adverse effect on the Company’s condensed consolidated balance sheet, statements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0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15 —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Orion had the following shares issued from treasury during the six months ended September 30, 2017.</w:t>
      </w:r>
    </w:p>
    <w:p>
      <w:pPr>
        <w:spacing w:after="0" w:line="25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Closing Market</w:t>
            </w:r>
          </w:p>
        </w:tc>
        <w:tc>
          <w:tcPr>
            <w:tcW w:w="0" w:type="dxa"/>
            <w:vAlign w:val="bottom"/>
          </w:tcPr>
          <w:p>
            <w:pPr>
              <w:spacing w:after="0"/>
              <w:rPr>
                <w:sz w:val="1"/>
                <w:szCs w:val="1"/>
                <w:color w:val="auto"/>
              </w:rPr>
            </w:pPr>
          </w:p>
        </w:tc>
      </w:tr>
      <w:tr>
        <w:trPr>
          <w:trHeight w:val="149"/>
        </w:trPr>
        <w:tc>
          <w:tcPr>
            <w:tcW w:w="78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ESPP</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84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Quarter Ended June 30, 2017</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2,150</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 Ended September 30, 2017</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2,681</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840" w:type="dxa"/>
            <w:vAlign w:val="bottom"/>
          </w:tcPr>
          <w:p>
            <w:pPr>
              <w:ind w:left="20"/>
              <w:spacing w:after="0"/>
              <w:rPr>
                <w:sz w:val="20"/>
                <w:szCs w:val="20"/>
                <w:color w:val="auto"/>
              </w:rPr>
            </w:pPr>
            <w:r>
              <w:rPr>
                <w:rFonts w:ascii="Arial" w:cs="Arial" w:eastAsia="Arial" w:hAnsi="Arial"/>
                <w:sz w:val="18"/>
                <w:szCs w:val="18"/>
                <w:color w:val="auto"/>
              </w:rPr>
              <w:t>Total issued in fiscal 2018</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4,831</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$1.12 - 1.28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prior years, Orion issued loans to non-executive employees to purchase shares of its stock. The loan program has been discontinued and new loans are no longer issued. As of March 31, 2017, four thousand dollars of such loans remained outstanding and were reflected on Orion’s balance sheet as a contra-equity account. During the six months ended September 30, 2017, Orion entered into agreements with the counterparties to these loans. In exchange for the forgiveness of their outstanding loan balance, the employees returned their shares to Orion. As a result of this transaction, 1,230 shares were recorded within treasury stock and the loan balances were eliminated.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 OPTIONS AND RESTRICTED SHARES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At Orion's 2016 Annual Meeting of Shareholders held on August 3, 2016, Orion's shareholders approved the Orion Energy Systems, Inc. 2016 Omnibus Incentive Plan (the "Plan"). The Plan authorizes grants of equity-based and incentive cash awards to eligible participants designated by the Plan's administrator. Awards under the Plan may consist of stock options, stock appreciation rights, performance shares, performance units, shares of Orion's common stock ("Common Stock"), restricted stock, restricted stock units, incentive awards or dividend equivalent units.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Prior to shareholder approval of the Plan, the Company maintained its 2004 Stock and Incentive Awards Plan, as amended, which authorized the grant of cash and equity awards to employees (the “Former Plan”). No new awards are being granted under the Former Plan, however, all awards granted under the Former Plan that were outstanding as of August 3, 2016 will continue to be governed by the Former Plan.</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non-employee directors have elected to receive stock awards in lieu of cash compensation pursuant to elections made under Orion’s non-employee director compensation program. The plans also permit accelerated vesting in the event of certain changes of control of Orion as well as under other special circumstances.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Six Months Ended September 30,</w:t>
            </w: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tcPr>
          <w:p>
            <w:pPr>
              <w:spacing w:after="0"/>
              <w:rPr>
                <w:sz w:val="22"/>
                <w:szCs w:val="22"/>
                <w:color w:val="auto"/>
              </w:rPr>
            </w:pPr>
          </w:p>
        </w:tc>
        <w:tc>
          <w:tcPr>
            <w:tcW w:w="29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3700" w:type="dxa"/>
            <w:vAlign w:val="bottom"/>
            <w:tcBorders>
              <w:bottom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700" w:type="dxa"/>
            <w:vAlign w:val="bottom"/>
            <w:tcBorders>
              <w:bottom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17</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color w:val="auto"/>
        </w:rPr>
        <w:t>During the first half of fiscal 2018, Orion had the following activity related to its stock based compensation: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Restricted Shares</w:t>
            </w:r>
          </w:p>
        </w:tc>
        <w:tc>
          <w:tcPr>
            <w:tcW w:w="16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Stock Options</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2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1,704,543</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1,520,953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Awards granted</w:t>
            </w:r>
          </w:p>
        </w:tc>
        <w:tc>
          <w:tcPr>
            <w:tcW w:w="2200" w:type="dxa"/>
            <w:vAlign w:val="bottom"/>
          </w:tcPr>
          <w:p>
            <w:pPr>
              <w:jc w:val="right"/>
              <w:ind w:right="273"/>
              <w:spacing w:after="0"/>
              <w:rPr>
                <w:sz w:val="20"/>
                <w:szCs w:val="20"/>
                <w:color w:val="auto"/>
              </w:rPr>
            </w:pPr>
            <w:r>
              <w:rPr>
                <w:rFonts w:ascii="Arial" w:cs="Arial" w:eastAsia="Arial" w:hAnsi="Arial"/>
                <w:sz w:val="18"/>
                <w:szCs w:val="18"/>
                <w:color w:val="auto"/>
              </w:rPr>
              <w:t>669,272</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vested</w:t>
            </w:r>
          </w:p>
        </w:tc>
        <w:tc>
          <w:tcPr>
            <w:tcW w:w="22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(559,916)</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Awards forfeited</w:t>
            </w:r>
          </w:p>
        </w:tc>
        <w:tc>
          <w:tcPr>
            <w:tcW w:w="2200" w:type="dxa"/>
            <w:vAlign w:val="bottom"/>
          </w:tcPr>
          <w:p>
            <w:pPr>
              <w:jc w:val="right"/>
              <w:ind w:right="213"/>
              <w:spacing w:after="0"/>
              <w:rPr>
                <w:sz w:val="20"/>
                <w:szCs w:val="20"/>
                <w:color w:val="auto"/>
              </w:rPr>
            </w:pPr>
            <w:r>
              <w:rPr>
                <w:rFonts w:ascii="Arial" w:cs="Arial" w:eastAsia="Arial" w:hAnsi="Arial"/>
                <w:sz w:val="18"/>
                <w:szCs w:val="18"/>
                <w:color w:val="auto"/>
              </w:rPr>
              <w:t>(277,393)</w:t>
            </w:r>
          </w:p>
        </w:tc>
        <w:tc>
          <w:tcPr>
            <w:tcW w:w="1680" w:type="dxa"/>
            <w:vAlign w:val="bottom"/>
          </w:tcPr>
          <w:p>
            <w:pPr>
              <w:jc w:val="right"/>
              <w:spacing w:after="0"/>
              <w:rPr>
                <w:sz w:val="20"/>
                <w:szCs w:val="20"/>
                <w:color w:val="auto"/>
              </w:rPr>
            </w:pPr>
            <w:r>
              <w:rPr>
                <w:rFonts w:ascii="Arial" w:cs="Arial" w:eastAsia="Arial" w:hAnsi="Arial"/>
                <w:sz w:val="18"/>
                <w:szCs w:val="18"/>
                <w:color w:val="auto"/>
              </w:rPr>
              <w:t>(527,942)</w:t>
            </w:r>
          </w:p>
        </w:tc>
      </w:tr>
      <w:tr>
        <w:trPr>
          <w:trHeight w:val="27"/>
        </w:trPr>
        <w:tc>
          <w:tcPr>
            <w:tcW w:w="75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2017</w:t>
            </w:r>
          </w:p>
        </w:tc>
        <w:tc>
          <w:tcPr>
            <w:tcW w:w="22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1,536,506</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993,011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Per share price on grant date</w:t>
            </w:r>
          </w:p>
        </w:tc>
        <w:tc>
          <w:tcPr>
            <w:tcW w:w="2200" w:type="dxa"/>
            <w:vAlign w:val="bottom"/>
          </w:tcPr>
          <w:p>
            <w:pPr>
              <w:jc w:val="right"/>
              <w:ind w:right="273"/>
              <w:spacing w:after="0"/>
              <w:rPr>
                <w:sz w:val="20"/>
                <w:szCs w:val="20"/>
                <w:color w:val="auto"/>
              </w:rPr>
            </w:pPr>
            <w:r>
              <w:rPr>
                <w:rFonts w:ascii="Arial" w:cs="Arial" w:eastAsia="Arial" w:hAnsi="Arial"/>
                <w:sz w:val="18"/>
                <w:szCs w:val="18"/>
                <w:color w:val="auto"/>
              </w:rPr>
              <w:t>$0.97 - $1.95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As of September 30, 2017, the amount of deferred stock-based compensation expense to be recognized, over a remaining period of 2.2 years, was approximately $1.8 million.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Orion has the following business segments: Orion U.S. Markets Division ("USM"), Orion Engineered Services Division ("OES") and Orion Distribution Services Division ("ODS"). The accounting policies are the same for each business segment as they are on a consolidated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 ("USM")</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 A significant portion of the historic sales of this division have migrated to distribution channel sales as a result of the implementation of Orion’s agent distribution strategy. The migrated sales are included in Orion's ODS Division.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 ("OES")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 ("ODS")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 This segment is expanding as a result of increased sales through distributors as Orion continues to develop its agent distribution strategy. This expansion includes the migration of customers from direct sales previously included in the USM division.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Revenues</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Operating Income (Loss)</w:t>
            </w:r>
          </w:p>
        </w:tc>
        <w:tc>
          <w:tcPr>
            <w:tcW w:w="1080" w:type="dxa"/>
            <w:vAlign w:val="bottom"/>
            <w:tcBorders>
              <w:bottom w:val="single" w:sz="8" w:color="auto"/>
            </w:tcBorders>
          </w:tcPr>
          <w:p>
            <w:pPr>
              <w:spacing w:after="0"/>
              <w:rPr>
                <w:sz w:val="16"/>
                <w:szCs w:val="16"/>
                <w:color w:val="auto"/>
              </w:rPr>
            </w:pPr>
          </w:p>
        </w:tc>
      </w:tr>
      <w:tr>
        <w:trPr>
          <w:trHeight w:val="190"/>
        </w:trPr>
        <w:tc>
          <w:tcPr>
            <w:tcW w:w="3900" w:type="dxa"/>
            <w:vAlign w:val="bottom"/>
          </w:tcPr>
          <w:p>
            <w:pPr>
              <w:spacing w:after="0"/>
              <w:rPr>
                <w:sz w:val="16"/>
                <w:szCs w:val="16"/>
                <w:color w:val="auto"/>
              </w:rPr>
            </w:pPr>
          </w:p>
        </w:tc>
        <w:tc>
          <w:tcPr>
            <w:tcW w:w="3760" w:type="dxa"/>
            <w:vAlign w:val="bottom"/>
            <w:gridSpan w:val="6"/>
          </w:tcPr>
          <w:p>
            <w:pPr>
              <w:ind w:left="480"/>
              <w:spacing w:after="0"/>
              <w:rPr>
                <w:sz w:val="20"/>
                <w:szCs w:val="20"/>
                <w:color w:val="auto"/>
              </w:rPr>
            </w:pPr>
            <w:r>
              <w:rPr>
                <w:rFonts w:ascii="Arial" w:cs="Arial" w:eastAsia="Arial" w:hAnsi="Arial"/>
                <w:sz w:val="14"/>
                <w:szCs w:val="14"/>
                <w:b w:val="1"/>
                <w:bCs w:val="1"/>
                <w:color w:val="auto"/>
              </w:rPr>
              <w:t>For the Three Months Ended September 30,</w:t>
            </w:r>
          </w:p>
        </w:tc>
        <w:tc>
          <w:tcPr>
            <w:tcW w:w="340" w:type="dxa"/>
            <w:vAlign w:val="bottom"/>
          </w:tcPr>
          <w:p>
            <w:pPr>
              <w:spacing w:after="0"/>
              <w:rPr>
                <w:sz w:val="16"/>
                <w:szCs w:val="16"/>
                <w:color w:val="auto"/>
              </w:rPr>
            </w:pPr>
          </w:p>
        </w:tc>
        <w:tc>
          <w:tcPr>
            <w:tcW w:w="342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For the Three Months Ended September 30,</w:t>
            </w:r>
          </w:p>
        </w:tc>
      </w:tr>
      <w:tr>
        <w:trPr>
          <w:trHeight w:val="66"/>
        </w:trPr>
        <w:tc>
          <w:tcPr>
            <w:tcW w:w="390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58"/>
        </w:trPr>
        <w:tc>
          <w:tcPr>
            <w:tcW w:w="39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Orion U.S. Markets</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5,192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263</w:t>
            </w: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Engineered Systems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Orion Distribution Services</w:t>
            </w:r>
          </w:p>
        </w:tc>
        <w:tc>
          <w:tcPr>
            <w:tcW w:w="116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6,459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6,503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441</w:t>
            </w: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r>
      <w:tr>
        <w:trPr>
          <w:trHeight w:val="237"/>
        </w:trPr>
        <w:tc>
          <w:tcPr>
            <w:tcW w:w="3900" w:type="dxa"/>
            <w:vAlign w:val="bottom"/>
          </w:tcPr>
          <w:p>
            <w:pPr>
              <w:spacing w:after="0"/>
              <w:rPr>
                <w:sz w:val="20"/>
                <w:szCs w:val="20"/>
                <w:color w:val="auto"/>
              </w:rPr>
            </w:pP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15,422</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18,670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r>
      <w:tr>
        <w:trPr>
          <w:trHeight w:val="27"/>
        </w:trPr>
        <w:tc>
          <w:tcPr>
            <w:tcW w:w="39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3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9" w:name="page20"/>
    <w:bookmarkEnd w:id="1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Revenues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Operating Income (Loss)</w:t>
            </w:r>
          </w:p>
        </w:tc>
        <w:tc>
          <w:tcPr>
            <w:tcW w:w="1080" w:type="dxa"/>
            <w:vAlign w:val="bottom"/>
            <w:tcBorders>
              <w:bottom w:val="single" w:sz="8" w:color="auto"/>
            </w:tcBorders>
          </w:tcPr>
          <w:p>
            <w:pPr>
              <w:spacing w:after="0"/>
              <w:rPr>
                <w:sz w:val="16"/>
                <w:szCs w:val="16"/>
                <w:color w:val="auto"/>
              </w:rPr>
            </w:pPr>
          </w:p>
        </w:tc>
      </w:tr>
      <w:tr>
        <w:trPr>
          <w:trHeight w:val="190"/>
        </w:trPr>
        <w:tc>
          <w:tcPr>
            <w:tcW w:w="3980" w:type="dxa"/>
            <w:vAlign w:val="bottom"/>
          </w:tcPr>
          <w:p>
            <w:pPr>
              <w:spacing w:after="0"/>
              <w:rPr>
                <w:sz w:val="16"/>
                <w:szCs w:val="16"/>
                <w:color w:val="auto"/>
              </w:rPr>
            </w:pPr>
          </w:p>
        </w:tc>
        <w:tc>
          <w:tcPr>
            <w:tcW w:w="3640" w:type="dxa"/>
            <w:vAlign w:val="bottom"/>
            <w:gridSpan w:val="6"/>
          </w:tcPr>
          <w:p>
            <w:pPr>
              <w:ind w:left="520"/>
              <w:spacing w:after="0"/>
              <w:rPr>
                <w:sz w:val="20"/>
                <w:szCs w:val="20"/>
                <w:color w:val="auto"/>
              </w:rPr>
            </w:pPr>
            <w:r>
              <w:rPr>
                <w:rFonts w:ascii="Arial" w:cs="Arial" w:eastAsia="Arial" w:hAnsi="Arial"/>
                <w:sz w:val="14"/>
                <w:szCs w:val="14"/>
                <w:b w:val="1"/>
                <w:bCs w:val="1"/>
                <w:color w:val="auto"/>
              </w:rPr>
              <w:t>For the Six Months Ended September 30,</w:t>
            </w:r>
          </w:p>
        </w:tc>
        <w:tc>
          <w:tcPr>
            <w:tcW w:w="360" w:type="dxa"/>
            <w:vAlign w:val="bottom"/>
          </w:tcPr>
          <w:p>
            <w:pPr>
              <w:spacing w:after="0"/>
              <w:rPr>
                <w:sz w:val="16"/>
                <w:szCs w:val="16"/>
                <w:color w:val="auto"/>
              </w:rPr>
            </w:pPr>
          </w:p>
        </w:tc>
        <w:tc>
          <w:tcPr>
            <w:tcW w:w="338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For the Six Months Ended September 30,</w:t>
            </w:r>
          </w:p>
        </w:tc>
      </w:tr>
      <w:tr>
        <w:trPr>
          <w:trHeight w:val="66"/>
        </w:trPr>
        <w:tc>
          <w:tcPr>
            <w:tcW w:w="398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58"/>
        </w:trPr>
        <w:tc>
          <w:tcPr>
            <w:tcW w:w="39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Orion U.S. Markets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191</w:t>
            </w:r>
          </w:p>
        </w:tc>
      </w:tr>
      <w:tr>
        <w:trPr>
          <w:trHeight w:val="27"/>
        </w:trPr>
        <w:tc>
          <w:tcPr>
            <w:tcW w:w="3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Orion Engineered Systems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11,541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Orion Distribution Services</w:t>
            </w:r>
          </w:p>
        </w:tc>
        <w:tc>
          <w:tcPr>
            <w:tcW w:w="10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w w:val="98"/>
              </w:rPr>
              <w:t>12,219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3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0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r>
      <w:tr>
        <w:trPr>
          <w:trHeight w:val="237"/>
        </w:trPr>
        <w:tc>
          <w:tcPr>
            <w:tcW w:w="3980" w:type="dxa"/>
            <w:vAlign w:val="bottom"/>
          </w:tcPr>
          <w:p>
            <w:pPr>
              <w:spacing w:after="0"/>
              <w:rPr>
                <w:sz w:val="20"/>
                <w:szCs w:val="20"/>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8"/>
              </w:rPr>
              <w:t>27,980</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34,304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(4,247)</w:t>
            </w:r>
          </w:p>
        </w:tc>
      </w:tr>
      <w:tr>
        <w:trPr>
          <w:trHeight w:val="27"/>
        </w:trPr>
        <w:tc>
          <w:tcPr>
            <w:tcW w:w="3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REORGANIZATION OF BUSINESS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six months ended September 30, 2017, Orion implemented a reorganization and targeted cost savings plan. As a result, the Company entered into separation agreements with 20 employees and recognized $0.1 million and $2.0 million during the three and six months ended September 30, 2017, respectively, of restructuring expense consisting of severance, outplacement services, and continued medical benefits for terminated employees for a limited post-employment period. The restructuring expense for the three and six months ended September 30, 2017 is reflected within Orion’s condensed statement of operations as follows (dollars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Three Months Ended</w:t>
            </w:r>
          </w:p>
        </w:tc>
        <w:tc>
          <w:tcPr>
            <w:tcW w:w="1980" w:type="dxa"/>
            <w:vAlign w:val="bottom"/>
            <w:gridSpan w:val="2"/>
          </w:tcPr>
          <w:p>
            <w:pPr>
              <w:ind w:left="100"/>
              <w:spacing w:after="0"/>
              <w:rPr>
                <w:sz w:val="20"/>
                <w:szCs w:val="20"/>
                <w:color w:val="auto"/>
              </w:rPr>
            </w:pPr>
            <w:r>
              <w:rPr>
                <w:rFonts w:ascii="Arial" w:cs="Arial" w:eastAsia="Arial" w:hAnsi="Arial"/>
                <w:sz w:val="14"/>
                <w:szCs w:val="14"/>
                <w:b w:val="1"/>
                <w:bCs w:val="1"/>
                <w:color w:val="auto"/>
                <w:w w:val="94"/>
              </w:rPr>
              <w:t>Six Months Ended September</w:t>
            </w:r>
          </w:p>
        </w:tc>
      </w:tr>
      <w:tr>
        <w:trPr>
          <w:trHeight w:val="186"/>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6"/>
                <w:szCs w:val="16"/>
                <w:color w:val="auto"/>
              </w:rPr>
            </w:pPr>
          </w:p>
        </w:tc>
        <w:tc>
          <w:tcPr>
            <w:tcW w:w="1460" w:type="dxa"/>
            <w:vAlign w:val="bottom"/>
          </w:tcPr>
          <w:p>
            <w:pPr>
              <w:jc w:val="right"/>
              <w:ind w:right="796"/>
              <w:spacing w:after="0"/>
              <w:rPr>
                <w:sz w:val="20"/>
                <w:szCs w:val="20"/>
                <w:color w:val="auto"/>
              </w:rPr>
            </w:pPr>
            <w:r>
              <w:rPr>
                <w:rFonts w:ascii="Arial" w:cs="Arial" w:eastAsia="Arial" w:hAnsi="Arial"/>
                <w:sz w:val="14"/>
                <w:szCs w:val="14"/>
                <w:b w:val="1"/>
                <w:bCs w:val="1"/>
                <w:color w:val="auto"/>
              </w:rPr>
              <w:t>30,</w:t>
            </w:r>
          </w:p>
        </w:tc>
      </w:tr>
      <w:tr>
        <w:trPr>
          <w:trHeight w:val="209"/>
        </w:trPr>
        <w:tc>
          <w:tcPr>
            <w:tcW w:w="7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2017</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1,815</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5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2,038</w:t>
            </w: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restructuring expense by segment was recorded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Three Months Ended</w:t>
            </w:r>
          </w:p>
        </w:tc>
        <w:tc>
          <w:tcPr>
            <w:tcW w:w="1980" w:type="dxa"/>
            <w:vAlign w:val="bottom"/>
            <w:gridSpan w:val="2"/>
          </w:tcPr>
          <w:p>
            <w:pPr>
              <w:ind w:left="100"/>
              <w:spacing w:after="0"/>
              <w:rPr>
                <w:sz w:val="20"/>
                <w:szCs w:val="20"/>
                <w:color w:val="auto"/>
              </w:rPr>
            </w:pPr>
            <w:r>
              <w:rPr>
                <w:rFonts w:ascii="Arial" w:cs="Arial" w:eastAsia="Arial" w:hAnsi="Arial"/>
                <w:sz w:val="14"/>
                <w:szCs w:val="14"/>
                <w:b w:val="1"/>
                <w:bCs w:val="1"/>
                <w:color w:val="auto"/>
                <w:w w:val="94"/>
              </w:rPr>
              <w:t>Six Months Ended September</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6"/>
                <w:szCs w:val="16"/>
                <w:color w:val="auto"/>
              </w:rPr>
            </w:pPr>
          </w:p>
        </w:tc>
        <w:tc>
          <w:tcPr>
            <w:tcW w:w="1460" w:type="dxa"/>
            <w:vAlign w:val="bottom"/>
          </w:tcPr>
          <w:p>
            <w:pPr>
              <w:jc w:val="right"/>
              <w:ind w:right="797"/>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Distribution Systems</w:t>
            </w:r>
          </w:p>
        </w:tc>
        <w:tc>
          <w:tcPr>
            <w:tcW w:w="3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120</w:t>
            </w:r>
          </w:p>
        </w:tc>
        <w:tc>
          <w:tcPr>
            <w:tcW w:w="52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9" w:right="239" w:bottom="1440" w:gutter="0" w:footer="0" w:header="0"/>
        </w:sectPr>
      </w:pPr>
    </w:p>
    <w:bookmarkStart w:id="20" w:name="page21"/>
    <w:bookmarkEnd w:id="20"/>
    <w:p>
      <w:pPr>
        <w:ind w:left="440"/>
        <w:spacing w:after="0"/>
        <w:rPr>
          <w:sz w:val="20"/>
          <w:szCs w:val="20"/>
          <w:color w:val="auto"/>
        </w:rPr>
      </w:pPr>
      <w:r>
        <w:rPr>
          <w:rFonts w:ascii="Arial" w:cs="Arial" w:eastAsia="Arial" w:hAnsi="Arial"/>
          <w:sz w:val="18"/>
          <w:szCs w:val="18"/>
          <w:color w:val="auto"/>
        </w:rPr>
        <w:t>The Company recorded no restructuring expense to the Orion U.S. Markets or Orion Engineered Systems segments.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displays a rollforward of the reorganization of business accruals established for employee separation costs from March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 to September 30, 2017 (dollars in thousands):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March 31, 2017</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Additions</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4"/>
                <w:szCs w:val="14"/>
                <w:b w:val="1"/>
                <w:bCs w:val="1"/>
                <w:color w:val="auto"/>
                <w:w w:val="99"/>
              </w:rPr>
              <w:t>Amounts Used</w:t>
            </w:r>
          </w:p>
        </w:tc>
        <w:tc>
          <w:tcPr>
            <w:tcW w:w="24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w w:val="96"/>
              </w:rPr>
              <w:t>September 30, 2017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Employee separation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(1,530)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367</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medical benefits (1)</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507</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40" w:hanging="532"/>
        <w:spacing w:after="0" w:line="279"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severance agreement with one executive included a long-term post-employment medical benefit which will be paid over a period of approximately twelve years. The Company recorded a liability for the net present value of this obligation based on the current cost of premiums for this individual’s medical coverage increased by an estimated health care cost trend of 6.8% decreasing to 5% in nine years. This benefit is reflected in Orion’s condensed consolidated balance sheet within accrued expenses and other and other long-term liabilities.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remaining accrual of $0.4 million for employee separation costs is expected to be paid within the next twelve months.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occurring through the date the financial statements were issued and noted no subsequent event requiring accrual or disclosure.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30" w:right="239" w:bottom="1440" w:gutter="0" w:footer="0" w:header="0"/>
        </w:sectPr>
      </w:pPr>
    </w:p>
    <w:bookmarkStart w:id="21" w:name="page22"/>
    <w:bookmarkEnd w:id="21"/>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2017.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a leading designer and manufacturer of high-performance, energy-efficient LED and other lighting platforms.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lighting products consist primarily of light emitting diode ("LED") lighting fixtures. Our principal customers include national account end-users, electrical distributors, energy service companies ("ESCOs") and electrical contractors. Currently, substantially all of our products are manufactured at our leased production facility location in Manitowoc, Wisconsin, although we are increasingly sourcing products and components from third parties as the LED market continues to evolve and in order to provide versatility in our product development.</w:t>
      </w:r>
    </w:p>
    <w:p>
      <w:pPr>
        <w:spacing w:after="0" w:line="13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believe the market for lighting products has shifted to LED lighting systems, and that the customer base for our legacy high intensity fluorescent ("HIF") technology products will continue to decline. Compared to our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Our LED lighting technologies have become the primary component of our revenue as we continue to strive to be a leader in the LED market. Although we continue to sell some lighting products using our legacy HIF technology, we do not build to stock HIF products and instead build to committed customer orders as received. We plan to continue to primarily focus on developing and selling innovative LED products.</w:t>
      </w:r>
    </w:p>
    <w:p>
      <w:pPr>
        <w:spacing w:after="0" w:line="11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electrical distributors, and ESCOs to sell to their own customer bases.</w:t>
      </w:r>
    </w:p>
    <w:p>
      <w:pPr>
        <w:spacing w:after="0" w:line="11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ability to achieve our desired revenue growth and profitability goals depends on our ability to effectively engage distribution and sales agents, develop recurring revenue streams, implement our cost reduction initiatives, and improve our marketing, new product development, project management, margin enhancement and operating expense management, as well as other factors. In addition, the gross margins of our products can vary significantly depending upon the types of products we sell, with margins ranging from 15% to 50%. As a result, a change in the total mix of our sales toward higher or lower margin products can cause our profitability to fluctuate from period to period.</w:t>
      </w:r>
    </w:p>
    <w:p>
      <w:pPr>
        <w:spacing w:after="0" w:line="13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fiscal year ends on March 31. We refer to our prior fiscal year which ended on March 31, 2017 as "fiscal 2017", and our current fiscal year, which ends on March 31, 2018, as “fiscal 2018.” Our fiscal first quarter of each fiscal year ends on June 30,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our fiscal second quarter ends on September 30, our fiscal third quarter ends on December 31 and our fiscal fourth quarter ends on March 31.</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U.S. Markets Division ("USM"), Orion Engineered Systems Division ("OES"), and Orion Distribution Services Division ("ODS").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Shift to Light Emitting Diode Products</w:t>
      </w:r>
    </w:p>
    <w:p>
      <w:pPr>
        <w:spacing w:after="0" w:line="94" w:lineRule="exact"/>
        <w:rPr>
          <w:sz w:val="20"/>
          <w:szCs w:val="20"/>
          <w:color w:val="auto"/>
        </w:rPr>
      </w:pPr>
    </w:p>
    <w:p>
      <w:pPr>
        <w:ind w:right="520" w:firstLine="486"/>
        <w:spacing w:after="0" w:line="264" w:lineRule="auto"/>
        <w:rPr>
          <w:sz w:val="20"/>
          <w:szCs w:val="20"/>
          <w:color w:val="auto"/>
        </w:rPr>
      </w:pPr>
      <w:r>
        <w:rPr>
          <w:rFonts w:ascii="Arial" w:cs="Arial" w:eastAsia="Arial" w:hAnsi="Arial"/>
          <w:sz w:val="18"/>
          <w:szCs w:val="18"/>
          <w:color w:val="auto"/>
        </w:rPr>
        <w:t>The rapid market shift in the lighting industry from legacy lighting products to LED lighting products has caused us to adopt new strategies, approaches and processes in order to respond proactively to this industry transition. These changing underlying business fundamentals in this transition include:</w:t>
      </w:r>
    </w:p>
    <w:p>
      <w:pPr>
        <w:spacing w:after="0" w:line="4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Rapidly declining LED component costs and LED product end user customer pricing pressure.</w:t>
      </w:r>
    </w:p>
    <w:p>
      <w:pPr>
        <w:spacing w:after="0" w:line="23"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LED product performance and reducing customer return on investment payback periods resulting in increased customer preference for LED lighting products compared to legacy lighting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LED lighting product customer sales compared to decreasing HIF product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broader and more diverse customer base and market opportunities compared to our historical commercial and industrial facility customers.</w:t>
      </w:r>
    </w:p>
    <w:p>
      <w:pPr>
        <w:spacing w:after="0" w:line="20"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importance of highly innovative product designs and features and enhanced product research and development capabilities requiring rapid new product introduction and new methods of product and company differentiation.</w:t>
      </w:r>
    </w:p>
    <w:p>
      <w:pPr>
        <w:ind w:left="660" w:right="4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reduced product technology life cycles; significantly shorter product inventory shelf lives and the related increased risk of rapidly occurring product technology obsolescence.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reliance on international component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internal product fabrication and production capabilities needed to support LED product assembly.</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Different and broader types of components, fabrication and assembly processes needed to support LED product assembly compared to our legacy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customer bases and sales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longer end user product warranty requirements for LED products compared to our legacy products.</w:t>
      </w:r>
    </w:p>
    <w:p>
      <w:pPr>
        <w:spacing w:after="0" w:line="1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Restructuring and Focus on Profitability</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May 25, 2017, our Board of Directors restructured our management team. As part of this restructuring, our Chief Executive Officer, John Scribante, left our Company and Mike Altschaefl, our current Board Chair, assumed the role of Chief Executive Officer. In addition, Scott Green, our Executive Vice President, became our new Chief Operating Officer, with ongoing primary responsibility for improving our revenue generation. Mike Potts and Marc Meade, our current Executive Vice Presidents, remained in their positions and were assigned primary responsibility for substantially reducing our cost structure and for streamlining operations. Bill Hull remained in his position as Chief Financial Officer.</w:t>
      </w:r>
    </w:p>
    <w:p>
      <w:pPr>
        <w:spacing w:after="0" w:line="2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June 30, 2017, Mike Potts decided to retire as our Chief Risk Officer and Executive Vice President effective as of August 30, 2017. Mr. Potts continues to serve as a member of our Board of Directors and will continue to provide consulting services to the Company.</w:t>
      </w:r>
    </w:p>
    <w:p>
      <w:pPr>
        <w:spacing w:after="0" w:line="27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market and product strategies have not changed. We have renewed our focus on execution, including a reduction in our cost structure. Our restructured management team has developed a plan to achieve breakeven earnings (excluding employee separation costs) before interest, taxes, depreciation, and amortization, or EBITDA, no later than the fourth quarter of fiscal 2018 through the implementation of the following cost reduction measures:</w:t>
      </w:r>
    </w:p>
    <w:p>
      <w:pPr>
        <w:spacing w:after="0" w:line="93" w:lineRule="exact"/>
        <w:rPr>
          <w:sz w:val="20"/>
          <w:szCs w:val="20"/>
          <w:color w:val="auto"/>
        </w:rPr>
      </w:pPr>
    </w:p>
    <w:p>
      <w:pPr>
        <w:ind w:left="660" w:right="18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Constant monitoring and management of manufacturing overhead costs to ensure we continue to deliver strong gross margins amid an increasingly competitive market landscape;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Reducing staff positions through a targeted reduction in existing headcount;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Reductions in the total compensation of our executive management and board of directors;</w:t>
      </w:r>
    </w:p>
    <w:p>
      <w:pPr>
        <w:spacing w:after="0" w:line="9"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Reductions in operating expenses, including better control of legal spending, elimination of our racing program and removal of various non-critical back office programs and initiatives.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3" w:name="page24"/>
    <w:bookmarkEnd w:id="23"/>
    <w:p>
      <w:pPr>
        <w:jc w:val="both"/>
        <w:ind w:firstLine="405"/>
        <w:spacing w:after="0" w:line="264" w:lineRule="auto"/>
        <w:rPr>
          <w:sz w:val="20"/>
          <w:szCs w:val="20"/>
          <w:color w:val="auto"/>
        </w:rPr>
      </w:pPr>
      <w:r>
        <w:rPr>
          <w:rFonts w:ascii="Arial" w:cs="Arial" w:eastAsia="Arial" w:hAnsi="Arial"/>
          <w:sz w:val="18"/>
          <w:szCs w:val="18"/>
          <w:color w:val="auto"/>
        </w:rPr>
        <w:t>We now believe the above cost reduction plan will result in annualized cost savings of approximately $4.0 to $4.5 million, an increase of $0.5 million from our prior estimate. These cost reductions, coupled with our renewed focus on sales channel execution, will help to drive revenue growth and accelerate our path to profitability.</w:t>
      </w:r>
    </w:p>
    <w:p>
      <w:pPr>
        <w:spacing w:after="0" w:line="2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first six months of 2018, we executed on the majority of these plans entering into separation agreements with twenty employees and recognizing $0.1 million and $2.0 million for the three and six months ended September 30, 2017, respectively, in employee separation related costs. The restructuring expense for the three and six months ended September 30, 2017 is reflected within Orion’s condensed statement of operations as follows (dollars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Three Months Ended</w:t>
            </w:r>
          </w:p>
        </w:tc>
        <w:tc>
          <w:tcPr>
            <w:tcW w:w="198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Six Months Ended September</w:t>
            </w:r>
          </w:p>
        </w:tc>
        <w:tc>
          <w:tcPr>
            <w:tcW w:w="0" w:type="dxa"/>
            <w:vAlign w:val="bottom"/>
          </w:tcPr>
          <w:p>
            <w:pPr>
              <w:spacing w:after="0"/>
              <w:rPr>
                <w:sz w:val="1"/>
                <w:szCs w:val="1"/>
                <w:color w:val="auto"/>
              </w:rPr>
            </w:pPr>
          </w:p>
        </w:tc>
      </w:tr>
      <w:tr>
        <w:trPr>
          <w:trHeight w:val="186"/>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6"/>
                <w:szCs w:val="16"/>
                <w:color w:val="auto"/>
              </w:rPr>
            </w:pPr>
          </w:p>
        </w:tc>
        <w:tc>
          <w:tcPr>
            <w:tcW w:w="1460" w:type="dxa"/>
            <w:vAlign w:val="bottom"/>
          </w:tcPr>
          <w:p>
            <w:pPr>
              <w:jc w:val="center"/>
              <w:ind w:right="397"/>
              <w:spacing w:after="0"/>
              <w:rPr>
                <w:sz w:val="20"/>
                <w:szCs w:val="20"/>
                <w:color w:val="auto"/>
              </w:rPr>
            </w:pPr>
            <w:r>
              <w:rPr>
                <w:rFonts w:ascii="Arial" w:cs="Arial" w:eastAsia="Arial" w:hAnsi="Arial"/>
                <w:sz w:val="14"/>
                <w:szCs w:val="14"/>
                <w:b w:val="1"/>
                <w:bCs w:val="1"/>
                <w:color w:val="auto"/>
                <w:w w:val="92"/>
              </w:rPr>
              <w:t>30,</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39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7"/>
        </w:trPr>
        <w:tc>
          <w:tcPr>
            <w:tcW w:w="7500" w:type="dxa"/>
            <w:vAlign w:val="bottom"/>
            <w:vMerge w:val="restart"/>
          </w:tcPr>
          <w:p>
            <w:pPr>
              <w:ind w:left="400"/>
              <w:spacing w:after="0"/>
              <w:rPr>
                <w:sz w:val="20"/>
                <w:szCs w:val="20"/>
                <w:color w:val="auto"/>
              </w:rPr>
            </w:pPr>
            <w:r>
              <w:rPr>
                <w:rFonts w:ascii="Arial" w:cs="Arial" w:eastAsia="Arial" w:hAnsi="Arial"/>
                <w:sz w:val="18"/>
                <w:szCs w:val="18"/>
                <w:color w:val="auto"/>
              </w:rPr>
              <w:t>Total restructuring expense by segment was recorded as follows (dollars in thousands):</w:t>
            </w: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Three Months Ended</w:t>
            </w:r>
          </w:p>
        </w:tc>
        <w:tc>
          <w:tcPr>
            <w:tcW w:w="198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Six Months Ended September</w:t>
            </w:r>
          </w:p>
        </w:tc>
        <w:tc>
          <w:tcPr>
            <w:tcW w:w="0" w:type="dxa"/>
            <w:vAlign w:val="bottom"/>
          </w:tcPr>
          <w:p>
            <w:pPr>
              <w:spacing w:after="0"/>
              <w:rPr>
                <w:sz w:val="1"/>
                <w:szCs w:val="1"/>
                <w:color w:val="auto"/>
              </w:rPr>
            </w:pPr>
          </w:p>
        </w:tc>
      </w:tr>
      <w:tr>
        <w:trPr>
          <w:trHeight w:val="186"/>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6"/>
                <w:szCs w:val="16"/>
                <w:color w:val="auto"/>
              </w:rPr>
            </w:pPr>
          </w:p>
        </w:tc>
        <w:tc>
          <w:tcPr>
            <w:tcW w:w="1460" w:type="dxa"/>
            <w:vAlign w:val="bottom"/>
          </w:tcPr>
          <w:p>
            <w:pPr>
              <w:jc w:val="center"/>
              <w:ind w:right="397"/>
              <w:spacing w:after="0"/>
              <w:rPr>
                <w:sz w:val="20"/>
                <w:szCs w:val="20"/>
                <w:color w:val="auto"/>
              </w:rPr>
            </w:pPr>
            <w:r>
              <w:rPr>
                <w:rFonts w:ascii="Arial" w:cs="Arial" w:eastAsia="Arial" w:hAnsi="Arial"/>
                <w:sz w:val="14"/>
                <w:szCs w:val="14"/>
                <w:b w:val="1"/>
                <w:bCs w:val="1"/>
                <w:color w:val="auto"/>
                <w:w w:val="92"/>
              </w:rPr>
              <w:t>30,</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39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Orion Distribution Systems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120</w:t>
            </w:r>
          </w:p>
        </w:tc>
        <w:tc>
          <w:tcPr>
            <w:tcW w:w="52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7"/>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recorded no restructuring expense to the Orion U.S. Markets or Orion Engineered Systems segments.</w:t>
      </w:r>
    </w:p>
    <w:p>
      <w:pPr>
        <w:spacing w:after="0" w:line="333"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Cash payments for employee separation costs in connection with the reorganization of business plans were $0.2 million and $1.5 million for the three and six months ended September 30, 2017. The remaining reorganization of business accruals as of September 30, 2017 were $0.5 million, of which $0.4 million relates to employee separation costs that are expected to be paid within one year. The remaining accrual of $0.1 million represents post-retirement medical benefits for one employee which will be paid over several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quarter ended September 30, 2017, we reviewed our definite and indefinite lived assets for impairment as a result of our lower than anticipated operating results and recent forecast revisions. As a result of these assessments, we determined that the carrying value of our indefinite lived intangible asset related to the Harris trade name exceeded the asset’s fair value. As a result, we recorded an impairment charge of $0.7 million within Impairment of intangible assets in the condensed statements of operations during the three months ended September 30, 2017. A change in these assumptions or a change in circumstances could result in an impairment charge in a future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Sale and Leaseback</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first quarter of fiscal 2018, we began pursuing the potential sale and leaseback of our Tech Center building located in Manitowoc, Wisconsin. This facility houses our corporate offices. Due to the expected leaseback of more than a minor portion of the facility, it does not meet the criteria to be classified as held for sale as of September 30, 2017. We assessed the impact of the potential sale leaseback on the carrying value of the facility as of September 30, 2017 by performing a probability weighted cashflow analysis. As a result of this analysis, and based on the assumptions used, including management’s best estimate of the potential sales price, future rent expense, sublease income, and the probability of various scenarios under consideration, we concluded that the asset is not impaired as of September 30, 2017. A change in these assumptions or a change in circumstances could result in an impairment charge in a future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Outlook</w:t>
      </w:r>
    </w:p>
    <w:p>
      <w:pPr>
        <w:spacing w:after="0" w:line="256"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Despite lower than anticipated results for the three and the six months ended September 30, 2017, we remain optimistic about our near-term and long-term financial performance. We remain confident in the value, performance, and return on investment</w:t>
      </w:r>
    </w:p>
    <w:p>
      <w:pPr>
        <w:sectPr>
          <w:pgSz w:w="11900" w:h="16838" w:orient="portrait"/>
          <w:cols w:equalWidth="0" w:num="1">
            <w:col w:w="11420"/>
          </w:cols>
          <w:pgMar w:left="240" w:top="53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30" w:right="239" w:bottom="1440" w:gutter="0" w:footer="0" w:header="0"/>
          <w:type w:val="continuous"/>
        </w:sectPr>
      </w:pPr>
    </w:p>
    <w:bookmarkStart w:id="24" w:name="page25"/>
    <w:bookmarkEnd w:id="24"/>
    <w:p>
      <w:pPr>
        <w:jc w:val="both"/>
        <w:ind w:right="20"/>
        <w:spacing w:after="0" w:line="342" w:lineRule="auto"/>
        <w:rPr>
          <w:sz w:val="20"/>
          <w:szCs w:val="20"/>
          <w:color w:val="auto"/>
        </w:rPr>
      </w:pPr>
      <w:r>
        <w:rPr>
          <w:rFonts w:ascii="Arial" w:cs="Arial" w:eastAsia="Arial" w:hAnsi="Arial"/>
          <w:sz w:val="16"/>
          <w:szCs w:val="16"/>
          <w:color w:val="auto"/>
        </w:rPr>
        <w:t>of our lighting products. We believe that customer purchases of LED lighting systems will continue to increase in the near-term as expected improvements in LED performance and expected decreases in LED product costs make our LED products even more economically compelling to our customers.</w:t>
      </w:r>
    </w:p>
    <w:p>
      <w:pPr>
        <w:spacing w:after="0" w:line="232"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near-term optimism is based upon: (i) our efforts to expand our distribution services customer base; (ii) our intentions to continue to selectively expand our sales force; (iii) our investments into new high-performance LED industrial lighting fixtures (iv) recent and planned new product introductions; and (v) our efforts to improve our gross margin as a result of focused inventory management, our cost containment initiatives and the development of higher-performance LED products.</w:t>
      </w:r>
    </w:p>
    <w:p>
      <w:pPr>
        <w:spacing w:after="0" w:line="295"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Our long-term optimism is based upon the factors below which we believe will directly or indirectly drive customer spending on LED lighting systems or will improve the profitability of our operations:</w:t>
      </w:r>
    </w:p>
    <w:p>
      <w:pPr>
        <w:spacing w:after="0" w:line="116" w:lineRule="exact"/>
        <w:rPr>
          <w:sz w:val="20"/>
          <w:szCs w:val="20"/>
          <w:color w:val="auto"/>
        </w:rPr>
      </w:pPr>
    </w:p>
    <w:p>
      <w:pPr>
        <w:ind w:left="660" w:right="10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considerable size of the existing market opportunity for lighting retrofits, including the market opportunities in commercial office, manufacturing, healthcare, government and retail markets;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development of our new higher margin products and product enhancements, including our new LED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efforts to expand our channels of distribution;</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cost reduction initiatives which have included significant changes to our manufacturing operations to increase our flexibility and lower our cost structure;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LED adoption continues to grow in all sectors;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and industrial economic sentiment is strengthening;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Utility incentives continue to be available and are increasing as a percent of project costs in many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Prospects of tax regulatory reform are encouraging;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spending is increasing;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profits are increasing;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spending remains strong.</w:t>
      </w:r>
    </w:p>
    <w:p>
      <w:pPr>
        <w:spacing w:after="0" w:line="15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Beyond the benefits of our lighting fixtures, there is also an opportunity to utilize our system platform as a “digital” or “connected ceiling”, or rather a framework or network that can support the installation and integration of other business solutions on our digital platform. This exciting, cutting edge growth opportunity is also known as the “Industrial Internet of Things” or IIoT, and is still early in its development, however, we have already participated in a few compelling applications that deliver cost savings and efficiency in areas outside of lighting.</w:t>
      </w:r>
    </w:p>
    <w:p>
      <w:pPr>
        <w:spacing w:after="0" w:line="29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Given our first half performance combined with known and expected future orders, we now anticipate fiscal 2018 full-year revenues will be flat relative to fiscal 2017 revenues. While we expect revenue delayed by storm related events in the first half of the year to be realized in the second half, we revised downward our fiscal 2018 full-year revenue forecast during the second quarter primarily due to it taking longer than anticipated for our new agency and distributor network to achieve revenue generation expectations. We expect our revenues to increase during the last six months of fiscal 2018, when compared to the last six months of fiscal 2017, based on increased sales to our major and national accounts, the anticipated timing of significant turnkey projects with our long standing automotive customers, increasing sales of our newly introduced and higher-margin LED high bay products and increased utilization of our manufacturing facility.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 - Three Months Ended September 30, 2017 versus Three Months Ended September 30, 2016</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53"/>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14,109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17,675</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91.5 %</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94.7 %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32.0 %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15,422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18,670</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10,593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11,752</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68.7 %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63.0 %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79.2 %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11,801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12,426</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76.5 %</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66.6 %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6,244</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3,157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3,598</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20.5 %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19.3 %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of intangible assets</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Sales and marketing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2,906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3,125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18.8 %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Loss from operations</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(3,532)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(254.6)%</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1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(104.4)%</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Loss before income tax</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(3,668)</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(282.1)%</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1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(3,668)</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(278.1)%</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65"/>
        </w:trPr>
        <w:tc>
          <w:tcPr>
            <w:tcW w:w="62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decreased 20.2%, or $3.6 million, for the second quarter of fiscal 2018 versus the second quarter of fiscal 2017. The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product revenue was primarily the result of the continued decline in flourescent product sales, $2.0 million quarter over quarter, and a decrease of $1.4 million in LED lighting revenue. LED lighting revenue decreased by 10.0% from $14.1 million in the second quarter of fiscal 2017 to $12.7 million in the second quarter of fiscal 2018 primarily as a result of the timing of purchases by our direct customers. Service revenue increased 32.0%, or $0.3 million, due to the timing of completion of installations in the second quarter of fiscal 2018 when compared to the second quarter of fiscal 2017. Total revenue decreased by 17.4%, or $3.3 million, primarily due to the items discussed above.</w:t>
      </w:r>
    </w:p>
    <w:p>
      <w:pPr>
        <w:spacing w:after="0" w:line="1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Cost of product revenue decreased 9.9%, or $1.2 million in the second quarter of fiscal 2018 versus the comparable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fiscal 2017 primarily due to the decline in sales, partially offset by lower overhead absorption compared to the prior year period. Cost of service revenue increased 79.2%, or $0.5 million in the second quarter of fiscal 2018 versus the comparable period in fiscal 2017 primarily due to significant costs incurred on a large installation project and the timing of project completions. Gross margin decreased from 33.4% of revenue in the second quarter of fiscal 2017 to 23.5% in the second quarter of fiscal 2018. Our product gross margin decreased from 33.5% to 24.9% period over period primarily as a result of under-absorption within our manufacturing facility and an increase in sales of products sourced from third party manufacturers. Our service gross margin was negatively impacted by increased delivery costs on large turnkey projects.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decreased 12.3%, or $0.4 million in the second quarter of fiscal 2018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fiscal 2017, primarily due to a decrease in stock compensation expense and wages as a result of headcount and salary reductions.</w:t>
      </w:r>
    </w:p>
    <w:p>
      <w:pPr>
        <w:spacing w:after="0" w:line="70"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i w:val="1"/>
          <w:iCs w:val="1"/>
          <w:color w:val="auto"/>
        </w:rPr>
        <w:t xml:space="preserve">Impairment of Intangible Assets. </w:t>
      </w:r>
      <w:r>
        <w:rPr>
          <w:rFonts w:ascii="Arial" w:cs="Arial" w:eastAsia="Arial" w:hAnsi="Arial"/>
          <w:sz w:val="17"/>
          <w:szCs w:val="17"/>
          <w:color w:val="auto"/>
        </w:rPr>
        <w:t>During the three months ended September 30, 2017, we performed a review of our definite and indefinite-lived</w:t>
      </w:r>
      <w:r>
        <w:rPr>
          <w:rFonts w:ascii="Arial" w:cs="Arial" w:eastAsia="Arial" w:hAnsi="Arial"/>
          <w:sz w:val="17"/>
          <w:szCs w:val="17"/>
          <w:i w:val="1"/>
          <w:iCs w:val="1"/>
          <w:color w:val="auto"/>
        </w:rPr>
        <w:t xml:space="preserve"> </w:t>
      </w:r>
      <w:r>
        <w:rPr>
          <w:rFonts w:ascii="Arial" w:cs="Arial" w:eastAsia="Arial" w:hAnsi="Arial"/>
          <w:sz w:val="17"/>
          <w:szCs w:val="17"/>
          <w:color w:val="auto"/>
        </w:rPr>
        <w:t>tangible and intangible assets for impairment. In conjunction with this review, we determined that the carrying value of our Harris trade name exceeded its fair value. As a result, we recorded an impairment charge of $0.7 million during the three months ended September 30,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07" w:right="239" w:bottom="1440" w:gutter="0" w:footer="0" w:header="0"/>
        </w:sectPr>
      </w:pPr>
    </w:p>
    <w:bookmarkStart w:id="26" w:name="page27"/>
    <w:bookmarkEnd w:id="26"/>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7.0%, or $0.2 million in the second quarter of fiscal 2018 compared to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2017. The decrease quarter over quarter was primarily due to reduced consulting and professional fees related to special events and field sales, partially offset by additional resources focusing on additional sales activities.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by 26.5% or $0.1 million in the second quarter of fiscal 2018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fiscal 2017 primarily due to decreased testing and supply costs.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second quarter of fiscal 2018 increased by 104.4%, or $0.1 million from the second quarter of fiscal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expense was due to increased third party financing costs.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the second quarter of fiscal 2018 decreased by 78.6%, or eleven thousand dollars, from the second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2017. Our interest income decreased as a result of the continued run-off of legacy customer financed projects.</w:t>
      </w:r>
    </w:p>
    <w:p>
      <w:pPr>
        <w:spacing w:after="0" w:line="116"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incurred no income tax expense in the second quarter of fiscal 2018 as a result of our operating losses. Our normal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is due primarily to minimum state tax liabilities.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 A significant portion of the historic sales of this division have migrated to distribution channel sales as a result of the implementation of Orion’s agent distribution strategy. The migrated sales are included in Orion's ODS Division.</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right"/>
              <w:ind w:right="519"/>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52"/>
        </w:trPr>
        <w:tc>
          <w:tcPr>
            <w:tcW w:w="7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60" w:type="dxa"/>
            <w:vAlign w:val="bottom"/>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2,830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5,192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7"/>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26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USM segment revenue decreased from the second quarter of fiscal 2017 by 45.5%, or $2.4 million. The decrease in revenue during the second quarter of fiscal 2018 compared to the first quarter of fiscal 2017 was due to a decline in sales to large direct customers.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USM segment realized an operating loss in the second quarter of fiscal 2018 of $0.9 million as compared to operating income of $0.3 million during the second quarter of fiscal 2017. The decline in the segment’s operating results is primarily due to the significant decline in sales period over period resulting in lost operating expense leverage and an intangible asset impairment in the second quarter of fiscal 2018 of $0.2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right"/>
              <w:ind w:right="539"/>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60" w:type="dxa"/>
            <w:vAlign w:val="bottom"/>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tcPr>
          <w:p>
            <w:pPr>
              <w:spacing w:after="0"/>
              <w:rPr>
                <w:sz w:val="16"/>
                <w:szCs w:val="16"/>
                <w:color w:val="auto"/>
              </w:rPr>
            </w:pPr>
          </w:p>
        </w:tc>
        <w:tc>
          <w:tcPr>
            <w:tcW w:w="3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6,133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6,975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4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7"/>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26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3460" w:type="dxa"/>
            <w:vAlign w:val="bottom"/>
          </w:tcPr>
          <w:p>
            <w:pPr>
              <w:spacing w:after="0"/>
              <w:rPr>
                <w:sz w:val="24"/>
                <w:szCs w:val="24"/>
                <w:color w:val="auto"/>
              </w:rPr>
            </w:pPr>
          </w:p>
        </w:tc>
        <w:tc>
          <w:tcPr>
            <w:tcW w:w="3980" w:type="dxa"/>
            <w:vAlign w:val="bottom"/>
          </w:tcPr>
          <w:p>
            <w:pPr>
              <w:jc w:val="right"/>
              <w:ind w:right="155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27" w:name="page28"/>
    <w:bookmarkEnd w:id="27"/>
    <w:p>
      <w:pPr>
        <w:ind w:right="400" w:firstLine="405"/>
        <w:spacing w:after="0" w:line="277" w:lineRule="auto"/>
        <w:rPr>
          <w:sz w:val="20"/>
          <w:szCs w:val="20"/>
          <w:color w:val="auto"/>
        </w:rPr>
      </w:pPr>
      <w:r>
        <w:rPr>
          <w:rFonts w:ascii="Arial" w:cs="Arial" w:eastAsia="Arial" w:hAnsi="Arial"/>
          <w:sz w:val="18"/>
          <w:szCs w:val="18"/>
          <w:color w:val="auto"/>
        </w:rPr>
        <w:t>OES revenue decreased in the second quarter of fiscal 2018 by 12.1%, or $0.8 million, compared to the second quarter of fiscal 2017 primarily as a result of the timing of delivery of our turnkey projects and reduced florescent purchases by a large retail customer.</w:t>
      </w:r>
    </w:p>
    <w:p>
      <w:pPr>
        <w:spacing w:after="0" w:line="11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OES segment operating loss in the second quarter of fiscal 2018 increased by $0.7 million from the second quarter of fiscal 2017. The segment’s operating loss is the result of the decline in sales resulting in lost operating expense leverage and an intangible asset impairment in the second quarter of fiscal 2018 of $0.5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 This segment is expanding as a result of increased sales through distributors as Orion continues to develop its agent distribution strategy. This expansion includes the migration of customers from direct sales previously included in the USM division.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right"/>
              <w:ind w:right="519"/>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52"/>
        </w:trPr>
        <w:tc>
          <w:tcPr>
            <w:tcW w:w="7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60" w:type="dxa"/>
            <w:vAlign w:val="bottom"/>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6,459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6,503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320" w:type="dxa"/>
            <w:vAlign w:val="bottom"/>
          </w:tcPr>
          <w:p>
            <w:pPr>
              <w:spacing w:after="0"/>
              <w:rPr>
                <w:sz w:val="21"/>
                <w:szCs w:val="21"/>
                <w:color w:val="auto"/>
              </w:rPr>
            </w:pPr>
          </w:p>
        </w:tc>
        <w:tc>
          <w:tcPr>
            <w:tcW w:w="940" w:type="dxa"/>
            <w:vAlign w:val="bottom"/>
          </w:tcPr>
          <w:p>
            <w:pPr>
              <w:jc w:val="right"/>
              <w:ind w:right="97"/>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ODS segment revenue remained relatively flat in the second quarter of fiscal 2018 compared to the second quarter of fiscal 2017. The total number of manufacturer representative agencies increased from 27 to approximately 50 agencies from the second quarter of fiscal 2017 to the second quarter of fiscal 2018.</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ODS segment’s operating results decreased $0.6 million during the second quarter of fiscal 2018 as compared to the second quarter of fiscal 2017. The segment recognized fourteen thousand dollars in employee separation costs as part of our cost reduction initiatives which were offset by increased leverage of operating expenses.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3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 - Six Months Ended September 30, 2017 versus Six Months Ended September 30, 2016</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Six Months 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53"/>
        </w:trPr>
        <w:tc>
          <w:tcPr>
            <w:tcW w:w="6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177"/>
        </w:trPr>
        <w:tc>
          <w:tcPr>
            <w:tcW w:w="6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25,890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33,027</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92.5 %</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96.3 %</w:t>
            </w:r>
          </w:p>
        </w:tc>
        <w:tc>
          <w:tcPr>
            <w:tcW w:w="0" w:type="dxa"/>
            <w:vAlign w:val="bottom"/>
          </w:tcPr>
          <w:p>
            <w:pPr>
              <w:spacing w:after="0"/>
              <w:rPr>
                <w:sz w:val="1"/>
                <w:szCs w:val="1"/>
                <w:color w:val="auto"/>
              </w:rPr>
            </w:pPr>
          </w:p>
        </w:tc>
      </w:tr>
      <w:tr>
        <w:trPr>
          <w:trHeight w:val="80"/>
        </w:trPr>
        <w:tc>
          <w:tcPr>
            <w:tcW w:w="61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18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2,090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63.7 %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7.5 %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74"/>
        </w:trPr>
        <w:tc>
          <w:tcPr>
            <w:tcW w:w="61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34,304</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80"/>
        </w:trPr>
        <w:tc>
          <w:tcPr>
            <w:tcW w:w="6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18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19,406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23,171</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69.4 %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67.6 %</w:t>
            </w:r>
          </w:p>
        </w:tc>
        <w:tc>
          <w:tcPr>
            <w:tcW w:w="0" w:type="dxa"/>
            <w:vAlign w:val="bottom"/>
          </w:tcPr>
          <w:p>
            <w:pPr>
              <w:spacing w:after="0"/>
              <w:rPr>
                <w:sz w:val="1"/>
                <w:szCs w:val="1"/>
                <w:color w:val="auto"/>
              </w:rPr>
            </w:pPr>
          </w:p>
        </w:tc>
      </w:tr>
      <w:tr>
        <w:trPr>
          <w:trHeight w:val="74"/>
        </w:trPr>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863</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159.9 %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80"/>
        </w:trPr>
        <w:tc>
          <w:tcPr>
            <w:tcW w:w="61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18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4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21,649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24,034</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77.4 %</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70.1 %</w:t>
            </w:r>
          </w:p>
        </w:tc>
        <w:tc>
          <w:tcPr>
            <w:tcW w:w="0" w:type="dxa"/>
            <w:vAlign w:val="bottom"/>
          </w:tcPr>
          <w:p>
            <w:pPr>
              <w:spacing w:after="0"/>
              <w:rPr>
                <w:sz w:val="1"/>
                <w:szCs w:val="1"/>
                <w:color w:val="auto"/>
              </w:rPr>
            </w:pPr>
          </w:p>
        </w:tc>
      </w:tr>
      <w:tr>
        <w:trPr>
          <w:trHeight w:val="74"/>
        </w:trPr>
        <w:tc>
          <w:tcPr>
            <w:tcW w:w="61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10,270</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29.9 %</w:t>
            </w:r>
          </w:p>
        </w:tc>
        <w:tc>
          <w:tcPr>
            <w:tcW w:w="0" w:type="dxa"/>
            <w:vAlign w:val="bottom"/>
          </w:tcPr>
          <w:p>
            <w:pPr>
              <w:spacing w:after="0"/>
              <w:rPr>
                <w:sz w:val="1"/>
                <w:szCs w:val="1"/>
                <w:color w:val="auto"/>
              </w:rPr>
            </w:pPr>
          </w:p>
        </w:tc>
      </w:tr>
      <w:tr>
        <w:trPr>
          <w:trHeight w:val="80"/>
        </w:trPr>
        <w:tc>
          <w:tcPr>
            <w:tcW w:w="6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18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8,491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7,499</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13.2 %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30.3 %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21.9 %</w:t>
            </w:r>
          </w:p>
        </w:tc>
        <w:tc>
          <w:tcPr>
            <w:tcW w:w="0" w:type="dxa"/>
            <w:vAlign w:val="bottom"/>
          </w:tcPr>
          <w:p>
            <w:pPr>
              <w:spacing w:after="0"/>
              <w:rPr>
                <w:sz w:val="1"/>
                <w:szCs w:val="1"/>
                <w:color w:val="auto"/>
              </w:rPr>
            </w:pPr>
          </w:p>
        </w:tc>
      </w:tr>
      <w:tr>
        <w:trPr>
          <w:trHeight w:val="74"/>
        </w:trPr>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180" w:type="dxa"/>
            <w:vAlign w:val="bottom"/>
          </w:tcPr>
          <w:p>
            <w:pPr>
              <w:ind w:left="40"/>
              <w:spacing w:after="0"/>
              <w:rPr>
                <w:sz w:val="20"/>
                <w:szCs w:val="20"/>
                <w:color w:val="auto"/>
              </w:rPr>
            </w:pPr>
            <w:r>
              <w:rPr>
                <w:rFonts w:ascii="Arial" w:cs="Arial" w:eastAsia="Arial" w:hAnsi="Arial"/>
                <w:sz w:val="14"/>
                <w:szCs w:val="14"/>
                <w:color w:val="auto"/>
              </w:rPr>
              <w:t>Impairment of intangible assets</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NM</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1"/>
        </w:trPr>
        <w:tc>
          <w:tcPr>
            <w:tcW w:w="6180" w:type="dxa"/>
            <w:vAlign w:val="bottom"/>
          </w:tcPr>
          <w:p>
            <w:pPr>
              <w:ind w:left="40"/>
              <w:spacing w:after="0"/>
              <w:rPr>
                <w:sz w:val="20"/>
                <w:szCs w:val="20"/>
                <w:color w:val="auto"/>
              </w:rPr>
            </w:pPr>
            <w:r>
              <w:rPr>
                <w:rFonts w:ascii="Arial" w:cs="Arial" w:eastAsia="Arial" w:hAnsi="Arial"/>
                <w:sz w:val="14"/>
                <w:szCs w:val="14"/>
                <w:color w:val="auto"/>
              </w:rPr>
              <w:t>Sales and marketing expenses</w:t>
            </w: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6,260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6,020</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22.4 %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74"/>
        </w:trPr>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80"/>
        </w:trPr>
        <w:tc>
          <w:tcPr>
            <w:tcW w:w="61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180" w:type="dxa"/>
            <w:vAlign w:val="bottom"/>
          </w:tcPr>
          <w:p>
            <w:pPr>
              <w:ind w:left="40"/>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(10,034)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(4,247)</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(136.3)%</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74"/>
        </w:trPr>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NM</w:t>
            </w:r>
          </w:p>
        </w:tc>
        <w:tc>
          <w:tcPr>
            <w:tcW w:w="112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80"/>
        </w:trPr>
        <w:tc>
          <w:tcPr>
            <w:tcW w:w="6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18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74"/>
        </w:trPr>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80"/>
        </w:trPr>
        <w:tc>
          <w:tcPr>
            <w:tcW w:w="6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180" w:type="dxa"/>
            <w:vAlign w:val="bottom"/>
          </w:tcPr>
          <w:p>
            <w:pPr>
              <w:ind w:left="40"/>
              <w:spacing w:after="0"/>
              <w:rPr>
                <w:sz w:val="20"/>
                <w:szCs w:val="20"/>
                <w:color w:val="auto"/>
              </w:rPr>
            </w:pPr>
            <w:r>
              <w:rPr>
                <w:rFonts w:ascii="Arial" w:cs="Arial" w:eastAsia="Arial" w:hAnsi="Arial"/>
                <w:sz w:val="14"/>
                <w:szCs w:val="14"/>
                <w:color w:val="auto"/>
              </w:rPr>
              <w:t>Loss before income tax</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(10,233)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(4,171)</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74"/>
        </w:trPr>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NM</w:t>
            </w:r>
          </w:p>
        </w:tc>
        <w:tc>
          <w:tcPr>
            <w:tcW w:w="112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80"/>
        </w:trPr>
        <w:tc>
          <w:tcPr>
            <w:tcW w:w="6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180" w:type="dxa"/>
            <w:vAlign w:val="bottom"/>
          </w:tcPr>
          <w:p>
            <w:pPr>
              <w:ind w:left="40"/>
              <w:spacing w:after="0"/>
              <w:rPr>
                <w:sz w:val="20"/>
                <w:szCs w:val="20"/>
                <w:color w:val="auto"/>
              </w:rPr>
            </w:pPr>
            <w:r>
              <w:rPr>
                <w:rFonts w:ascii="Arial" w:cs="Arial" w:eastAsia="Arial" w:hAnsi="Arial"/>
                <w:sz w:val="14"/>
                <w:szCs w:val="14"/>
                <w:color w:val="auto"/>
              </w:rPr>
              <w:t>Net loss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(10,233)</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(3,910)</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(161.7)%</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65"/>
        </w:trPr>
        <w:tc>
          <w:tcPr>
            <w:tcW w:w="618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decreased 21.6%, or $7.1 million, for the first six months of fiscal 2018 versus the first six months of fiscal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product revenue was primarily a result of the continued decline in flourescent product sales, $4.3 million year over year, and a decrease of $2.6 million in LED lighting revenue. LED lighting revenue decreased 10.2% from $25.6 million in the first six months of fiscal 2017 to $23.0 million in the first six months of fiscal 2018 primarily as a result of the timing of purchases by our direct customers. Service revenue increased 63.7%, or $0.8 million, primarily due to the timing of installation projects in the first six months of fiscal 2018 when compared to the first six months of fiscal 2017. Total revenue decreased by 18.4%, or $6.3 million, primarily due to the items discussed above.</w:t>
      </w:r>
    </w:p>
    <w:p>
      <w:pPr>
        <w:spacing w:after="0" w:line="1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Cost of product revenue decreased 16.2%, or $3.8 million in the first six months of fiscal 2018 versus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period in fiscal 2017 primarily due to the decline in sales and the resulting lower overhead absorption compared to the prior year period. Cost of service revenue increased 159.9%, or $1.4 million in the first six months of fiscal 2018 versus the comparable period in fiscal 2017 primarily due to the timing of completion and costs on large projects. Gross margin decreased from 29.9% of revenue in the first six months of fiscal 2017 to 22.6% in the first six months of fiscal 2018. Our product gross margin decreased as a result of under-absorption within our manufacturing facility and an increase in sales of products sourced from third party manufacturers.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13.2%, or $1.0 million in the first six months of fiscal 2018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six months of 2017, primarily due to $2.0 million in reorganization costs, offset by decreases in wages due to salary and headcount reductions, legal, depreciation and amortization and stock compensation expenses. Excluding the employee separation costs, general and administrative expenses decreased $1.0 million or 13.9%.</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Impairment of Intangible Assets. </w:t>
      </w:r>
      <w:r>
        <w:rPr>
          <w:rFonts w:ascii="Arial" w:cs="Arial" w:eastAsia="Arial" w:hAnsi="Arial"/>
          <w:sz w:val="17"/>
          <w:szCs w:val="17"/>
          <w:color w:val="auto"/>
        </w:rPr>
        <w:t>During the six months ended September 30, 2017, we performed a review of our definite and indefinite-lived 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and intangible assets for impairment. In conjunction with this review, we determined that the carrying value of our Harris trade name intangible asset exceeded its fair value. As a result, we recorded an impairment charge of $0.7 million during the three months ended September 30,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07" w:right="239" w:bottom="1440" w:gutter="0" w:footer="0" w:header="0"/>
        </w:sectPr>
      </w:pPr>
    </w:p>
    <w:bookmarkStart w:id="29" w:name="page30"/>
    <w:bookmarkEnd w:id="29"/>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4.0%, or $0.2 million in the first six months of fiscal 2018 compared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fiscal 2017. The increase was primarily due to employee separation costs of $0.2 million and increased commissions related to our agency channel, offset by reduced consulting and professional fees related to special events and field sales, partially offset by additional resources focusing on additional sales activities.</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by 9.4% or $0.1 million in the first six months of fiscal 2018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fiscal 2017 primarily due to decreased testing and supply costs.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in the first six months of fiscal 2017 represented product royalties received from licensing agreements for our patents.</w:t>
      </w:r>
    </w:p>
    <w:p>
      <w:pPr>
        <w:spacing w:after="0" w:line="1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first six months of fiscal 2018 increased by 49.3%, or $0.1 million from the first six months of fiscal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expense was due to increased third party financing costs.</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the first six months of fiscal 2018 decreased by 70.8%, or seventeen thousand dollars, from the first six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2017. Our interest income decreased as a result of the continued run-off legacy customer financed projects.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benefit in the first six months of fiscal 2017 primarily represented federal tax refunds and the release of a valuation reserve.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is due primarily to minimum state tax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 A significant portion of the historic sales of this division have migrated to distribution channel sales as a result of the implementation of Orion’s agent distribution strategy. The migrated sales are included in Orion's ODS Division.</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For the Six Months Ended September 30,</w:t>
            </w:r>
          </w:p>
        </w:tc>
        <w:tc>
          <w:tcPr>
            <w:tcW w:w="0" w:type="dxa"/>
            <w:vAlign w:val="bottom"/>
          </w:tcPr>
          <w:p>
            <w:pPr>
              <w:spacing w:after="0"/>
              <w:rPr>
                <w:sz w:val="1"/>
                <w:szCs w:val="1"/>
                <w:color w:val="auto"/>
              </w:rPr>
            </w:pPr>
          </w:p>
        </w:tc>
      </w:tr>
      <w:tr>
        <w:trPr>
          <w:trHeight w:val="152"/>
        </w:trPr>
        <w:tc>
          <w:tcPr>
            <w:tcW w:w="7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ind w:left="500"/>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11,094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5"/>
              </w:rPr>
              <w:t>(62.0)%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140" w:type="dxa"/>
            <w:vAlign w:val="bottom"/>
          </w:tcPr>
          <w:p>
            <w:pPr>
              <w:ind w:left="6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USM segment revenue decreased from the first six months of fiscal 2017 by 62.0%, or $6.9 million. The decrease in revenue during the first six months of fiscal 2018 compared to the first six months of fiscal 2017 included the continued transition to a distribution sales model. Previously direct sales that are now sold through independent manufacturer representative agents are now reflected within Orion's Distribution Services Division.</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USM segment’s operating results decreased $2.6 million in the first six months of fiscal 2018 as compared to the first six months of fiscal 2017. The segment's operating loss is the result of the significant decline in sales due to the migration of customers to the direct sales channel resulting in lost operating expense leverage and an intangible asset impairment in the second quarter of fiscal 2018 of $0.2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459"/>
              <w:spacing w:after="0"/>
              <w:rPr>
                <w:sz w:val="20"/>
                <w:szCs w:val="20"/>
                <w:color w:val="auto"/>
              </w:rPr>
            </w:pPr>
            <w:r>
              <w:rPr>
                <w:rFonts w:ascii="Arial" w:cs="Arial" w:eastAsia="Arial" w:hAnsi="Arial"/>
                <w:sz w:val="14"/>
                <w:szCs w:val="14"/>
                <w:b w:val="1"/>
                <w:bCs w:val="1"/>
                <w:color w:val="auto"/>
              </w:rPr>
              <w:t>For the Six Months Ended September 30,</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11,541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13,774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OES revenue decreased in the first six months of fiscal 2018 by 16.2%, or $2.2 million compared to the first six months of fiscal 2017 primarily as a result of the timing of delivery of our turnkey projects and reduced florescent purchases by a large retail customer.</w:t>
      </w:r>
    </w:p>
    <w:p>
      <w:pPr>
        <w:spacing w:after="0" w:line="2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OES segment operating loss in the first six months of fiscal 2018 increased by $1.9 million from the first six months of fiscal 2017. The segment's operating loss is the result of the decline in sales resulting in lost operating leverage and an intangible asset impairment in the second quarter of fiscal 2018 of $0.5 million .</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 This segment is expanding as a result of increased sales through distributors as Orion continues to develop its agent distribution strategy. This expansion includes the migration of customers from direct sales previously included in the USM division.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459"/>
              <w:spacing w:after="0"/>
              <w:rPr>
                <w:sz w:val="20"/>
                <w:szCs w:val="20"/>
                <w:color w:val="auto"/>
              </w:rPr>
            </w:pPr>
            <w:r>
              <w:rPr>
                <w:rFonts w:ascii="Arial" w:cs="Arial" w:eastAsia="Arial" w:hAnsi="Arial"/>
                <w:sz w:val="14"/>
                <w:szCs w:val="14"/>
                <w:b w:val="1"/>
                <w:bCs w:val="1"/>
                <w:color w:val="auto"/>
              </w:rPr>
              <w:t>For the Six Months Ended September 30,</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12,219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9,436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ODS segment revenue increased in the first six months of fiscal 2018 from the first six months of fiscal 2017 by $2.8 million. The increase in revenue in fiscal 2018 is primarily due to our transition to a distribution channel sales model migrating direct sales through our manufacturer representative agents. In addition, during the second quarter of fiscal 2018, ODS revenue grew as a result of our expanding manufacturer representative agencies and the continued ramp of sales through these agencies. The total manufacturer representative agencies increased from 27 to approximately 50 agencies from the second quarter of fiscal 2017 to the second quarter of fiscal 2018.</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ODS segment operating loss increased by $0.5 million, in the first six months of fiscal 2018 compared to the first six months of fiscal 2017. The segment recognized $0.1 million in employee separation costs as a part of our cost reduction initiatives, which were offset by increased leverage of operating expenses as well as expanded lighting product margins.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had approximately $8.7 million in cash and cash equivalents as of September 30, 2017, compared to $17.3 million at March 31, 2017. Our cash position decreased as of September 30, 2017 primarily as a result of our net loss, separation payments to terminated employees in conjunction with our management reorganization and cost reduction initiatives and the net repayment of $3.5 million on our revolving credit facility.</w:t>
      </w:r>
    </w:p>
    <w:p>
      <w:pPr>
        <w:spacing w:after="0" w:line="27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future liquidity needs are dependent upon many factors, including our relative revenue, gross margins, cash management practices, cost reduction initiatives, working capital management, capital expenditures, pending or future litigation results and cost containment measures. In addition, we tend to experience high working capital costs when we increase sales from existing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levels. Based on our current expectations, while we anticipate realizing improved operating results during fiscal 2018, we also currently believe that we may experience negative working capital cash flows during some interim periods.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six months ended September 30, 2017 and 2016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8"/>
              </w:rPr>
              <w:t>Six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2,161</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3,192</w:t>
            </w:r>
          </w:p>
        </w:tc>
      </w:tr>
      <w:tr>
        <w:trPr>
          <w:trHeight w:val="27"/>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provided by or used in operating activities primarily consisted of a net loss adjusted for certain non-cash items including depreciation and amortization, stock-based compensation expenses, provisions for reserves, and the effect of changes in working capital and other activities.</w:t>
      </w:r>
    </w:p>
    <w:p>
      <w:pPr>
        <w:spacing w:after="0" w:line="12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Cash used in operating activities for the first six months of fiscal 2018 was $4.7 million and consisted of a net loss adjusted for non-cash expense items of $7.6 million and net cash provided by changes in operating assets and liabilities of $2.9 million. Cash used by changes in operating assets and liabilities consisted of a decrease of $3.8 million in accounts payable due to the timing of payments and lower inventory requirements, and a decrease in accrued expenses and other of $0.4 million primarily due to the timing of payment of commissions and lower accrued bonuses in the current fiscal year. Cash provided by changes in operating assets and liabilities included a decrease of $1.0 million in accounts receivable due to the decline in sales and the timing of customer collections, a decrease in inventory of $4.0 million as a result of increased focus on inventory management in consideration of the lower sales volume, a decrease of $0.8 million in deferred contract costs due to the timing of project completion, a decrease of $1.2 million in prepaid and other assets primarily due to the timing of project billings, and an increase of $0.2 million in deferred revenue due to the timing of project completions.</w:t>
      </w:r>
    </w:p>
    <w:p>
      <w:pPr>
        <w:spacing w:after="0" w:line="11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Cash provided by operating activities for the first six months of fiscal 2017 was $0.6 million and consisted of net cash provided by changes in operating assets and liabilities of $1.8 million and a net loss adjusted for non-cash expense items of $1.2 million. Cash used by changes in operating assets and liabilities consisted of an increase of $1.3 million in accounts receivable due to the increase in lighting revenue and the timing of collections from customers at period end, an increase in inventories of $0.4 million due to the timing product shipments at quarter end, a decrease of $0.9 million in accrued expenses due to the payment of a state tax liability offset by accrued project installation costs and an increase in deferred contract costs of $0.4 million due to the timing of project completion. Cash provided by changes in operating assets and liabilities included an increase of $0.7 million in accounts payable due to the timing of payments on balances at quarter end, a decrease in prepaid and other assets of $3.8 million primarily due to the timing of project billings, and an increase in deferred revenue of $0.3 million due to project completions.</w:t>
      </w:r>
    </w:p>
    <w:p>
      <w:pPr>
        <w:spacing w:after="0" w:line="1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Cash used by investing activities was $0.3 million in the first six months of fiscal 2018 which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property and equipment and additions to patents and licenses.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Cash provided by investing activities was $2.2 million in the first six months of fiscal 2017 which consisted of $2.6 million of proceeds from the sale of the Manitowoc manufacturing facility partially offset by $0.2 million for capital improvements related to production enhancements and technology purchases, and $0.2 million of additions to patents.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in financing activities was $3.7 million for the first six months of fiscal 2018 was due almost</w:t>
      </w:r>
      <w:r>
        <w:rPr>
          <w:rFonts w:ascii="Arial" w:cs="Arial" w:eastAsia="Arial" w:hAnsi="Arial"/>
          <w:sz w:val="18"/>
          <w:szCs w:val="18"/>
          <w:i w:val="1"/>
          <w:iCs w:val="1"/>
          <w:color w:val="auto"/>
        </w:rPr>
        <w:t xml:space="preserve"> </w:t>
      </w:r>
      <w:r>
        <w:rPr>
          <w:rFonts w:ascii="Arial" w:cs="Arial" w:eastAsia="Arial" w:hAnsi="Arial"/>
          <w:sz w:val="18"/>
          <w:szCs w:val="18"/>
          <w:color w:val="auto"/>
        </w:rPr>
        <w:t>entirely to the net repayment of our revolving credit facility.</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provided by financing activities was $0.4 million for the first six months of fiscal 2017. This included $0.7 million cash used for the repayment of long-term debt and net proceeds from the revolving credit facility of $1.1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Our net working capital as of September 30, 2017 was $13.9 million, consisting of $28.1 million in current assets and $14.2 million in current liabilities. Our net working capital as of March 31, 2017 was $25.5 million, consisting of $43.9 million in current assets and $18.4 in current liabilities. Our current accounts receivable balance decreased by $1.0 million from the fiscal 2017 year end due to the decline in sales and the timing of customer collections. Our inventory decreased from the fiscal 2017 year end by $4.3 million due to continued management of purchasing activities and inventory management initiatives. Our prepaid and other current assets decreased by $1.1 million due to a decrease in unbilled revenue as a result of the timing of customer billings. Our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30" w:right="239" w:bottom="144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accounts payable decreased by $3.8 million due to the timing of purchases and payments during the quarter. Our accrued expenses decreased from our fiscal 2017 year end by $0.5 million due to the payment of commissions and a decrease in accrued bonuses in the current fiscal year.</w:t>
      </w:r>
    </w:p>
    <w:p>
      <w:pPr>
        <w:spacing w:after="0" w:line="116" w:lineRule="exact"/>
        <w:rPr>
          <w:sz w:val="20"/>
          <w:szCs w:val="20"/>
          <w:color w:val="auto"/>
        </w:rPr>
      </w:pPr>
    </w:p>
    <w:p>
      <w:pPr>
        <w:jc w:val="both"/>
        <w:ind w:right="300" w:firstLine="392"/>
        <w:spacing w:after="0" w:line="264" w:lineRule="auto"/>
        <w:rPr>
          <w:sz w:val="20"/>
          <w:szCs w:val="20"/>
          <w:color w:val="auto"/>
        </w:rPr>
      </w:pPr>
      <w:r>
        <w:rPr>
          <w:rFonts w:ascii="Arial" w:cs="Arial" w:eastAsia="Arial" w:hAnsi="Arial"/>
          <w:sz w:val="18"/>
          <w:szCs w:val="18"/>
          <w:color w:val="auto"/>
        </w:rPr>
        <w:t>We generally attempt to maintain at least a three 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have an amended credit agreement ("Credit Agreement") that provides for a revolving credit facility ("Credit Facility") subject to a borrowing base requirement based on eligible receivables and inventory. As of September 30, 2017 our borrowing base was approximately $3.2 million. The Credit Facility has a maturity date of February 6, 2019 and includes a $2.0 million sublimit for the issuance of letters of credit. As of September 30, 2017, we had no outstanding letters of credit. Borrowings outstanding as of September 30, 2017, amounted to approximately $3.1 million and are included in non-current liabilities in the accompanying condensed consolidated balance sheet. We estimate that as of September 30, 2017, we were eligible to borrow an additional $0.1 million under the Credit Facility based upon current levels of eligible inventory and accounts receivable.</w:t>
      </w:r>
    </w:p>
    <w:p>
      <w:pPr>
        <w:spacing w:after="0" w:line="12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Subject in each case to our applicable borrowing base limitations, the Credit Agreement otherwise provides for a $15.0 million Credit Facility. This limit may increase to $20.0 million based on a borrowing base requirement, if we satisfy certain conditions. We did not meet the requirements to increase the borrowing limit to $20.0 million as of July 31, 2017, the most recent measurement date.</w:t>
      </w:r>
    </w:p>
    <w:p>
      <w:pPr>
        <w:spacing w:after="0" w:line="127"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From and after any increase in the Credit Facility limit from $15.0 million to $20.0 million, the Credit Agreement requires that we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 We were in compliance with our covenants in the Credit Agreement as of September 30, 2017.</w:t>
      </w:r>
    </w:p>
    <w:p>
      <w:pPr>
        <w:spacing w:after="0" w:line="13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Each of our subsidiaries is a joint and several co-borrower or guarantor under the Credit Agreement, and the Credit Agreement is secured by a security interest in substantially all of our and each subsidiary’s personal property (excluding various assets relating to customer OTAs) and a mortgage on certain real property.</w:t>
      </w:r>
    </w:p>
    <w:p>
      <w:pPr>
        <w:spacing w:after="0" w:line="12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$0.1 million, regardless of usage. As of September 30, 2017, the interest rate was 4.33%. We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w:t>
      </w:r>
    </w:p>
    <w:p>
      <w:pPr>
        <w:spacing w:after="0" w:line="17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capital expenditures are primarily for general corporate purposes for our corporate headquarters and technology center, production equipment and tooling and for information technology systems. Our capital expenditures totaled $0.3 million and $0.2 million for the six-month periods ended September 30, 2017 and 2016, respectively. We plan to incur approximately $0.5 million in capital expenditures in fiscal 2018. We expect to finance these capital expenditures primarily through our existing cash, equipment secured loans and leases, to the extent needed, long-term debt financing, or by using our available capacity under our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Backlog represents the amount of revenue that we expect to realize in the future as a result of firm, committed orders. Backlog totaled $6.5 million and $7.3 million as of September 30, 2017 and March 31, 2017, respectively. We generally expect our backlog to be recognized as revenue within one year.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3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2017. For the three months ended September 30, 2017, there were no material changes in our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2 in the condensed consolidated financial statements included elsewhere in this report.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2017. There have been no material changes to such exposures since March 31, 2017.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07" w:right="239" w:bottom="1440" w:gutter="0" w:footer="0" w:header="0"/>
        </w:sectPr>
      </w:pPr>
    </w:p>
    <w:bookmarkStart w:id="34" w:name="page35"/>
    <w:bookmarkEnd w:id="34"/>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on Internal Control over Financial Reporting</w:t>
      </w:r>
    </w:p>
    <w:p>
      <w:pPr>
        <w:spacing w:after="0" w:line="17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82" w:lineRule="exact"/>
        <w:rPr>
          <w:rFonts w:ascii="Arial" w:cs="Arial" w:eastAsia="Arial" w:hAnsi="Arial"/>
          <w:sz w:val="17"/>
          <w:szCs w:val="17"/>
          <w:color w:val="auto"/>
        </w:rPr>
      </w:pPr>
    </w:p>
    <w:p>
      <w:pPr>
        <w:ind w:left="660" w:right="4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92"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w:t>
      </w:r>
    </w:p>
    <w:p>
      <w:pPr>
        <w:spacing w:after="0" w:line="12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As previously disclosed under "Item 9A. Controls and Procedures" in our Annual Report on Form 10-K for our fiscal year ended March 31, 2017, we identified the following material weaknesses that existed as of March 31, 2017 and continued to exist at September 30, 2017. A material weakness is a control deficiency or a combination of control deficiencies that results in more than a remote likelihood that a material misstatement of the annual or interim financial statements will not be prevented or detected.</w:t>
      </w:r>
    </w:p>
    <w:p>
      <w:pPr>
        <w:spacing w:after="0" w:line="133" w:lineRule="exact"/>
        <w:rPr>
          <w:sz w:val="20"/>
          <w:szCs w:val="20"/>
          <w:color w:val="auto"/>
        </w:rPr>
      </w:pPr>
    </w:p>
    <w:p>
      <w:pPr>
        <w:ind w:left="660" w:right="60" w:hanging="328"/>
        <w:spacing w:after="0" w:line="302" w:lineRule="auto"/>
        <w:tabs>
          <w:tab w:leader="none" w:pos="660"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Information &amp; Communication. </w:t>
      </w:r>
      <w:r>
        <w:rPr>
          <w:rFonts w:ascii="Arial" w:cs="Arial" w:eastAsia="Arial" w:hAnsi="Arial"/>
          <w:sz w:val="16"/>
          <w:szCs w:val="16"/>
          <w:color w:val="auto"/>
        </w:rPr>
        <w:t>We determined that our controls pertaining to information and communication did not operate effectively, resulting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material weakness pertaining to these COSO components. Specifically, we did not have sufficient communication of the status and evolution of a project to ensure timely and accurate recognition of project costs. In addition, we did not have sufficient communication and resolution of matters identified through management’s review impacting the accounting close as noted in the Control Activities discussion below.</w:t>
      </w:r>
    </w:p>
    <w:p>
      <w:pPr>
        <w:spacing w:after="0" w:line="100" w:lineRule="exact"/>
        <w:rPr>
          <w:rFonts w:ascii="Arial" w:cs="Arial" w:eastAsia="Arial" w:hAnsi="Arial"/>
          <w:sz w:val="16"/>
          <w:szCs w:val="16"/>
          <w:b w:val="1"/>
          <w:bCs w:val="1"/>
          <w:i w:val="1"/>
          <w:iCs w:val="1"/>
          <w:color w:val="auto"/>
        </w:rPr>
      </w:pPr>
    </w:p>
    <w:p>
      <w:pPr>
        <w:ind w:left="660" w:right="80" w:hanging="328"/>
        <w:spacing w:after="0" w:line="342" w:lineRule="auto"/>
        <w:tabs>
          <w:tab w:leader="none" w:pos="660"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Control Activities - Accounting Close. </w:t>
      </w:r>
      <w:r>
        <w:rPr>
          <w:rFonts w:ascii="Arial" w:cs="Arial" w:eastAsia="Arial" w:hAnsi="Arial"/>
          <w:sz w:val="16"/>
          <w:szCs w:val="16"/>
          <w:color w:val="auto"/>
        </w:rPr>
        <w:t>The operating effectiveness of our controls were inadequate to ensure that project costs were identified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to expense in a timely manner. In addition, matters identified through management review controls were not brought to a timely resolution.</w:t>
      </w:r>
    </w:p>
    <w:p>
      <w:pPr>
        <w:spacing w:after="0" w:line="7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Because of the material weaknesses described above, in consultation with management, our Chief Executive Officer and Chief Financial Officer have concluded that we did not maintain effective internal control over financial reporting and our disclosure controls and procedures were not effective as of March 31, 2017 and September 30, 2017, based on the criteria in Internal Control - Integrated Framework (2013) issued by COSO.</w:t>
      </w:r>
    </w:p>
    <w:p>
      <w:pPr>
        <w:spacing w:after="0" w:line="11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For the year ended March 31, 2017 and subsequent interim periods, we enhanced our closing procedures to ensure that, in all material respects, our financial statements are presented in conformity with GAAP and free of material misstatement as of and for the periods ended March 31, 2017 and September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Remediation of March 31, 2017 Material Weaknesses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Board, our Audit &amp; Finance Committee and management have identified additional resources to assist in the remediation effort and are developing and implementing new processes, procedures and internal controls to remediate the material weakness that existed in our internal control over financial reporting as it related to project cost accounting and the accounting close, and our disclosure controls and procedures, as of March 31, 2017 and September 30,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07" w:right="239" w:bottom="1440" w:gutter="0" w:footer="0" w:header="0"/>
        </w:sectPr>
      </w:pPr>
    </w:p>
    <w:bookmarkStart w:id="35" w:name="page36"/>
    <w:bookmarkEnd w:id="35"/>
    <w:p>
      <w:pPr>
        <w:jc w:val="both"/>
        <w:ind w:firstLine="392"/>
        <w:spacing w:after="0" w:line="264" w:lineRule="auto"/>
        <w:rPr>
          <w:sz w:val="20"/>
          <w:szCs w:val="20"/>
          <w:color w:val="auto"/>
        </w:rPr>
      </w:pPr>
      <w:r>
        <w:rPr>
          <w:rFonts w:ascii="Arial" w:cs="Arial" w:eastAsia="Arial" w:hAnsi="Arial"/>
          <w:sz w:val="18"/>
          <w:szCs w:val="18"/>
          <w:color w:val="auto"/>
        </w:rPr>
        <w:t>We have developed a remediation plan (the “Remediation Plan”) to address the material weakness for the affected areas presented above. The Remediation Plan ensures that each area affected by a material control weakness is put through a comprehensive remediation process. The Remediation Plan entails a thorough analysis which includes the following phases:</w:t>
      </w:r>
    </w:p>
    <w:p>
      <w:pPr>
        <w:spacing w:after="0" w:line="12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Ensure a thorough understanding of the “as is” state, process owners, and procedural or technological gaps causing the deficiency;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 and evaluate a remediation action for the review and analysis of project costs; validate or improve the related policy and procedures; evaluate skills of the process owners with regard to the policy and adjust as required;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Implement specific remediation actions: train process owners, allow time for process adoption and adequate transaction volume for next steps;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Test and measure the design and effectiveness of the remediation actions; test and provide feedback on the design and operating effectiveness of the controls,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acceptance of completion of the remediation effort by executive management and the Audit &amp; Finance Committee.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are steps we have taken or are in the process of taking toward the remediation plan:</w:t>
      </w:r>
    </w:p>
    <w:p>
      <w:pPr>
        <w:spacing w:after="0" w:line="171"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Developed a regular method for the evaluation of actual project costs incurred against budgeted costs and for the communication of such costs and project status.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Revisited the method in which projects are reviewed and evaluated by the accounting department to ensure the accurate and timely recording of necessary adjustments.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Formalized and strengthened management review controls as they pertain to the accounting close.</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 documentation of policies and procedures related to project accounting, account reconciliations, and other key areas within the accounting close.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training to key process owners.</w:t>
      </w:r>
    </w:p>
    <w:p>
      <w:pPr>
        <w:spacing w:after="0" w:line="103" w:lineRule="exact"/>
        <w:rPr>
          <w:rFonts w:ascii="Arial" w:cs="Arial" w:eastAsia="Arial" w:hAnsi="Arial"/>
          <w:sz w:val="18"/>
          <w:szCs w:val="18"/>
          <w:color w:val="auto"/>
        </w:rPr>
      </w:pPr>
    </w:p>
    <w:p>
      <w:pPr>
        <w:ind w:left="660" w:hanging="328"/>
        <w:spacing w:after="0" w:line="3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 information technology reporting capabilities, where possible, to ensure consistent, accurate data to support accounting close processes in a timely and efficient manner.</w:t>
      </w:r>
    </w:p>
    <w:p>
      <w:pPr>
        <w:spacing w:after="0" w:line="210"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The Remediation Plan is being administered by our Chief Financial Officer and involves key leaders from across the organization. The Chief Financial Officer is providing regular updates on the status of the remediation to our Audit and Finance Committee. While progress has been made, there are additional controls that we need to continue to refine and implement, some existing controls may require further enhancement to prevent or detect a material misstatement in our financial statements, and additional training may need to be provided to our employees. These enhanced controls have not yet operated for a sufficient period of time to conclude they are operating effectively, therefore the material weakness may continue to exist.</w:t>
      </w:r>
    </w:p>
    <w:p>
      <w:pPr>
        <w:spacing w:after="0" w:line="173" w:lineRule="exact"/>
        <w:rPr>
          <w:sz w:val="20"/>
          <w:szCs w:val="20"/>
          <w:color w:val="auto"/>
        </w:rPr>
      </w:pPr>
    </w:p>
    <w:p>
      <w:pPr>
        <w:jc w:val="both"/>
        <w:ind w:right="20" w:firstLine="392"/>
        <w:spacing w:after="0" w:line="342" w:lineRule="auto"/>
        <w:rPr>
          <w:sz w:val="20"/>
          <w:szCs w:val="20"/>
          <w:color w:val="auto"/>
        </w:rPr>
      </w:pPr>
      <w:r>
        <w:rPr>
          <w:rFonts w:ascii="Arial" w:cs="Arial" w:eastAsia="Arial" w:hAnsi="Arial"/>
          <w:sz w:val="16"/>
          <w:szCs w:val="16"/>
          <w:color w:val="auto"/>
        </w:rPr>
        <w:t>We will continue to monitor the effectiveness of our internal control over financial reporting in the areas affected by the material weaknesses described above and employ any additional tools and resources deemed necessary to ensure that our financial statements are fairly stated in all material respects.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2017, that have materially affected, or are reasonably likely to materially affect, our internal control over financial reporting, other than with respect to the implementation of remediation efforts, as described above.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are subject to various claims and legal proceedings arising in the ordinary course of business. As of the date hereof, we are unable to currently assess whether the final resolution of any of such claims or legal proceedings may have a material adverse effect on Orion’s future results of operations.</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See Note 14, "Commitments and Contingencies - Litigation", to the Condensed Consolidated Financial Statements in Item 1 of this Quarterly Report on Form 10-Q.</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2017, which we filed with the SEC on June 13, 2017 and in Part 1 - Item 2 under the heading "Management's Discussion and Analysis of Financial Condition and Results of Operations" in this Form 10-Q.</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7" w:name="page38"/>
    <w:bookmarkEnd w:id="37"/>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0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Chief Executive Officer of Orion Energy Systems, Inc. pursuant to Rule 13a-14(a) or Rule 15d-14(a) promulgated under the</w:t>
              </w:r>
            </w:hyperlink>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40">
              <w:r>
                <w:rPr>
                  <w:rFonts w:ascii="Arial" w:cs="Arial" w:eastAsia="Arial" w:hAnsi="Arial"/>
                  <w:sz w:val="18"/>
                  <w:szCs w:val="18"/>
                  <w:color w:val="0000FF"/>
                  <w:w w:val="88"/>
                </w:rPr>
                <w:t>Securities Exchange Act of 1934, as amended.</w:t>
              </w:r>
            </w:hyperlink>
          </w:p>
        </w:tc>
        <w:tc>
          <w:tcPr>
            <w:tcW w:w="6740" w:type="dxa"/>
            <w:vAlign w:val="bottom"/>
            <w:gridSpan w:val="5"/>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of Chief Financial Officer of Orion Energy Systems, Inc. pursuant to Rule 13a-14(a) or Rule 15d-14(a) promulgated under the</w:t>
              </w:r>
            </w:hyperlink>
          </w:p>
        </w:tc>
        <w:tc>
          <w:tcPr>
            <w:tcW w:w="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41">
              <w:r>
                <w:rPr>
                  <w:rFonts w:ascii="Arial" w:cs="Arial" w:eastAsia="Arial" w:hAnsi="Arial"/>
                  <w:sz w:val="18"/>
                  <w:szCs w:val="18"/>
                  <w:color w:val="0000FF"/>
                  <w:w w:val="88"/>
                </w:rPr>
                <w:t>Securities Exchange Act of 1934, as amended.</w:t>
              </w:r>
            </w:hyperlink>
          </w:p>
        </w:tc>
        <w:tc>
          <w:tcPr>
            <w:tcW w:w="6740" w:type="dxa"/>
            <w:vAlign w:val="bottom"/>
            <w:gridSpan w:val="5"/>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95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Chief Executive Officer of Orion Energy Systems, Inc. pursuant to Rule 13a-14(b) promulgated under the Securities</w:t>
              </w:r>
            </w:hyperlink>
          </w:p>
        </w:tc>
        <w:tc>
          <w:tcPr>
            <w:tcW w:w="5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6"/>
          </w:tcPr>
          <w:p>
            <w:pPr>
              <w:spacing w:after="0" w:line="196" w:lineRule="exact"/>
              <w:rPr>
                <w:rFonts w:ascii="Arial" w:cs="Arial" w:eastAsia="Arial" w:hAnsi="Arial"/>
                <w:sz w:val="18"/>
                <w:szCs w:val="18"/>
                <w:color w:val="0000FF"/>
                <w:w w:val="91"/>
              </w:rPr>
            </w:pPr>
            <w:hyperlink w:anchor="page42">
              <w:r>
                <w:rPr>
                  <w:rFonts w:ascii="Arial" w:cs="Arial" w:eastAsia="Arial" w:hAnsi="Arial"/>
                  <w:sz w:val="18"/>
                  <w:szCs w:val="18"/>
                  <w:color w:val="0000FF"/>
                  <w:w w:val="91"/>
                </w:rPr>
                <w:t>Exchange Act of 1934, as amended, and 18 U.S.C. Section 1350, as adopted pursuant to Section 906 of the Sarbanes-Oxley Act of 2002.</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9840" w:type="dxa"/>
            <w:vAlign w:val="bottom"/>
            <w:tcBorders>
              <w:top w:val="single" w:sz="8" w:color="0000FF"/>
            </w:tcBorders>
            <w:gridSpan w:val="4"/>
          </w:tcPr>
          <w:p>
            <w:pPr>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Certification of Chief Financial Officer of Orion Energy Systems, Inc. pursuant to Rule 13a-14(b) promulgated under the Securities</w:t>
              </w:r>
            </w:hyperlink>
          </w:p>
        </w:tc>
        <w:tc>
          <w:tcPr>
            <w:tcW w:w="240" w:type="dxa"/>
            <w:vAlign w:val="bottom"/>
            <w:gridSpan w:val="2"/>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9460" w:type="dxa"/>
            <w:vAlign w:val="bottom"/>
            <w:gridSpan w:val="2"/>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6"/>
          </w:tcPr>
          <w:p>
            <w:pPr>
              <w:spacing w:after="0" w:line="196"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Exchange Act of 1934, as amended, and 18 U.S.C. Section 1350, as adopted pursuant to Section 906 of the Sarbanes-Oxley Act of 2002.</w:t>
              </w:r>
            </w:hyperlink>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240" w:type="dxa"/>
            <w:vAlign w:val="bottom"/>
            <w:gridSpan w:val="2"/>
          </w:tcPr>
          <w:p>
            <w:pPr>
              <w:spacing w:after="0"/>
              <w:rPr>
                <w:sz w:val="24"/>
                <w:szCs w:val="24"/>
                <w:color w:val="auto"/>
              </w:rPr>
            </w:pP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6"/>
          </w:tcPr>
          <w:p>
            <w:pPr>
              <w:spacing w:after="0"/>
              <w:rPr>
                <w:sz w:val="20"/>
                <w:szCs w:val="20"/>
                <w:color w:val="auto"/>
              </w:rPr>
            </w:pPr>
            <w:r>
              <w:rPr>
                <w:rFonts w:ascii="Arial" w:cs="Arial" w:eastAsia="Arial" w:hAnsi="Arial"/>
                <w:sz w:val="18"/>
                <w:szCs w:val="18"/>
                <w:color w:val="auto"/>
              </w:rPr>
              <w:t>Taxonomy extension schema document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6"/>
          </w:tcPr>
          <w:p>
            <w:pPr>
              <w:spacing w:after="0"/>
              <w:rPr>
                <w:sz w:val="20"/>
                <w:szCs w:val="20"/>
                <w:color w:val="auto"/>
              </w:rPr>
            </w:pPr>
            <w:r>
              <w:rPr>
                <w:rFonts w:ascii="Arial" w:cs="Arial" w:eastAsia="Arial" w:hAnsi="Arial"/>
                <w:sz w:val="18"/>
                <w:szCs w:val="18"/>
                <w:color w:val="auto"/>
              </w:rPr>
              <w:t>Taxonomy extension calculation linkbase document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6"/>
          </w:tcPr>
          <w:p>
            <w:pPr>
              <w:spacing w:after="0"/>
              <w:rPr>
                <w:sz w:val="20"/>
                <w:szCs w:val="20"/>
                <w:color w:val="auto"/>
              </w:rPr>
            </w:pPr>
            <w:r>
              <w:rPr>
                <w:rFonts w:ascii="Arial" w:cs="Arial" w:eastAsia="Arial" w:hAnsi="Arial"/>
                <w:sz w:val="18"/>
                <w:szCs w:val="18"/>
                <w:color w:val="auto"/>
              </w:rPr>
              <w:t>Taxonomy extension label linkbase document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6"/>
          </w:tcPr>
          <w:p>
            <w:pPr>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200" w:lineRule="exact"/>
        <w:rPr>
          <w:sz w:val="20"/>
          <w:szCs w:val="20"/>
          <w:color w:val="auto"/>
        </w:rPr>
      </w:pPr>
    </w:p>
    <w:p>
      <w:pPr>
        <w:spacing w:after="0" w:line="272" w:lineRule="exact"/>
        <w:rPr>
          <w:sz w:val="20"/>
          <w:szCs w:val="20"/>
          <w:color w:val="auto"/>
        </w:rPr>
      </w:pPr>
    </w:p>
    <w:p>
      <w:pPr>
        <w:ind w:left="760" w:hanging="69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607" w:right="319" w:bottom="1440" w:gutter="0" w:footer="0" w:header="0"/>
        </w:sectPr>
      </w:pPr>
    </w:p>
    <w:bookmarkStart w:id="38" w:name="page39"/>
    <w:bookmarkEnd w:id="38"/>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2, 2017.</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364" w:right="3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17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Michael W. Altschaefl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171"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September 30, 2017,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214" w:lineRule="exact"/>
        <w:rPr>
          <w:sz w:val="20"/>
          <w:szCs w:val="20"/>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November 2, 2017</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W. Altschaefl</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2017,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November 2, 2017</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31750</wp:posOffset>
            </wp:positionV>
            <wp:extent cx="3447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2019-12-29T03:49:04Z</dcterms:created>
  <dcterms:modified xsi:type="dcterms:W3CDTF">2019-12-29T03:49:04Z</dcterms:modified>
</cp:coreProperties>
</file>