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720" w:right="220" w:hanging="509"/>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 the Quarterly Period Ended December 31,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720" w:right="200" w:hanging="469"/>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88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2001 Mirro Drive, Manitowoc, Wisconsin</w:t>
            </w:r>
          </w:p>
        </w:tc>
        <w:tc>
          <w:tcPr>
            <w:tcW w:w="5880" w:type="dxa"/>
            <w:vAlign w:val="bottom"/>
            <w:gridSpan w:val="2"/>
          </w:tcPr>
          <w:p>
            <w:pPr>
              <w:jc w:val="right"/>
              <w:ind w:right="2470"/>
              <w:spacing w:after="0"/>
              <w:rPr>
                <w:sz w:val="20"/>
                <w:szCs w:val="20"/>
                <w:color w:val="auto"/>
              </w:rPr>
            </w:pPr>
            <w:r>
              <w:rPr>
                <w:rFonts w:ascii="Arial" w:cs="Arial" w:eastAsia="Arial" w:hAnsi="Arial"/>
                <w:sz w:val="18"/>
                <w:szCs w:val="18"/>
                <w:b w:val="1"/>
                <w:bCs w:val="1"/>
                <w:color w:val="auto"/>
              </w:rPr>
              <w:t>54220</w:t>
            </w:r>
          </w:p>
        </w:tc>
      </w:tr>
      <w:tr>
        <w:trPr>
          <w:trHeight w:val="228"/>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21"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 of “accelerated filer,” “large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jc w:val="center"/>
        <w:ind w:right="10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040" w:space="720"/>
            <w:col w:w="1440" w:space="720"/>
            <w:col w:w="3440" w:space="720"/>
            <w:col w:w="2340"/>
          </w:cols>
          <w:pgMar w:left="240" w:top="122" w:right="239" w:bottom="1440" w:gutter="0" w:footer="0" w:header="0"/>
          <w:type w:val="continuous"/>
        </w:sectPr>
      </w:pPr>
    </w:p>
    <w:p>
      <w:pPr>
        <w:ind w:right="226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22,648,887 shares of the Registrant’s common stock outstanding on February 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Orion Energy Systems,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December 31, 2008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40" w:type="dxa"/>
            <w:vAlign w:val="bottom"/>
            <w:gridSpan w:val="9"/>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20" w:type="dxa"/>
            <w:vAlign w:val="bottom"/>
            <w:gridSpan w:val="8"/>
            <w:vMerge w:val="restart"/>
          </w:tcPr>
          <w:p>
            <w:pPr>
              <w:spacing w:after="0"/>
              <w:rPr>
                <w:sz w:val="14"/>
                <w:szCs w:val="14"/>
                <w:color w:val="auto"/>
              </w:rPr>
            </w:pPr>
          </w:p>
        </w:tc>
        <w:tc>
          <w:tcPr>
            <w:tcW w:w="8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74"/>
        </w:trPr>
        <w:tc>
          <w:tcPr>
            <w:tcW w:w="3040" w:type="dxa"/>
            <w:vAlign w:val="bottom"/>
            <w:tcBorders>
              <w:bottom w:val="single" w:sz="8" w:color="0000EE"/>
            </w:tcBorders>
            <w:gridSpan w:val="9"/>
            <w:vMerge w:val="continue"/>
          </w:tcPr>
          <w:p>
            <w:pPr>
              <w:spacing w:after="0"/>
              <w:rPr>
                <w:sz w:val="14"/>
                <w:szCs w:val="14"/>
                <w:color w:val="auto"/>
              </w:rPr>
            </w:pPr>
          </w:p>
        </w:tc>
        <w:tc>
          <w:tcPr>
            <w:tcW w:w="7520" w:type="dxa"/>
            <w:vAlign w:val="bottom"/>
            <w:gridSpan w:val="8"/>
            <w:vMerge w:val="continue"/>
          </w:tcPr>
          <w:p>
            <w:pPr>
              <w:spacing w:after="0"/>
              <w:rPr>
                <w:sz w:val="14"/>
                <w:szCs w:val="14"/>
                <w:color w:val="auto"/>
              </w:rPr>
            </w:pPr>
          </w:p>
        </w:tc>
        <w:tc>
          <w:tcPr>
            <w:tcW w:w="860" w:type="dxa"/>
            <w:vAlign w:val="bottom"/>
          </w:tcPr>
          <w:p>
            <w:pPr>
              <w:jc w:val="right"/>
              <w:ind w:right="251"/>
              <w:spacing w:after="0" w:line="17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2580" w:type="dxa"/>
            <w:vAlign w:val="bottom"/>
            <w:tcBorders>
              <w:bottom w:val="single" w:sz="8" w:color="0000EE"/>
            </w:tcBorders>
            <w:gridSpan w:val="8"/>
          </w:tcPr>
          <w:p>
            <w:pPr>
              <w:ind w:left="20"/>
              <w:spacing w:after="0" w:line="196" w:lineRule="exact"/>
              <w:rPr>
                <w:rFonts w:ascii="Arial" w:cs="Arial" w:eastAsia="Arial" w:hAnsi="Arial"/>
                <w:sz w:val="18"/>
                <w:szCs w:val="18"/>
                <w:b w:val="1"/>
                <w:bCs w:val="1"/>
                <w:color w:val="0000EE"/>
                <w:w w:val="89"/>
              </w:rPr>
            </w:pPr>
            <w:hyperlink w:anchor="page4">
              <w:r>
                <w:rPr>
                  <w:rFonts w:ascii="Arial" w:cs="Arial" w:eastAsia="Arial" w:hAnsi="Arial"/>
                  <w:sz w:val="18"/>
                  <w:szCs w:val="18"/>
                  <w:b w:val="1"/>
                  <w:bCs w:val="1"/>
                  <w:color w:val="0000EE"/>
                  <w:w w:val="89"/>
                </w:rPr>
                <w:t>Financial Statements (unaudited)</w:t>
              </w:r>
            </w:hyperlink>
          </w:p>
        </w:tc>
        <w:tc>
          <w:tcPr>
            <w:tcW w:w="7280" w:type="dxa"/>
            <w:vAlign w:val="bottom"/>
            <w:gridSpan w:val="7"/>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 as of March 31, 2008 and December 31, 2008</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52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for the Three and Nine Months Ended December 31, 2007 and 2008</w:t>
              </w:r>
            </w:hyperlink>
          </w:p>
        </w:tc>
        <w:tc>
          <w:tcPr>
            <w:tcW w:w="820" w:type="dxa"/>
            <w:vAlign w:val="bottom"/>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340" w:type="dxa"/>
            <w:vAlign w:val="bottom"/>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 for the Nine Months Ended December 31, 2007 and 2008</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 (Unaudited)</w:t>
              </w:r>
            </w:hyperlink>
          </w:p>
        </w:tc>
        <w:tc>
          <w:tcPr>
            <w:tcW w:w="1540" w:type="dxa"/>
            <w:vAlign w:val="bottom"/>
            <w:gridSpan w:val="2"/>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9860" w:type="dxa"/>
            <w:vAlign w:val="bottom"/>
            <w:gridSpan w:val="15"/>
          </w:tcPr>
          <w:p>
            <w:pPr>
              <w:ind w:left="20"/>
              <w:spacing w:after="0" w:line="196"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3.</w:t>
              </w:r>
            </w:hyperlink>
          </w:p>
        </w:tc>
        <w:tc>
          <w:tcPr>
            <w:tcW w:w="4680" w:type="dxa"/>
            <w:vAlign w:val="bottom"/>
            <w:tcBorders>
              <w:top w:val="single" w:sz="8" w:color="0000EE"/>
              <w:bottom w:val="single" w:sz="8" w:color="0000EE"/>
            </w:tcBorders>
            <w:gridSpan w:val="10"/>
          </w:tcPr>
          <w:p>
            <w:pPr>
              <w:ind w:left="20"/>
              <w:spacing w:after="0" w:line="196" w:lineRule="exact"/>
              <w:rPr>
                <w:rFonts w:ascii="Arial" w:cs="Arial" w:eastAsia="Arial" w:hAnsi="Arial"/>
                <w:sz w:val="18"/>
                <w:szCs w:val="18"/>
                <w:b w:val="1"/>
                <w:bCs w:val="1"/>
                <w:color w:val="0000EE"/>
                <w:w w:val="91"/>
              </w:rPr>
            </w:pPr>
            <w:hyperlink w:anchor="page28">
              <w:r>
                <w:rPr>
                  <w:rFonts w:ascii="Arial" w:cs="Arial" w:eastAsia="Arial" w:hAnsi="Arial"/>
                  <w:sz w:val="18"/>
                  <w:szCs w:val="18"/>
                  <w:b w:val="1"/>
                  <w:bCs w:val="1"/>
                  <w:color w:val="0000EE"/>
                  <w:w w:val="91"/>
                </w:rPr>
                <w:t>Quantitative and Qualitative Disclosures about Market Risk</w:t>
              </w:r>
            </w:hyperlink>
          </w:p>
        </w:tc>
        <w:tc>
          <w:tcPr>
            <w:tcW w:w="2160" w:type="dxa"/>
            <w:vAlign w:val="bottom"/>
            <w:tcBorders>
              <w:top w:val="single" w:sz="8" w:color="0000EE"/>
            </w:tcBorders>
            <w:gridSpan w:val="2"/>
          </w:tcPr>
          <w:p>
            <w:pPr>
              <w:spacing w:after="0"/>
              <w:rPr>
                <w:sz w:val="17"/>
                <w:szCs w:val="17"/>
                <w:color w:val="auto"/>
              </w:rPr>
            </w:pPr>
          </w:p>
        </w:tc>
        <w:tc>
          <w:tcPr>
            <w:tcW w:w="3020" w:type="dxa"/>
            <w:vAlign w:val="bottom"/>
            <w:gridSpan w:val="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ITEM 4. Controls and Procedures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528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 OTHER INFORMATION</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1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b w:val="1"/>
                <w:bCs w:val="1"/>
                <w:color w:val="0000EE"/>
                <w:w w:val="92"/>
              </w:rPr>
            </w:pPr>
            <w:hyperlink w:anchor="page28">
              <w:r>
                <w:rPr>
                  <w:rFonts w:ascii="Arial" w:cs="Arial" w:eastAsia="Arial" w:hAnsi="Arial"/>
                  <w:sz w:val="18"/>
                  <w:szCs w:val="18"/>
                  <w:b w:val="1"/>
                  <w:bCs w:val="1"/>
                  <w:color w:val="0000EE"/>
                  <w:w w:val="92"/>
                </w:rPr>
                <w:t>ITEM 1. Legal Proceedings</w:t>
              </w:r>
            </w:hyperlink>
          </w:p>
        </w:tc>
        <w:tc>
          <w:tcPr>
            <w:tcW w:w="600" w:type="dxa"/>
            <w:vAlign w:val="bottom"/>
            <w:tcBorders>
              <w:top w:val="single" w:sz="8" w:color="0000EE"/>
            </w:tcBorders>
            <w:gridSpan w:val="3"/>
          </w:tcPr>
          <w:p>
            <w:pPr>
              <w:spacing w:after="0"/>
              <w:rPr>
                <w:sz w:val="17"/>
                <w:szCs w:val="17"/>
                <w:color w:val="auto"/>
              </w:rPr>
            </w:pPr>
          </w:p>
        </w:tc>
        <w:tc>
          <w:tcPr>
            <w:tcW w:w="7840" w:type="dxa"/>
            <w:vAlign w:val="bottom"/>
            <w:gridSpan w:val="9"/>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700" w:type="dxa"/>
            <w:vAlign w:val="bottom"/>
            <w:gridSpan w:val="2"/>
          </w:tcPr>
          <w:p>
            <w:pPr>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2.</w:t>
              </w:r>
            </w:hyperlink>
          </w:p>
        </w:tc>
        <w:tc>
          <w:tcPr>
            <w:tcW w:w="9860" w:type="dxa"/>
            <w:vAlign w:val="bottom"/>
            <w:gridSpan w:val="15"/>
          </w:tcPr>
          <w:p>
            <w:pPr>
              <w:ind w:left="20"/>
              <w:spacing w:after="0" w:line="196" w:lineRule="exact"/>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Unregistered Sales of Equity Securities and Use of Proceeds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ITEM 5. Other Information</w:t>
              </w:r>
            </w:hyperlink>
          </w:p>
        </w:tc>
        <w:tc>
          <w:tcPr>
            <w:tcW w:w="3120" w:type="dxa"/>
            <w:vAlign w:val="bottom"/>
            <w:tcBorders>
              <w:top w:val="single" w:sz="8" w:color="0000EE"/>
            </w:tcBorders>
            <w:gridSpan w:val="5"/>
          </w:tcPr>
          <w:p>
            <w:pPr>
              <w:spacing w:after="0"/>
              <w:rPr>
                <w:sz w:val="17"/>
                <w:szCs w:val="17"/>
                <w:color w:val="auto"/>
              </w:rPr>
            </w:pPr>
          </w:p>
        </w:tc>
        <w:tc>
          <w:tcPr>
            <w:tcW w:w="5280" w:type="dxa"/>
            <w:vAlign w:val="bottom"/>
            <w:gridSpan w:val="6"/>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30">
              <w:r>
                <w:rPr>
                  <w:rFonts w:ascii="Arial" w:cs="Arial" w:eastAsia="Arial" w:hAnsi="Arial"/>
                  <w:sz w:val="18"/>
                  <w:szCs w:val="18"/>
                  <w:b w:val="1"/>
                  <w:bCs w:val="1"/>
                  <w:color w:val="0000EE"/>
                  <w:w w:val="97"/>
                </w:rPr>
                <w:t>ITEM 6. Exhibits</w:t>
              </w:r>
            </w:hyperlink>
          </w:p>
        </w:tc>
        <w:tc>
          <w:tcPr>
            <w:tcW w:w="9200" w:type="dxa"/>
            <w:vAlign w:val="bottom"/>
            <w:gridSpan w:val="13"/>
          </w:tcPr>
          <w:p>
            <w:pPr>
              <w:spacing w:after="0"/>
              <w:rPr>
                <w:sz w:val="17"/>
                <w:szCs w:val="17"/>
                <w:color w:val="auto"/>
              </w:rPr>
            </w:pPr>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SIGNATURES</w:t>
              </w:r>
            </w:hyperlink>
          </w:p>
        </w:tc>
        <w:tc>
          <w:tcPr>
            <w:tcW w:w="8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78,312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Accounts receivable, net of allowances of $79 and $111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17,666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16,789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116,896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11,539</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388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Investment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130,702</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7,521</w:t>
            </w:r>
          </w:p>
        </w:tc>
        <w:tc>
          <w:tcPr>
            <w:tcW w:w="6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12,606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4,473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17,512</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w w:val="98"/>
              </w:rPr>
              <w:t>Preferred stock, $0.01 par value: Shares authorized: 30,000,000 shares at March 31, 2008 and December 31, 2008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80" w:type="dxa"/>
            <w:vAlign w:val="bottom"/>
          </w:tcPr>
          <w:p>
            <w:pPr>
              <w:spacing w:after="0" w:line="201" w:lineRule="exact"/>
              <w:rPr>
                <w:sz w:val="20"/>
                <w:szCs w:val="20"/>
                <w:color w:val="auto"/>
              </w:rPr>
            </w:pPr>
            <w:r>
              <w:rPr>
                <w:rFonts w:ascii="Arial" w:cs="Arial" w:eastAsia="Arial" w:hAnsi="Arial"/>
                <w:sz w:val="18"/>
                <w:szCs w:val="18"/>
                <w:color w:val="auto"/>
                <w:w w:val="99"/>
              </w:rPr>
              <w:t>Common stock, no par value: Shares authorized: 200,000,000 at March 31, 2008 and December 31, 2008;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w w:val="95"/>
              </w:rPr>
              <w:t>issued: 27,339,414 and 28,253,773 at March 31, 2008 and December 31, 2008; shares outstanding: 26,963,408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22,618,553 at March 31, 2008 and December 31, 2008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114,090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Treasury stock: 376,006 common shares at March 31, 2008 and 5,635,220 at December 31, 2008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right"/>
              <w:ind w:right="620"/>
              <w:spacing w:after="0"/>
              <w:rPr>
                <w:sz w:val="20"/>
                <w:szCs w:val="20"/>
                <w:color w:val="auto"/>
              </w:rPr>
            </w:pPr>
            <w:r>
              <w:rPr>
                <w:rFonts w:ascii="Arial" w:cs="Arial" w:eastAsia="Arial" w:hAnsi="Arial"/>
                <w:sz w:val="18"/>
                <w:szCs w:val="18"/>
                <w:color w:val="auto"/>
              </w:rPr>
              <w:t>(1,739)</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113,190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130,702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6"/>
              </w:rPr>
              <w:t>Three Months Ended December 31,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7"/>
              </w:rPr>
              <w:t>Nine Months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18,934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20,671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47,686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Service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4,377</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1,704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58,437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12,224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13,644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31,044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Total cost of revenue</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15,057</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14,955</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38,258</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8,254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3,288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6,766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2,260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6,309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6,002</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14,409</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(1,272)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Dividend and 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color w:val="auto"/>
              </w:rPr>
              <w:t>Income before income tax</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1,890</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4,978</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4"/>
              </w:rPr>
              <w:t>Accretion of redeemable preferred stock and preferred stock dividends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common shareholders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1,955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common shareholders</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13,889,162</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25,203,827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11,774,702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26,398,338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Diluted net income per share attributable to common shareholders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00"/>
              <w:spacing w:after="0"/>
              <w:rPr>
                <w:sz w:val="20"/>
                <w:szCs w:val="20"/>
                <w:color w:val="auto"/>
              </w:rPr>
            </w:pPr>
            <w:r>
              <w:rPr>
                <w:rFonts w:ascii="Arial" w:cs="Arial" w:eastAsia="Arial" w:hAnsi="Arial"/>
                <w:sz w:val="18"/>
                <w:szCs w:val="18"/>
                <w:color w:val="auto"/>
              </w:rPr>
              <w:t>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Weighted-average common shares and share equivalents outstanding</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22,858,230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26,414,750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20,752,432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28,710,765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700" w:type="dxa"/>
            <w:vAlign w:val="bottom"/>
            <w:gridSpan w:val="7"/>
          </w:tcPr>
          <w:p>
            <w:pPr>
              <w:ind w:left="1520"/>
              <w:spacing w:after="0"/>
              <w:rPr>
                <w:sz w:val="20"/>
                <w:szCs w:val="20"/>
                <w:color w:val="auto"/>
              </w:rPr>
            </w:pPr>
            <w:r>
              <w:rPr>
                <w:rFonts w:ascii="Arial" w:cs="Arial" w:eastAsia="Arial" w:hAnsi="Arial"/>
                <w:sz w:val="14"/>
                <w:szCs w:val="14"/>
                <w:b w:val="1"/>
                <w:bCs w:val="1"/>
                <w:color w:val="auto"/>
                <w:w w:val="95"/>
              </w:rPr>
              <w:t>Nine Months Ended December 31,</w:t>
            </w:r>
          </w:p>
        </w:tc>
      </w:tr>
      <w:tr>
        <w:trPr>
          <w:trHeight w:val="171"/>
        </w:trPr>
        <w:tc>
          <w:tcPr>
            <w:tcW w:w="7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2,955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1,089</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1,337</w:t>
            </w: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Deferred income tax benefit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1,340</w:t>
            </w: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(3,130)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(1,484)</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(7,822)</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(1,804)</w:t>
            </w: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(2,473)</w:t>
            </w:r>
          </w:p>
        </w:tc>
      </w:tr>
      <w:tr>
        <w:trPr>
          <w:trHeight w:val="216"/>
        </w:trPr>
        <w:tc>
          <w:tcPr>
            <w:tcW w:w="77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2,032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r>
      <w:tr>
        <w:trPr>
          <w:trHeight w:val="216"/>
        </w:trPr>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(1,749)</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b w:val="1"/>
                <w:bCs w:val="1"/>
                <w:color w:val="auto"/>
              </w:rPr>
              <w:t>Net cash used in operating activities</w:t>
            </w: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(2,115)</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(1,876)</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(10,630)</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short-term investments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(22,270)</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Additions to patents and licenses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sales of long term assets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Gain on sale of long term investment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(361)</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decrease in amount due from shareholder</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b w:val="1"/>
                <w:bCs w:val="1"/>
                <w:color w:val="auto"/>
              </w:rPr>
              <w:t>Net cash used in investing activities</w:t>
            </w: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(1,821)</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(33,491)</w:t>
            </w:r>
          </w:p>
        </w:tc>
        <w:tc>
          <w:tcPr>
            <w:tcW w:w="10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11,302</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long-term debt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(633)</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Repurchase of common stock into treasury</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(22,441)</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shareholder notes receivable, net</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Net activity in revolving line of credit</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(6,064)</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Excess benefit for deferred taxes on stock-based compensation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Deferred financing costs and offering costs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initial public offering, net of issuance costs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78,627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Pr>
          <w:p>
            <w:pPr>
              <w:ind w:left="220"/>
              <w:spacing w:after="0"/>
              <w:rPr>
                <w:sz w:val="20"/>
                <w:szCs w:val="20"/>
                <w:color w:val="auto"/>
              </w:rPr>
            </w:pPr>
            <w:r>
              <w:rPr>
                <w:rFonts w:ascii="Arial" w:cs="Arial" w:eastAsia="Arial" w:hAnsi="Arial"/>
                <w:sz w:val="18"/>
                <w:szCs w:val="18"/>
                <w:color w:val="auto"/>
              </w:rPr>
              <w:t>Proceeds from exercise of stock options and warrants</w:t>
            </w:r>
          </w:p>
        </w:tc>
        <w:tc>
          <w:tcPr>
            <w:tcW w:w="1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Pr>
          <w:p>
            <w:pPr>
              <w:spacing w:after="0"/>
              <w:rPr>
                <w:sz w:val="19"/>
                <w:szCs w:val="19"/>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86,946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(20,178)</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83,010</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(54,137)</w:t>
            </w:r>
          </w:p>
        </w:tc>
        <w:tc>
          <w:tcPr>
            <w:tcW w:w="100" w:type="dxa"/>
            <w:vAlign w:val="bottom"/>
          </w:tcPr>
          <w:p>
            <w:pPr>
              <w:spacing w:after="0"/>
              <w:rPr>
                <w:sz w:val="19"/>
                <w:szCs w:val="19"/>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78,312</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83,295</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24,175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Cash paid for interest</w:t>
            </w:r>
          </w:p>
        </w:tc>
        <w:tc>
          <w:tcPr>
            <w:tcW w:w="166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914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income taxes</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 term note receivable received on sale of investment</w:t>
            </w:r>
          </w:p>
        </w:tc>
        <w:tc>
          <w:tcPr>
            <w:tcW w:w="166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Shares surrendered for payment of stock note receivable</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Conversion of debt to common stock</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8"/>
              </w:rPr>
              <w:t>10,762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Conversion of redeemable preferred stock and accrued dividends to common stock</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w w:val="98"/>
              </w:rPr>
              <w:t>10,714</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accretion</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DESCRIPTION OF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The Company includes Orion Energy Systems, Inc., a Wisconsin corporation, and all consolidated subsidiaries. The Company is a developer, manufacturer and seller of lighting and energy management systems. The corporate offices and manufacturing operations are located in Manitowoc, Wisconsin and operations facilities are located in Plymouth, Wisconsin.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00" w:firstLine="225"/>
        <w:spacing w:after="0" w:line="272" w:lineRule="auto"/>
        <w:rPr>
          <w:sz w:val="20"/>
          <w:szCs w:val="20"/>
          <w:color w:val="auto"/>
        </w:rPr>
      </w:pPr>
      <w:r>
        <w:rPr>
          <w:rFonts w:ascii="Arial" w:cs="Arial" w:eastAsia="Arial" w:hAnsi="Arial"/>
          <w:sz w:val="17"/>
          <w:szCs w:val="17"/>
          <w:color w:val="auto"/>
        </w:rPr>
        <w:t>In December 2007, the Company completed its initial public offering (IPO) of common stock in which a total of 8,846,154 shares were sold, including 1,997,062 shares sold by selling shareholders, at an issuance price of $13.00 per share. The Company raised a total of $89.0 million in gross proceeds from the IPO, or approximately $78.6 in net proceeds after deducting underwriting discounts and commissions of $6.2 million and offering costs of approximately $4.2 million. Concurrent with the closing of the IPO on December 24, 2007, all of the Company’s then outstanding Series B preferred stock and Series C preferred stock converted on a one share to one share basis to common stock. The numbers of shares converted were 2,989,830 and 1,818,182 of Series B preferred stock and Series C preferred stock, respectively. On December 24, 2007, the holders of convertible debt converted $10.8 million of such debt and accreted interest into 2,360,802 shares of the Company’s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2009 or other interim periods.</w:t>
      </w:r>
    </w:p>
    <w:p>
      <w:pPr>
        <w:spacing w:after="0" w:line="64" w:lineRule="exact"/>
        <w:rPr>
          <w:sz w:val="20"/>
          <w:szCs w:val="20"/>
          <w:color w:val="auto"/>
        </w:rPr>
      </w:pPr>
    </w:p>
    <w:p>
      <w:pPr>
        <w:ind w:right="100" w:firstLine="222"/>
        <w:spacing w:after="0" w:line="277" w:lineRule="auto"/>
        <w:rPr>
          <w:sz w:val="20"/>
          <w:szCs w:val="20"/>
          <w:color w:val="auto"/>
        </w:rPr>
      </w:pPr>
      <w:r>
        <w:rPr>
          <w:rFonts w:ascii="Arial" w:cs="Arial" w:eastAsia="Arial" w:hAnsi="Arial"/>
          <w:sz w:val="18"/>
          <w:szCs w:val="18"/>
          <w:color w:val="auto"/>
        </w:rPr>
        <w:t>The condensed consolidated balance sheet at March 31, 2008 has been derived from the audited consolidated financial statements at that date but does not include all of the information required by GAAP for complete financial statements.</w:t>
      </w:r>
    </w:p>
    <w:p>
      <w:pPr>
        <w:spacing w:after="0" w:line="62"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2008 filed with the Securities and Exchange Commission on June 27,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The amortized cost and fair value of marketable securities, with gross unrealized gains and losses, as of December 31, 2008 and March 31, 2008 were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December 31, 2008</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Amortized</w:t>
            </w:r>
          </w:p>
        </w:tc>
        <w:tc>
          <w:tcPr>
            <w:tcW w:w="5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5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5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Cash and Cash</w:t>
            </w:r>
          </w:p>
        </w:tc>
        <w:tc>
          <w:tcPr>
            <w:tcW w:w="54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w w:val="86"/>
              </w:rPr>
              <w:t>Losses</w:t>
            </w:r>
          </w:p>
        </w:tc>
        <w:tc>
          <w:tcPr>
            <w:tcW w:w="560" w:type="dxa"/>
            <w:vAlign w:val="bottom"/>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1"/>
              </w:rPr>
              <w:t>Equivalents</w:t>
            </w:r>
          </w:p>
        </w:tc>
        <w:tc>
          <w:tcPr>
            <w:tcW w:w="540" w:type="dxa"/>
            <w:vAlign w:val="bottom"/>
          </w:tcPr>
          <w:p>
            <w:pPr>
              <w:spacing w:after="0"/>
              <w:rPr>
                <w:sz w:val="15"/>
                <w:szCs w:val="15"/>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$ 17,318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$ 17,318</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17,318</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680" w:type="dxa"/>
            <w:vAlign w:val="bottom"/>
          </w:tcPr>
          <w:p>
            <w:pPr>
              <w:jc w:val="right"/>
              <w:spacing w:after="0"/>
              <w:rPr>
                <w:sz w:val="20"/>
                <w:szCs w:val="20"/>
                <w:color w:val="auto"/>
              </w:rPr>
            </w:pPr>
            <w:r>
              <w:rPr>
                <w:rFonts w:ascii="Arial" w:cs="Arial" w:eastAsia="Arial" w:hAnsi="Arial"/>
                <w:sz w:val="18"/>
                <w:szCs w:val="18"/>
                <w:color w:val="auto"/>
              </w:rPr>
              <w:t>7,000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7,000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3,000</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Corporate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2,246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14,501</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14,525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2,058</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12,467</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$ 47,672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1"/>
              </w:rPr>
              <w:t>$ 47,768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4"/>
              </w:rPr>
              <w:t>March 31, 2008</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78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rPr>
              <w:t>Amortized</w:t>
            </w:r>
          </w:p>
        </w:tc>
        <w:tc>
          <w:tcPr>
            <w:tcW w:w="5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560" w:type="dxa"/>
            <w:vAlign w:val="bottom"/>
          </w:tcPr>
          <w:p>
            <w:pPr>
              <w:spacing w:after="0"/>
              <w:rPr>
                <w:sz w:val="10"/>
                <w:szCs w:val="10"/>
                <w:color w:val="auto"/>
              </w:rPr>
            </w:pPr>
          </w:p>
        </w:tc>
        <w:tc>
          <w:tcPr>
            <w:tcW w:w="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5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4"/>
          </w:tcPr>
          <w:p>
            <w:pPr>
              <w:ind w:left="540"/>
              <w:spacing w:after="0" w:line="119" w:lineRule="exact"/>
              <w:rPr>
                <w:sz w:val="20"/>
                <w:szCs w:val="20"/>
                <w:color w:val="auto"/>
              </w:rPr>
            </w:pPr>
            <w:r>
              <w:rPr>
                <w:rFonts w:ascii="Arial" w:cs="Arial" w:eastAsia="Arial" w:hAnsi="Arial"/>
                <w:sz w:val="13"/>
                <w:szCs w:val="13"/>
                <w:b w:val="1"/>
                <w:bCs w:val="1"/>
                <w:color w:val="auto"/>
              </w:rPr>
              <w:t>Cash and Cash</w:t>
            </w:r>
          </w:p>
        </w:tc>
        <w:tc>
          <w:tcPr>
            <w:tcW w:w="540" w:type="dxa"/>
            <w:vAlign w:val="bottom"/>
          </w:tcPr>
          <w:p>
            <w:pPr>
              <w:spacing w:after="0"/>
              <w:rPr>
                <w:sz w:val="10"/>
                <w:szCs w:val="10"/>
                <w:color w:val="auto"/>
              </w:rPr>
            </w:pPr>
          </w:p>
        </w:tc>
        <w:tc>
          <w:tcPr>
            <w:tcW w:w="7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Short 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jc w:val="right"/>
              <w:ind w:right="168"/>
              <w:spacing w:after="0"/>
              <w:rPr>
                <w:sz w:val="20"/>
                <w:szCs w:val="20"/>
                <w:color w:val="auto"/>
              </w:rPr>
            </w:pPr>
            <w:r>
              <w:rPr>
                <w:rFonts w:ascii="Arial" w:cs="Arial" w:eastAsia="Arial" w:hAnsi="Arial"/>
                <w:sz w:val="14"/>
                <w:szCs w:val="14"/>
                <w:b w:val="1"/>
                <w:bCs w:val="1"/>
                <w:color w:val="auto"/>
                <w:w w:val="86"/>
              </w:rPr>
              <w:t>Losses</w:t>
            </w:r>
          </w:p>
        </w:tc>
        <w:tc>
          <w:tcPr>
            <w:tcW w:w="560" w:type="dxa"/>
            <w:vAlign w:val="bottom"/>
          </w:tcPr>
          <w:p>
            <w:pPr>
              <w:spacing w:after="0"/>
              <w:rPr>
                <w:sz w:val="15"/>
                <w:szCs w:val="15"/>
                <w:color w:val="auto"/>
              </w:rPr>
            </w:pPr>
          </w:p>
        </w:tc>
        <w:tc>
          <w:tcPr>
            <w:tcW w:w="780" w:type="dxa"/>
            <w:vAlign w:val="bottom"/>
            <w:tcBorders>
              <w:bottom w:val="single" w:sz="8" w:color="auto"/>
            </w:tcBorders>
            <w:gridSpan w:val="2"/>
            <w:vMerge w:val="continue"/>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1"/>
              </w:rPr>
              <w:t>Equivalents</w:t>
            </w:r>
          </w:p>
        </w:tc>
        <w:tc>
          <w:tcPr>
            <w:tcW w:w="540" w:type="dxa"/>
            <w:vAlign w:val="bottom"/>
          </w:tcPr>
          <w:p>
            <w:pPr>
              <w:spacing w:after="0"/>
              <w:rPr>
                <w:sz w:val="15"/>
                <w:szCs w:val="15"/>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$ 63,356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$ 63,356</w:t>
            </w:r>
          </w:p>
        </w:tc>
        <w:tc>
          <w:tcPr>
            <w:tcW w:w="6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63,356</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paper</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14,466</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14,473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14,473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Government agency obligations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2,404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w:t>
            </w: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4"/>
              </w:rPr>
              <w:t>$ 80,232</w:t>
            </w:r>
          </w:p>
        </w:tc>
        <w:tc>
          <w:tcPr>
            <w:tcW w:w="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560" w:type="dxa"/>
            <w:vAlign w:val="bottom"/>
            <w:vMerge w:val="continue"/>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8"/>
                <w:szCs w:val="18"/>
                <w:color w:val="auto"/>
                <w:w w:val="91"/>
              </w:rPr>
              <w:t>$ 80,233</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77,829</w:t>
            </w:r>
          </w:p>
        </w:tc>
        <w:tc>
          <w:tcPr>
            <w:tcW w:w="12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firstLine="225"/>
        <w:spacing w:after="0" w:line="288" w:lineRule="auto"/>
        <w:rPr>
          <w:sz w:val="20"/>
          <w:szCs w:val="20"/>
          <w:color w:val="auto"/>
        </w:rPr>
      </w:pPr>
      <w:r>
        <w:rPr>
          <w:rFonts w:ascii="Arial" w:cs="Arial" w:eastAsia="Arial" w:hAnsi="Arial"/>
          <w:sz w:val="16"/>
          <w:szCs w:val="16"/>
          <w:color w:val="auto"/>
        </w:rPr>
        <w:t xml:space="preserve">Effective April 1, 2008, the Company adopted Statement of Financial Accounting Standards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No. 157). In February 2008, The Financial Accounting Standards Board (FASB) issued FASB Staff Position No. 157-2, </w:t>
      </w:r>
      <w:r>
        <w:rPr>
          <w:rFonts w:ascii="Arial" w:cs="Arial" w:eastAsia="Arial" w:hAnsi="Arial"/>
          <w:sz w:val="16"/>
          <w:szCs w:val="16"/>
          <w:i w:val="1"/>
          <w:iCs w:val="1"/>
          <w:color w:val="auto"/>
        </w:rPr>
        <w:t>Effective Date of FASB Statement No. 157</w:t>
      </w:r>
      <w:r>
        <w:rPr>
          <w:rFonts w:ascii="Arial" w:cs="Arial" w:eastAsia="Arial" w:hAnsi="Arial"/>
          <w:sz w:val="16"/>
          <w:szCs w:val="16"/>
          <w:color w:val="auto"/>
        </w:rPr>
        <w:t>, which provides a one year deferral of the effective date of SFAS 157 for non-financial assets and non-financial liabilities, except those that are recognized or disclosed in the financial statements at fair value at least annually. Therefore, the Company has adopted the provisions of SFAS No. 157 with respect to its financial assets and liabilities only.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17" w:lineRule="exact"/>
        <w:rPr>
          <w:sz w:val="20"/>
          <w:szCs w:val="20"/>
          <w:color w:val="auto"/>
        </w:rPr>
      </w:pPr>
    </w:p>
    <w:p>
      <w:pPr>
        <w:jc w:val="both"/>
        <w:ind w:left="240" w:right="6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29"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adoption of SFAS No. 157 did not have a material impact on the Company’s results of operations or financial position. As of December 31, 2008, the Company’s financial assets were measured at fair value in accordance with SFAS No. 157 employing level 1 inputs.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carrying amounts of the Company’s financial instruments, which include cash and cash equivalents, short-term investments,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360" w:firstLine="222"/>
        <w:spacing w:after="0" w:line="288" w:lineRule="auto"/>
        <w:rPr>
          <w:sz w:val="20"/>
          <w:szCs w:val="20"/>
          <w:color w:val="auto"/>
        </w:rPr>
      </w:pPr>
      <w:r>
        <w:rPr>
          <w:rFonts w:ascii="Arial" w:cs="Arial" w:eastAsia="Arial" w:hAnsi="Arial"/>
          <w:sz w:val="16"/>
          <w:szCs w:val="16"/>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w:t>
      </w:r>
    </w:p>
    <w:p>
      <w:pPr>
        <w:ind w:right="160"/>
        <w:spacing w:after="0" w:line="254" w:lineRule="auto"/>
        <w:rPr>
          <w:sz w:val="20"/>
          <w:szCs w:val="20"/>
          <w:color w:val="auto"/>
        </w:rPr>
      </w:pPr>
      <w:r>
        <w:rPr>
          <w:rFonts w:ascii="Arial" w:cs="Arial" w:eastAsia="Arial" w:hAnsi="Arial"/>
          <w:sz w:val="18"/>
          <w:szCs w:val="18"/>
          <w:color w:val="auto"/>
        </w:rPr>
        <w:t>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82"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December 31, 2008 the following amounts were due from the third party finance company in future periods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2010</w:t>
            </w:r>
          </w:p>
        </w:tc>
        <w:tc>
          <w:tcPr>
            <w:tcW w:w="40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Total gross receivable</w:t>
            </w:r>
          </w:p>
        </w:tc>
        <w:tc>
          <w:tcPr>
            <w:tcW w:w="40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color w:val="auto"/>
              </w:rPr>
              <w:t>Less: amount representing interest</w:t>
            </w:r>
          </w:p>
        </w:tc>
        <w:tc>
          <w:tcPr>
            <w:tcW w:w="4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contracts receivable</w:t>
            </w:r>
          </w:p>
        </w:tc>
        <w:tc>
          <w:tcPr>
            <w:tcW w:w="4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2008 and December 31, 2008, the Company had inventory obsolescence reserves of $530,000 and $617,000.</w:t>
      </w:r>
    </w:p>
    <w:p>
      <w:pPr>
        <w:spacing w:after="0" w:line="81"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Inventories were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680</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6,161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$ 16,789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120" w:type="dxa"/>
            <w:vAlign w:val="bottom"/>
          </w:tcPr>
          <w:p>
            <w:pPr>
              <w:ind w:left="24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9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4"/>
          </w:tcPr>
          <w:p>
            <w:pPr>
              <w:jc w:val="center"/>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4,803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5,390</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2,591</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Plant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4,543</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10,104</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15,223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(3,684)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(4,526)</w:t>
            </w:r>
          </w:p>
        </w:tc>
        <w:tc>
          <w:tcPr>
            <w:tcW w:w="0" w:type="dxa"/>
            <w:vAlign w:val="bottom"/>
          </w:tcPr>
          <w:p>
            <w:pPr>
              <w:spacing w:after="0"/>
              <w:rPr>
                <w:sz w:val="1"/>
                <w:szCs w:val="1"/>
                <w:color w:val="auto"/>
              </w:rPr>
            </w:pP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Net property and equipment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11,539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Equipment included above under capital leases was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w:t>
            </w: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(493)</w:t>
            </w: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equipment</w:t>
            </w:r>
          </w:p>
        </w:tc>
        <w:tc>
          <w:tcPr>
            <w:tcW w:w="34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68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 Company capitalized $90,000 and $186,000 of interest for construction in progress for the three and nine months ended December 31, 2008. There was no interest capitalized for the three and nine months ended December 31,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17"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In April 2008, the Company entered into a new employment agreement with the Company’s CEO, Neal Verfuerth, which superceded and terminated Mr. Verfuerth’s former employment agreement with the Company. 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$298,000.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17"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Other long-term assets include $62,000 and $34,000 of deferred financing costs as of March 31, 2008 and December 31, 2008 and $298,000 of a note receivable as of December 31, 2008. Upon the sales of the long-term investment noted above, the Company received a promissory note. The note provides for interest only payments at 7% for the first year and 15% for the second year and thereafter. The full principal amount of the note is due in June 2011. The note is secured by a personal guarantee from the CEO of the specialty aluminum products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right="320" w:firstLine="215"/>
        <w:spacing w:after="0" w:line="264" w:lineRule="auto"/>
        <w:rPr>
          <w:sz w:val="20"/>
          <w:szCs w:val="20"/>
          <w:color w:val="auto"/>
        </w:rPr>
      </w:pPr>
      <w:r>
        <w:rPr>
          <w:rFonts w:ascii="Arial" w:cs="Arial" w:eastAsia="Arial" w:hAnsi="Arial"/>
          <w:sz w:val="18"/>
          <w:szCs w:val="18"/>
          <w:color w:val="auto"/>
        </w:rPr>
        <w:t>Accrued expenses include warranty accruals, accrued wages, accrued vacation, sales tax payable and other various unpaid expenses. Accrued subcontractor fees were $916,000 and accrued bonus costs were $968,000 as of March 31, 2008. No accrued costs exceeded 5% of current liabilities as of December 31, 2008.</w:t>
      </w:r>
    </w:p>
    <w:p>
      <w:pPr>
        <w:spacing w:after="0" w:line="73" w:lineRule="exact"/>
        <w:rPr>
          <w:sz w:val="20"/>
          <w:szCs w:val="20"/>
          <w:color w:val="auto"/>
        </w:rPr>
      </w:pPr>
    </w:p>
    <w:p>
      <w:pPr>
        <w:ind w:right="120" w:firstLine="222"/>
        <w:spacing w:after="0" w:line="342" w:lineRule="auto"/>
        <w:rPr>
          <w:sz w:val="20"/>
          <w:szCs w:val="20"/>
          <w:color w:val="auto"/>
        </w:rPr>
      </w:pPr>
      <w:r>
        <w:rPr>
          <w:rFonts w:ascii="Arial" w:cs="Arial" w:eastAsia="Arial" w:hAnsi="Arial"/>
          <w:sz w:val="16"/>
          <w:szCs w:val="16"/>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Changes in the Company’s warranty accrual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5"/>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Provision to cost of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0" w:firstLine="222"/>
        <w:spacing w:after="0" w:line="277" w:lineRule="auto"/>
        <w:rPr>
          <w:sz w:val="20"/>
          <w:szCs w:val="20"/>
          <w:color w:val="auto"/>
        </w:rPr>
      </w:pPr>
      <w:r>
        <w:rPr>
          <w:rFonts w:ascii="Arial" w:cs="Arial" w:eastAsia="Arial" w:hAnsi="Arial"/>
          <w:sz w:val="18"/>
          <w:szCs w:val="18"/>
          <w:color w:val="auto"/>
        </w:rPr>
        <w:t xml:space="preserve">The Company recognizes revenue in accordance with Staff Accounting Bulletin (SAB) No. 104, </w:t>
      </w:r>
      <w:r>
        <w:rPr>
          <w:rFonts w:ascii="Arial" w:cs="Arial" w:eastAsia="Arial" w:hAnsi="Arial"/>
          <w:sz w:val="18"/>
          <w:szCs w:val="18"/>
          <w:i w:val="1"/>
          <w:iCs w:val="1"/>
          <w:color w:val="auto"/>
        </w:rPr>
        <w:t>Revenue Recognition</w:t>
      </w:r>
      <w:r>
        <w:rPr>
          <w:rFonts w:ascii="Arial" w:cs="Arial" w:eastAsia="Arial" w:hAnsi="Arial"/>
          <w:sz w:val="18"/>
          <w:szCs w:val="18"/>
          <w:color w:val="auto"/>
        </w:rPr>
        <w:t>. Based upon SAB 104, revenue is recognized when the following four criteria are met:</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73"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Services other than installation and recycling that are completed prior to delivery of the product are recognized upon shipment and</w:t>
      </w:r>
    </w:p>
    <w:p>
      <w:pPr>
        <w:sectPr>
          <w:pgSz w:w="11900" w:h="16838" w:orient="portrait"/>
          <w:cols w:equalWidth="0" w:num="1">
            <w:col w:w="11420"/>
          </w:cols>
          <w:pgMar w:left="240" w:top="419" w:right="239" w:bottom="46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462"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62"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79"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In October 2008, the Company introduced a new financing program for a customer’s purchase of the Company’s energy management systems called the Orion Virtual Power Plant (“OVPP”). The OVPP is structured as a supply contract in which the Company delivers a defined amount of energy savings at a fixed rate over the life of the contract, typically 60 months. Revenue is recognized on a monthly basis over the life of the contract upon successful installation of the system and customer acknowledgement that the product is operating as specified.</w:t>
      </w:r>
    </w:p>
    <w:p>
      <w:pPr>
        <w:spacing w:after="0" w:line="79" w:lineRule="exact"/>
        <w:rPr>
          <w:sz w:val="20"/>
          <w:szCs w:val="20"/>
          <w:color w:val="auto"/>
        </w:rPr>
      </w:pPr>
    </w:p>
    <w:p>
      <w:pPr>
        <w:ind w:right="80" w:firstLine="225"/>
        <w:spacing w:after="0" w:line="286" w:lineRule="auto"/>
        <w:rPr>
          <w:sz w:val="20"/>
          <w:szCs w:val="20"/>
          <w:color w:val="auto"/>
        </w:rPr>
      </w:pPr>
      <w:r>
        <w:rPr>
          <w:rFonts w:ascii="Arial" w:cs="Arial" w:eastAsia="Arial" w:hAnsi="Arial"/>
          <w:sz w:val="17"/>
          <w:szCs w:val="17"/>
          <w:color w:val="auto"/>
        </w:rPr>
        <w:t>Costs of products delivered, and services performed, that are subject to additional performance obligations or customer acceptance are deferred and recorded in Prepaid Expenses and Other Current Assets on the Consolidated Balance Sheet. These deferred costs are expensed at the time the related revenue is recognized. Deferred costs amounted to $82,000 and $567,000 as of March 31, 2008 and December 31, 2008.</w:t>
      </w:r>
    </w:p>
    <w:p>
      <w:pPr>
        <w:spacing w:after="0" w:line="5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Deferred revenue was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revenue — long term liability</w:t>
            </w:r>
          </w:p>
        </w:tc>
        <w:tc>
          <w:tcPr>
            <w:tcW w:w="3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40" w:firstLine="222"/>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and FIN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Taxes — an Interpretation of FASB Statement No. 109. </w:t>
      </w:r>
      <w:r>
        <w:rPr>
          <w:rFonts w:ascii="Arial" w:cs="Arial" w:eastAsia="Arial" w:hAnsi="Arial"/>
          <w:sz w:val="18"/>
          <w:szCs w:val="18"/>
          <w:color w:val="auto"/>
        </w:rPr>
        <w:t>SFAS 109 requires recognition of deferred tax assets and liabilities for the future tax consequences of</w:t>
      </w:r>
      <w:r>
        <w:rPr>
          <w:rFonts w:ascii="Arial" w:cs="Arial" w:eastAsia="Arial" w:hAnsi="Arial"/>
          <w:sz w:val="18"/>
          <w:szCs w:val="18"/>
          <w:i w:val="1"/>
          <w:iCs w:val="1"/>
          <w:color w:val="auto"/>
        </w:rPr>
        <w:t xml:space="preserve"> </w:t>
      </w:r>
      <w:r>
        <w:rPr>
          <w:rFonts w:ascii="Arial" w:cs="Arial" w:eastAsia="Arial" w:hAnsi="Arial"/>
          <w:sz w:val="18"/>
          <w:szCs w:val="18"/>
          <w:color w:val="auto"/>
        </w:rPr>
        <w:t>temporary differences between financial reporting and income tax basis of assets and liabilities and are measured using the enacted tax rates and laws expected to be in effect when the temporary differences will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8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FIN 48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upon adoption on March 31, 2008</w:t>
            </w:r>
          </w:p>
        </w:tc>
        <w:tc>
          <w:tcPr>
            <w:tcW w:w="5240" w:type="dxa"/>
            <w:vAlign w:val="bottom"/>
            <w:gridSpan w:val="2"/>
            <w:shd w:val="clear" w:color="auto" w:fill="CCEEFF"/>
          </w:tcPr>
          <w:p>
            <w:pPr>
              <w:ind w:left="47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4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5"/>
              </w:rPr>
              <w:t>Additions based on tax positions related to the current period positions</w:t>
            </w:r>
          </w:p>
        </w:tc>
        <w:tc>
          <w:tcPr>
            <w:tcW w:w="4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Unrecognized tax benefits as of December 31, 2008</w:t>
            </w:r>
          </w:p>
        </w:tc>
        <w:tc>
          <w:tcPr>
            <w:tcW w:w="472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720" w:type="dxa"/>
            <w:vAlign w:val="bottom"/>
            <w:vMerge w:val="restart"/>
          </w:tcPr>
          <w:p>
            <w:pPr>
              <w:jc w:val="right"/>
              <w:ind w:right="419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60" w:type="dxa"/>
            <w:vAlign w:val="bottom"/>
          </w:tcPr>
          <w:p>
            <w:pPr>
              <w:spacing w:after="0"/>
              <w:rPr>
                <w:sz w:val="24"/>
                <w:szCs w:val="24"/>
                <w:color w:val="auto"/>
              </w:rPr>
            </w:pPr>
          </w:p>
        </w:tc>
        <w:tc>
          <w:tcPr>
            <w:tcW w:w="47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3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222"/>
        <w:spacing w:after="0" w:line="264" w:lineRule="auto"/>
        <w:rPr>
          <w:sz w:val="20"/>
          <w:szCs w:val="20"/>
          <w:color w:val="auto"/>
        </w:rPr>
      </w:pPr>
      <w:r>
        <w:rPr>
          <w:rFonts w:ascii="Arial" w:cs="Arial" w:eastAsia="Arial" w:hAnsi="Arial"/>
          <w:sz w:val="18"/>
          <w:szCs w:val="18"/>
          <w:color w:val="auto"/>
        </w:rPr>
        <w:t>The income tax provision for the nine months ended December 31, 2008 was determined by applying an estimated annual effective tax rate of 46.30% to income before taxes. The estimated effective income tax rate was determined by applying statutory tax rates to pretax income adjusted for certain permanent book to tax differences and tax credits.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March 31, 2008</w:t>
            </w:r>
          </w:p>
        </w:tc>
        <w:tc>
          <w:tcPr>
            <w:tcW w:w="520" w:type="dxa"/>
            <w:vAlign w:val="bottom"/>
          </w:tcPr>
          <w:p>
            <w:pPr>
              <w:spacing w:after="0"/>
              <w:rPr>
                <w:sz w:val="14"/>
                <w:szCs w:val="14"/>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9"/>
              </w:rPr>
              <w:t>December 31, 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34.00%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State taxes, net</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4.20%</w:t>
            </w:r>
          </w:p>
        </w:tc>
        <w:tc>
          <w:tcPr>
            <w:tcW w:w="1920" w:type="dxa"/>
            <w:vAlign w:val="bottom"/>
            <w:gridSpan w:val="4"/>
          </w:tcPr>
          <w:p>
            <w:pPr>
              <w:jc w:val="right"/>
              <w:ind w:right="34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Incentive stock options</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Federal tax credit</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(1.50)%</w:t>
            </w:r>
          </w:p>
        </w:tc>
        <w:tc>
          <w:tcPr>
            <w:tcW w:w="1920" w:type="dxa"/>
            <w:vAlign w:val="bottom"/>
            <w:gridSpan w:val="4"/>
          </w:tcPr>
          <w:p>
            <w:pPr>
              <w:jc w:val="right"/>
              <w:ind w:right="280"/>
              <w:spacing w:after="0"/>
              <w:rPr>
                <w:sz w:val="20"/>
                <w:szCs w:val="20"/>
                <w:color w:val="auto"/>
              </w:rPr>
            </w:pPr>
            <w:r>
              <w:rPr>
                <w:rFonts w:ascii="Arial" w:cs="Arial" w:eastAsia="Arial" w:hAnsi="Arial"/>
                <w:sz w:val="18"/>
                <w:szCs w:val="18"/>
                <w:color w:val="auto"/>
              </w:rPr>
              <w:t>(0.77)%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net</w:t>
            </w:r>
          </w:p>
        </w:tc>
        <w:tc>
          <w:tcPr>
            <w:tcW w:w="4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(0.30)%</w:t>
            </w:r>
          </w:p>
        </w:tc>
        <w:tc>
          <w:tcPr>
            <w:tcW w:w="1920" w:type="dxa"/>
            <w:vAlign w:val="bottom"/>
            <w:gridSpan w:val="4"/>
          </w:tcPr>
          <w:p>
            <w:pPr>
              <w:jc w:val="right"/>
              <w:ind w:right="3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2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38.10%</w:t>
            </w:r>
          </w:p>
        </w:tc>
        <w:tc>
          <w:tcPr>
            <w:tcW w:w="19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2"/>
        <w:spacing w:after="0" w:line="276" w:lineRule="auto"/>
        <w:rPr>
          <w:sz w:val="20"/>
          <w:szCs w:val="20"/>
          <w:color w:val="auto"/>
        </w:rPr>
      </w:pPr>
      <w:r>
        <w:rPr>
          <w:rFonts w:ascii="Arial" w:cs="Arial" w:eastAsia="Arial" w:hAnsi="Arial"/>
          <w:sz w:val="17"/>
          <w:szCs w:val="17"/>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The current benefit of $3.1 million was recorded as a reduction in taxes payable and a credit to additional paid-in capital based on the amount that was utilized year to date. As of December 31, 2008, the Company has approximately $2.8 million of net operating losses that resulted from the exercise of non-qualified stock options in the current and prior years that have not been recognized as a reduction to current income taxes payable.</w:t>
      </w:r>
    </w:p>
    <w:p>
      <w:pPr>
        <w:spacing w:after="0" w:line="64"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ind w:right="620" w:firstLine="222"/>
        <w:spacing w:after="0" w:line="277" w:lineRule="auto"/>
        <w:rPr>
          <w:sz w:val="20"/>
          <w:szCs w:val="20"/>
          <w:color w:val="auto"/>
        </w:rPr>
      </w:pPr>
      <w:r>
        <w:rPr>
          <w:rFonts w:ascii="Arial" w:cs="Arial" w:eastAsia="Arial" w:hAnsi="Arial"/>
          <w:sz w:val="18"/>
          <w:szCs w:val="18"/>
          <w:color w:val="auto"/>
        </w:rPr>
        <w:t>The fair value of each option grant for the three and nine months ended December 31, 2007 and 2008 was determined using the assumptions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6"/>
              </w:rPr>
              <w:t>Three months Ended December 31,</w:t>
            </w:r>
          </w:p>
        </w:tc>
        <w:tc>
          <w:tcPr>
            <w:tcW w:w="560" w:type="dxa"/>
            <w:vAlign w:val="bottom"/>
          </w:tcPr>
          <w:p>
            <w:pPr>
              <w:spacing w:after="0"/>
              <w:rPr>
                <w:sz w:val="14"/>
                <w:szCs w:val="14"/>
                <w:color w:val="auto"/>
              </w:rPr>
            </w:pPr>
          </w:p>
        </w:tc>
        <w:tc>
          <w:tcPr>
            <w:tcW w:w="2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 December 31,</w:t>
            </w:r>
          </w:p>
        </w:tc>
      </w:tr>
      <w:tr>
        <w:trPr>
          <w:trHeight w:val="142"/>
        </w:trPr>
        <w:tc>
          <w:tcPr>
            <w:tcW w:w="6240" w:type="dxa"/>
            <w:vAlign w:val="bottom"/>
          </w:tcPr>
          <w:p>
            <w:pPr>
              <w:spacing w:after="0"/>
              <w:rPr>
                <w:sz w:val="12"/>
                <w:szCs w:val="12"/>
                <w:color w:val="auto"/>
              </w:rPr>
            </w:pPr>
          </w:p>
        </w:tc>
        <w:tc>
          <w:tcPr>
            <w:tcW w:w="980" w:type="dxa"/>
            <w:vAlign w:val="bottom"/>
          </w:tcPr>
          <w:p>
            <w:pPr>
              <w:ind w:left="340"/>
              <w:spacing w:after="0" w:line="142" w:lineRule="exact"/>
              <w:rPr>
                <w:sz w:val="20"/>
                <w:szCs w:val="20"/>
                <w:color w:val="auto"/>
              </w:rPr>
            </w:pPr>
            <w:r>
              <w:rPr>
                <w:rFonts w:ascii="Arial" w:cs="Arial" w:eastAsia="Arial" w:hAnsi="Arial"/>
                <w:sz w:val="14"/>
                <w:szCs w:val="14"/>
                <w:b w:val="1"/>
                <w:bCs w:val="1"/>
                <w:color w:val="auto"/>
              </w:rPr>
              <w:t>2007</w:t>
            </w:r>
          </w:p>
        </w:tc>
        <w:tc>
          <w:tcPr>
            <w:tcW w:w="14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2"/>
                <w:szCs w:val="12"/>
                <w:color w:val="auto"/>
              </w:rPr>
            </w:pPr>
          </w:p>
        </w:tc>
        <w:tc>
          <w:tcPr>
            <w:tcW w:w="84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2007</w:t>
            </w:r>
          </w:p>
        </w:tc>
        <w:tc>
          <w:tcPr>
            <w:tcW w:w="1400" w:type="dxa"/>
            <w:vAlign w:val="bottom"/>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9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5.2 years</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8"/>
                <w:szCs w:val="18"/>
                <w:color w:val="auto"/>
                <w:w w:val="91"/>
              </w:rPr>
              <w:t>6.6 years</w:t>
            </w:r>
          </w:p>
        </w:tc>
        <w:tc>
          <w:tcPr>
            <w:tcW w:w="5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5.6 years</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tcPr>
          <w:p>
            <w:pPr>
              <w:ind w:left="34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980" w:type="dxa"/>
            <w:vAlign w:val="bottom"/>
          </w:tcPr>
          <w:p>
            <w:pPr>
              <w:ind w:left="340"/>
              <w:spacing w:after="0"/>
              <w:rPr>
                <w:sz w:val="20"/>
                <w:szCs w:val="20"/>
                <w:color w:val="auto"/>
              </w:rPr>
            </w:pPr>
            <w:r>
              <w:rPr>
                <w:rFonts w:ascii="Arial" w:cs="Arial" w:eastAsia="Arial" w:hAnsi="Arial"/>
                <w:sz w:val="18"/>
                <w:szCs w:val="18"/>
                <w:color w:val="auto"/>
              </w:rPr>
              <w:t>N/A</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per Common Share</w:t>
      </w:r>
    </w:p>
    <w:p>
      <w:pPr>
        <w:spacing w:after="0" w:line="117" w:lineRule="exact"/>
        <w:rPr>
          <w:sz w:val="20"/>
          <w:szCs w:val="20"/>
          <w:color w:val="auto"/>
        </w:rPr>
      </w:pPr>
    </w:p>
    <w:p>
      <w:pPr>
        <w:ind w:right="660" w:firstLine="225"/>
        <w:spacing w:after="0" w:line="277" w:lineRule="auto"/>
        <w:rPr>
          <w:sz w:val="20"/>
          <w:szCs w:val="20"/>
          <w:color w:val="auto"/>
        </w:rPr>
      </w:pPr>
      <w:r>
        <w:rPr>
          <w:rFonts w:ascii="Arial" w:cs="Arial" w:eastAsia="Arial" w:hAnsi="Arial"/>
          <w:sz w:val="18"/>
          <w:szCs w:val="18"/>
          <w:color w:val="auto"/>
        </w:rPr>
        <w:t>Basic net income per common share is computed by dividing net income attributable to common shareholders by the weighted-average number of common shares outstanding for the period and does not consider common stock equivalents.</w:t>
      </w:r>
    </w:p>
    <w:p>
      <w:pPr>
        <w:spacing w:after="0" w:line="62" w:lineRule="exact"/>
        <w:rPr>
          <w:sz w:val="20"/>
          <w:szCs w:val="20"/>
          <w:color w:val="auto"/>
        </w:rPr>
      </w:pPr>
    </w:p>
    <w:p>
      <w:pPr>
        <w:ind w:right="40" w:firstLine="225"/>
        <w:spacing w:after="0" w:line="290" w:lineRule="auto"/>
        <w:rPr>
          <w:sz w:val="20"/>
          <w:szCs w:val="20"/>
          <w:color w:val="auto"/>
        </w:rPr>
      </w:pPr>
      <w:r>
        <w:rPr>
          <w:rFonts w:ascii="Arial" w:cs="Arial" w:eastAsia="Arial" w:hAnsi="Arial"/>
          <w:sz w:val="16"/>
          <w:szCs w:val="16"/>
          <w:color w:val="auto"/>
        </w:rPr>
        <w:t xml:space="preserve">Prior to the Company’s IPO on December 24, 2007, all series of the Company’s preferred stock participated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6"/>
          <w:szCs w:val="16"/>
          <w:i w:val="1"/>
          <w:iCs w:val="1"/>
          <w:color w:val="auto"/>
        </w:rPr>
        <w:t>Participating Securities and the Two-Class Method under FASB Statement No. 128</w:t>
      </w:r>
      <w:r>
        <w:rPr>
          <w:rFonts w:ascii="Arial" w:cs="Arial" w:eastAsia="Arial" w:hAnsi="Arial"/>
          <w:sz w:val="16"/>
          <w:szCs w:val="16"/>
          <w:color w:val="auto"/>
        </w:rPr>
        <w:t>. The two-class method is an earnings allocation method under which basic net income per share is calculated for the Company’s common stock and 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 All preferred stock outstanding as of the IPO was automatically converted to common stock upon closing of the IPO.</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Diluted net income per common share reflects the dilution that would have occurred if preferred stock was converted, warrants and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 period.</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net income per share of common stock for the three and nine months ended December 31, 2007 and 2008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55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amounts)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55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2007</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1,153</w:t>
            </w:r>
          </w:p>
        </w:tc>
        <w:tc>
          <w:tcPr>
            <w:tcW w:w="5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1,154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2,955</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97"/>
              </w:rPr>
              <w:t>Accretion of redeemable preferred stock and preferred stock dividends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Participation rights of preferred stock in undistributed earnings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basic net income per common share</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Adjustment for interest, net of income tax effect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 and participation rights of preferred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Numerator for diluted net income per common share</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3,104</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13,889,162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25,203,827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11,774,702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26,398,338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Weighted-average effect of preferred stock, restricted stock, convertible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and assumed conversion of stock options and warrants</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8,969,068</w:t>
            </w:r>
          </w:p>
        </w:tc>
        <w:tc>
          <w:tcPr>
            <w:tcW w:w="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1,210,923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8,977,730</w:t>
            </w: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2,312,427</w:t>
            </w:r>
          </w:p>
        </w:tc>
        <w:tc>
          <w:tcPr>
            <w:tcW w:w="0" w:type="dxa"/>
            <w:vAlign w:val="bottom"/>
          </w:tcPr>
          <w:p>
            <w:pPr>
              <w:spacing w:after="0"/>
              <w:rPr>
                <w:sz w:val="1"/>
                <w:szCs w:val="1"/>
                <w:color w:val="auto"/>
              </w:rPr>
            </w:pPr>
          </w:p>
        </w:tc>
      </w:tr>
      <w:tr>
        <w:trPr>
          <w:trHeight w:val="209"/>
        </w:trPr>
        <w:tc>
          <w:tcPr>
            <w:tcW w:w="5500" w:type="dxa"/>
            <w:vAlign w:val="bottom"/>
            <w:gridSpan w:val="2"/>
          </w:tcPr>
          <w:p>
            <w:pPr>
              <w:spacing w:after="0"/>
              <w:rPr>
                <w:sz w:val="20"/>
                <w:szCs w:val="20"/>
                <w:color w:val="auto"/>
              </w:rPr>
            </w:pPr>
            <w:r>
              <w:rPr>
                <w:rFonts w:ascii="Arial" w:cs="Arial" w:eastAsia="Arial" w:hAnsi="Arial"/>
                <w:sz w:val="18"/>
                <w:szCs w:val="18"/>
                <w:color w:val="auto"/>
              </w:rPr>
              <w:t>Weighted-average common shares and common share equivalents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22,858,230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26,414,750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20,752,432</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28,710,765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140" w:firstLine="222"/>
        <w:spacing w:after="0" w:line="342" w:lineRule="auto"/>
        <w:rPr>
          <w:sz w:val="20"/>
          <w:szCs w:val="20"/>
          <w:color w:val="auto"/>
        </w:rPr>
      </w:pPr>
      <w:r>
        <w:rPr>
          <w:rFonts w:ascii="Arial" w:cs="Arial" w:eastAsia="Arial" w:hAnsi="Arial"/>
          <w:sz w:val="16"/>
          <w:szCs w:val="16"/>
          <w:color w:val="auto"/>
        </w:rPr>
        <w:t>The Company’s cash is deposited with two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6"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17% and 19% of total cost of revenue for the three months ended December 31, 2007 and 2008 and 35% and 21% of total cost of revenue for nine months ended December 31, 2007 and 2008.</w:t>
      </w:r>
    </w:p>
    <w:p>
      <w:pPr>
        <w:spacing w:after="0" w:line="46" w:lineRule="exact"/>
        <w:rPr>
          <w:sz w:val="20"/>
          <w:szCs w:val="20"/>
          <w:color w:val="auto"/>
        </w:rPr>
      </w:pPr>
    </w:p>
    <w:p>
      <w:pPr>
        <w:ind w:right="440" w:firstLine="225"/>
        <w:spacing w:after="0" w:line="277" w:lineRule="auto"/>
        <w:rPr>
          <w:sz w:val="20"/>
          <w:szCs w:val="20"/>
          <w:color w:val="auto"/>
        </w:rPr>
      </w:pPr>
      <w:r>
        <w:rPr>
          <w:rFonts w:ascii="Arial" w:cs="Arial" w:eastAsia="Arial" w:hAnsi="Arial"/>
          <w:sz w:val="18"/>
          <w:szCs w:val="18"/>
          <w:color w:val="auto"/>
        </w:rPr>
        <w:t>For the three and nine months ended December 31, 2007, one customer accounted for 12% and 17% of revenue. For the three and nine months ended December 31, 2008, no customers accounted for more than 10% of revenue.</w:t>
      </w:r>
    </w:p>
    <w:p>
      <w:pPr>
        <w:spacing w:after="0" w:line="62" w:lineRule="exact"/>
        <w:rPr>
          <w:sz w:val="20"/>
          <w:szCs w:val="20"/>
          <w:color w:val="auto"/>
        </w:rPr>
      </w:pPr>
    </w:p>
    <w:p>
      <w:pPr>
        <w:ind w:right="260" w:firstLine="225"/>
        <w:spacing w:after="0" w:line="277" w:lineRule="auto"/>
        <w:rPr>
          <w:sz w:val="20"/>
          <w:szCs w:val="20"/>
          <w:color w:val="auto"/>
        </w:rPr>
      </w:pPr>
      <w:r>
        <w:rPr>
          <w:rFonts w:ascii="Arial" w:cs="Arial" w:eastAsia="Arial" w:hAnsi="Arial"/>
          <w:sz w:val="18"/>
          <w:szCs w:val="18"/>
          <w:color w:val="auto"/>
        </w:rPr>
        <w:t>One customer accounted for 19% of accounts receivable as of March 31, 2008. As of December 31, 2008, no customer accounted for more than 10% of the accounts receivable balance.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 xml:space="preserve">The Company has determined that it operates in only one segment in accordance with SFAS 131, </w:t>
      </w:r>
      <w:r>
        <w:rPr>
          <w:rFonts w:ascii="Arial" w:cs="Arial" w:eastAsia="Arial" w:hAnsi="Arial"/>
          <w:sz w:val="18"/>
          <w:szCs w:val="18"/>
          <w:i w:val="1"/>
          <w:iCs w:val="1"/>
          <w:color w:val="auto"/>
        </w:rPr>
        <w:t>Disclosures about Segments of an Enterprise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as it does not disaggregate profit and loss information on a segment basis for internal management reporting purposes to its chief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maker.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In February 2008, the FASB issued FASB Staff Position No. 157-2 (“FSP 157-2”), which delayed the effective date by which companies must adopt certain of the provisions of SFAS 157. FSP 157-2 defers the effective date of SFAS 157 to fiscal years beginning after November 15, 2008, and interim periods within those fiscal years. The adoption of this standard is not anticipated to have a material impact on our financial position, results of operations, or cash flows.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 xml:space="preserve">In December 2007, the FASB issued SFAS No. 160, </w:t>
      </w:r>
      <w:r>
        <w:rPr>
          <w:rFonts w:ascii="Arial" w:cs="Arial" w:eastAsia="Arial" w:hAnsi="Arial"/>
          <w:sz w:val="17"/>
          <w:szCs w:val="17"/>
          <w:i w:val="1"/>
          <w:iCs w:val="1"/>
          <w:color w:val="auto"/>
        </w:rPr>
        <w:t>Noncontrolling Interests in Consolidated Financial Statements — An Amendment to ARB No. 51</w:t>
      </w:r>
      <w:r>
        <w:rPr>
          <w:rFonts w:ascii="Arial" w:cs="Arial" w:eastAsia="Arial" w:hAnsi="Arial"/>
          <w:sz w:val="17"/>
          <w:szCs w:val="17"/>
          <w:color w:val="auto"/>
        </w:rPr>
        <w:t xml:space="preserve"> (“SFAS 160”). The objective of this statement is to improve the relevance, comparability and transparency of the financial information that a reporting entity provides in its consolidated financial statements by establishing accounting and reporting standards for the noncontrolling interest in a subsidiary and for the deconsolidation of a subsidiary. SFAS 160 requires reclassifying noncontrolling interests, also referred to as minority interest, to the equity section of the consolidated balance sheet presented upon adoption. This pronouncement is effective for fiscal years beginning after December 15, 2008. The Company has determined that there would be no current impact of adopting SFAS 160.</w:t>
      </w:r>
    </w:p>
    <w:p>
      <w:pPr>
        <w:spacing w:after="0" w:line="70"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 xml:space="preserve">In April 2008, the FASB issued FASB Staff Position (“FSP”) FAS 142-3, </w:t>
      </w:r>
      <w:r>
        <w:rPr>
          <w:rFonts w:ascii="Arial" w:cs="Arial" w:eastAsia="Arial" w:hAnsi="Arial"/>
          <w:sz w:val="17"/>
          <w:szCs w:val="17"/>
          <w:i w:val="1"/>
          <w:iCs w:val="1"/>
          <w:color w:val="auto"/>
        </w:rPr>
        <w:t>Determination of Useful Life of Intangible Assets</w:t>
      </w:r>
      <w:r>
        <w:rPr>
          <w:rFonts w:ascii="Arial" w:cs="Arial" w:eastAsia="Arial" w:hAnsi="Arial"/>
          <w:sz w:val="17"/>
          <w:szCs w:val="17"/>
          <w:color w:val="auto"/>
        </w:rPr>
        <w:t xml:space="preserve"> (“FSP FAS 142-3”), which amends the factors that should be considered in developing the renewal or extension assumptions used to determine the useful life of a recognized intangible asset under SFAS 142, “Goodwill and Other Intangible Assets.” FSP FAS 142-3 also requires expanded disclosure related to the determination of intangible asset useful lives. FSP FAS 142-3 is effective for fiscal years beginning after December 15, 2008. The Company is currently evaluating the potential impact, if any, of the adoption of FSP FAS 142-3 on its financial position and results of operations.</w:t>
      </w:r>
    </w:p>
    <w:p>
      <w:pPr>
        <w:spacing w:after="0" w:line="64"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 xml:space="preserve">In May 2008, the FASB issued SFAS No. 162, </w:t>
      </w:r>
      <w:r>
        <w:rPr>
          <w:rFonts w:ascii="Arial" w:cs="Arial" w:eastAsia="Arial" w:hAnsi="Arial"/>
          <w:sz w:val="16"/>
          <w:szCs w:val="16"/>
          <w:i w:val="1"/>
          <w:iCs w:val="1"/>
          <w:color w:val="auto"/>
        </w:rPr>
        <w:t>The Hierarchy of Generally Accepted Accounting Principles.</w:t>
      </w:r>
      <w:r>
        <w:rPr>
          <w:rFonts w:ascii="Arial" w:cs="Arial" w:eastAsia="Arial" w:hAnsi="Arial"/>
          <w:sz w:val="16"/>
          <w:szCs w:val="16"/>
          <w:color w:val="auto"/>
        </w:rPr>
        <w:t xml:space="preserve"> SFAS No. 162 defines the order in which accounting principles that are generally accepted should be followed. SFAS No. 162 is effective 60 days following the SEC’s approval of the Public Company Accounting Oversight Board (“PCAOB”) amendments to AU Section 411, </w:t>
      </w:r>
      <w:r>
        <w:rPr>
          <w:rFonts w:ascii="Arial" w:cs="Arial" w:eastAsia="Arial" w:hAnsi="Arial"/>
          <w:sz w:val="16"/>
          <w:szCs w:val="16"/>
          <w:i w:val="1"/>
          <w:iCs w:val="1"/>
          <w:color w:val="auto"/>
        </w:rPr>
        <w:t>The Meaning of Presented Fairly in Conformity with Generally Accepted</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Principles</w:t>
      </w:r>
      <w:r>
        <w:rPr>
          <w:rFonts w:ascii="Arial" w:cs="Arial" w:eastAsia="Arial" w:hAnsi="Arial"/>
          <w:sz w:val="16"/>
          <w:szCs w:val="16"/>
          <w:color w:val="auto"/>
        </w:rPr>
        <w:t>. The Company does not expect the adoption of SFAS No. 162 to have a material impact on the consolidated financial statements.</w:t>
      </w:r>
    </w:p>
    <w:p>
      <w:pPr>
        <w:spacing w:after="0" w:line="46"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 xml:space="preserve">In December 2008, the FASB issued FASB Staff Position (“FSP”) No. 140-4 and FIN 46R-8 (“FSP 140-4 and FIN 46R-8”), </w:t>
      </w:r>
      <w:r>
        <w:rPr>
          <w:rFonts w:ascii="Arial" w:cs="Arial" w:eastAsia="Arial" w:hAnsi="Arial"/>
          <w:sz w:val="18"/>
          <w:szCs w:val="18"/>
          <w:i w:val="1"/>
          <w:iCs w:val="1"/>
          <w:color w:val="auto"/>
        </w:rPr>
        <w:t>Disclosures by Public Entities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(Enterprises) about Transfers of Financial Assets and Interests in Variable Interest Entities. </w:t>
      </w:r>
      <w:r>
        <w:rPr>
          <w:rFonts w:ascii="Arial" w:cs="Arial" w:eastAsia="Arial" w:hAnsi="Arial"/>
          <w:sz w:val="18"/>
          <w:szCs w:val="18"/>
          <w:color w:val="auto"/>
        </w:rPr>
        <w:t>FSP 140-4 and FIN 46R-8 require additional disclosures about</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transfers of financial assets and involvement with variable interest entities. The requirements apply to transferors, sponsors, services, primary beneficiaries and holders of significant variable interests in a variable interest entity or qualifying special purpose entity. The FSP is effective for reporting periods that end after December 15, 2008. Because FSP 140-4 and FIN46R-8 only require additional disclosures, the adoption did not impact the Company’s consolidated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RELATED PARTY TRANSACTIONS</w:t>
      </w:r>
    </w:p>
    <w:p>
      <w:pPr>
        <w:spacing w:after="0" w:line="121" w:lineRule="exact"/>
        <w:rPr>
          <w:sz w:val="20"/>
          <w:szCs w:val="20"/>
          <w:color w:val="auto"/>
        </w:rPr>
      </w:pPr>
    </w:p>
    <w:p>
      <w:pPr>
        <w:jc w:val="both"/>
        <w:ind w:right="140" w:firstLine="215"/>
        <w:spacing w:after="0" w:line="312" w:lineRule="auto"/>
        <w:rPr>
          <w:sz w:val="20"/>
          <w:szCs w:val="20"/>
          <w:color w:val="auto"/>
        </w:rPr>
      </w:pPr>
      <w:r>
        <w:rPr>
          <w:rFonts w:ascii="Arial" w:cs="Arial" w:eastAsia="Arial" w:hAnsi="Arial"/>
          <w:sz w:val="16"/>
          <w:szCs w:val="16"/>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For the nine months ended December 31, 2007, the Company forgave $37,000 of shareholder advances as part of a contractual employment relationship.</w:t>
      </w:r>
    </w:p>
    <w:p>
      <w:pPr>
        <w:spacing w:after="0" w:line="39"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 Company incurred fees of $24,000 for the nine months ended December 31, 2007 paid to a shareholder as consideration for guaranteeing notes payable and certain accounts payable. These guarantees were released in fiscal 2008.</w:t>
      </w:r>
    </w:p>
    <w:p>
      <w:pPr>
        <w:spacing w:after="0" w:line="62" w:lineRule="exact"/>
        <w:rPr>
          <w:sz w:val="20"/>
          <w:szCs w:val="20"/>
          <w:color w:val="auto"/>
        </w:rPr>
      </w:pPr>
    </w:p>
    <w:p>
      <w:pPr>
        <w:ind w:firstLine="222"/>
        <w:spacing w:after="0" w:line="286" w:lineRule="auto"/>
        <w:rPr>
          <w:sz w:val="20"/>
          <w:szCs w:val="20"/>
          <w:color w:val="auto"/>
        </w:rPr>
      </w:pPr>
      <w:r>
        <w:rPr>
          <w:rFonts w:ascii="Arial" w:cs="Arial" w:eastAsia="Arial" w:hAnsi="Arial"/>
          <w:sz w:val="17"/>
          <w:szCs w:val="17"/>
          <w:color w:val="auto"/>
        </w:rPr>
        <w:t>The Company incurred fees of $77,000 and $12,000 for the nine months ended December 31, 2007 and 2008 respectively, which were for intellectual property fees paid to an executive pursuant to an employment agreement. In April 2008, the intellectual property rights were purchased from the executive for a cash payment of $950,000. Please refer to “Patents and Licenses” under footnote B for additional disclosure.</w:t>
      </w:r>
    </w:p>
    <w:p>
      <w:pPr>
        <w:spacing w:after="0" w:line="57"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Company leases, on a month-to-month basis, an aircraft owned by an entity controlled by a former director. Amounts paid for the nine months ended December 31, 2007 and 2008 were $36,000 and $20,000. The terms and conditions of such relationship are believed to be not materially more favorable to the Company or the entity than could be obtained from an independent third party.</w:t>
      </w:r>
    </w:p>
    <w:p>
      <w:pPr>
        <w:spacing w:after="0" w:line="73" w:lineRule="exact"/>
        <w:rPr>
          <w:sz w:val="20"/>
          <w:szCs w:val="20"/>
          <w:color w:val="auto"/>
        </w:rPr>
      </w:pPr>
    </w:p>
    <w:p>
      <w:pPr>
        <w:ind w:right="20" w:firstLine="225"/>
        <w:spacing w:after="0" w:line="279" w:lineRule="auto"/>
        <w:rPr>
          <w:sz w:val="20"/>
          <w:szCs w:val="20"/>
          <w:color w:val="auto"/>
        </w:rPr>
      </w:pPr>
      <w:r>
        <w:rPr>
          <w:rFonts w:ascii="Arial" w:cs="Arial" w:eastAsia="Arial" w:hAnsi="Arial"/>
          <w:sz w:val="17"/>
          <w:szCs w:val="17"/>
          <w:color w:val="auto"/>
        </w:rPr>
        <w:t>During the nine months ended December 31, 2007 and 2008, the Company recorded revenue of $125,000 and $24,000 for products and services sold to an entity for which the Company’s Chairman of the Board was the executive chairman. During the nine months ended December 31, 2007 and 2008, the Company purchased goods and services from the same entity in the amounts of $0 and $125,000. The terms and conditions of such relationship are believed to be not materially more favorable to the Company or the entity than could be obtained from an independent third party.</w:t>
      </w:r>
    </w:p>
    <w:p>
      <w:pPr>
        <w:spacing w:after="0" w:line="63" w:lineRule="exact"/>
        <w:rPr>
          <w:sz w:val="20"/>
          <w:szCs w:val="20"/>
          <w:color w:val="auto"/>
        </w:rPr>
      </w:pPr>
    </w:p>
    <w:p>
      <w:pPr>
        <w:ind w:right="60" w:firstLine="225"/>
        <w:spacing w:after="0" w:line="277" w:lineRule="auto"/>
        <w:rPr>
          <w:sz w:val="20"/>
          <w:szCs w:val="20"/>
          <w:color w:val="auto"/>
        </w:rPr>
      </w:pPr>
      <w:r>
        <w:rPr>
          <w:rFonts w:ascii="Arial" w:cs="Arial" w:eastAsia="Arial" w:hAnsi="Arial"/>
          <w:sz w:val="18"/>
          <w:szCs w:val="18"/>
          <w:color w:val="auto"/>
        </w:rPr>
        <w:t>During the nine months ended December 31, 2007 and 2008, the Company recorded revenue of $0 and $57,000 for products and services sold to an entity for which a member of the board of directors serves as an executive vice president. The terms and conditions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of such relationship are believed to be not materially more favorable to the Company or the entity than could be obtained from an independent third party.</w:t>
      </w:r>
    </w:p>
    <w:p>
      <w:pPr>
        <w:spacing w:after="0" w:line="14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During the nine months ended December 31, 2007 and 2008, the Company recorded revenue of $289,000 and $102,000 for products and services sold to an entity for which a member of the board of directors serves as the chief executive officer. During the nine months ended December 31, 2007 and 2008, the Company purchased goods and services from the same entity in the amounts of $278,000 and $79,000. The terms and conditions of such relationship are believed to be not materially more favorable to the Company or the entity than could be obtained from an independent third party.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LONG-TERM DEBT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Long-term debt as of March 31, 2008 and December 31, 2008 consisted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5"/>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First mortgage note payable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Debenture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Lease obligations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536</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4,681</w:t>
            </w:r>
          </w:p>
        </w:tc>
        <w:tc>
          <w:tcPr>
            <w:tcW w:w="100" w:type="dxa"/>
            <w:vAlign w:val="bottom"/>
          </w:tcPr>
          <w:p>
            <w:pPr>
              <w:spacing w:after="0"/>
              <w:rPr>
                <w:sz w:val="19"/>
                <w:szCs w:val="19"/>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(843)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(868)</w:t>
            </w:r>
          </w:p>
        </w:tc>
      </w:tr>
      <w:tr>
        <w:trPr>
          <w:trHeight w:val="223"/>
        </w:trPr>
        <w:tc>
          <w:tcPr>
            <w:tcW w:w="91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Pr>
          <w:p>
            <w:pPr>
              <w:spacing w:after="0"/>
              <w:rPr>
                <w:sz w:val="19"/>
                <w:szCs w:val="19"/>
                <w:color w:val="auto"/>
              </w:rPr>
            </w:pPr>
          </w:p>
        </w:tc>
      </w:tr>
      <w:tr>
        <w:trPr>
          <w:trHeight w:val="20"/>
        </w:trPr>
        <w:tc>
          <w:tcPr>
            <w:tcW w:w="9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In December 2008, the Company briefly drew $4.0 million on the line of credit due to the timing of treasury repurchases and funds available in the Company’s operating account. As of December 31, 2008, the borrowings had been repaid and there was no balance due on the Line of Credit. Borrowings allowed under the Line of Credit as of December 31, 2008 were $20.2 million based upon available working capital, as defined.</w:t>
      </w:r>
    </w:p>
    <w:p>
      <w:pPr>
        <w:spacing w:after="0" w:line="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must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Credit Agreement provides that the Company has the option to select the interest rate applicable to all or a portion of the outstanding principal balance of the Line of Credit either (i) at a fluctuating rate per annum one percent (1.00%) below the prime rate in effect from time to time, or (ii) at a fixed rate per annum determined by Wells Fargo to be one and one quarter percent (1.25%) above LIBOR. Interest is payable on the last day of each month.</w:t>
      </w:r>
    </w:p>
    <w:p>
      <w:pPr>
        <w:spacing w:after="0" w:line="3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As of December 31, 2008 the Company was in compliance with all covenant provisions.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the Company had Federal net operating loss carryforwards of approximately $2.8 million that 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associated with the exercise of non-qualified stock options that have not yet been recognized by the Company in its financial statements. The Company also has state net operating loss carryforwards of approximately $3.0 million, of which $2.1 million are associated with the exercise of non-qualified stock options. The Company also has federal and state tax credit carryforwards of approximately $296,000 and $472,000 as of March 31, 2008. Both the net operating losses and tax credit carryforwards expire between 2016 and 2027.</w:t>
      </w:r>
    </w:p>
    <w:p>
      <w:pPr>
        <w:spacing w:after="0" w:line="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fiscal 2007 and prior to its IPO, the Company’s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the fiscal year ended March 31, 2008, utilization of the federal loss carryforwards was limited to $3.0 million. For the fiscal year 2009, there is only $1.8 million of net operating loss carryforward remaining from periods prior to the ownership change, however, if there were more net operating loss available from those time periods, the Company believes that utilization of the federal loss carryforwards would again be limited to $3.0 million.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leases vehicles and equipment under operating leases. Rent expense under operating leases was $192,000 and $263,000 for the three months ended December 31, 2007 and 2008; and $635,000 and $802,000 for the nine months ended December 31, 2007 and 2008. Total annual commitments under non-cancelable operating leases as of December 31, 2008 were $1.1 million. In addition, the Company enters into non-cancellable purchase commitments for certain inventory items in order to secure better pricing and ensure materials on hand, as well as for capital expenditures. As of December 31, 2008, the Company had entered into $5.5 million of purchase commitments related to fiscal 2009, including $1.7 million related to the remaining capital committed for construction of its technology center and manufacturing and system improvements and $3.8 million for inventory purchases.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the Company, several of its officers, all members of the then existing board of directors, and certain underwriters relating to the Company’s December 2007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brief in support of their motion to dismiss the consolidated complaint. On November 13, 2008, the lead plaintiff filed a brief in opposition to the motion to dismiss. On December 15, 2008, the Company and the other director and officer defendants, filed a reply brief in support of their motion to dismiss. Having been fully briefed, the motion to dismiss is awaiting the court’s review and decision.</w:t>
      </w:r>
    </w:p>
    <w:p>
      <w:pPr>
        <w:spacing w:after="0" w:line="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adverse effect on the Company’s consolidated financial position; results of operations and cash flow. In addition, although the Company carries insurance for these types of claims, a judgment significantly in excess of the Company’s insurance coverage or a judgment which is not covered by insurance, could materially and adversely affect the Company’s financial condition, results of operations and cash flows. The Company is not presently able to reasonably estimate potential losses, if any, related to the lawsuit.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640"/>
        <w:spacing w:after="0" w:line="302" w:lineRule="auto"/>
        <w:rPr>
          <w:sz w:val="20"/>
          <w:szCs w:val="20"/>
          <w:color w:val="auto"/>
        </w:rPr>
      </w:pPr>
      <w:r>
        <w:rPr>
          <w:rFonts w:ascii="Arial" w:cs="Arial" w:eastAsia="Arial" w:hAnsi="Arial"/>
          <w:sz w:val="16"/>
          <w:szCs w:val="16"/>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December 31, 2008, the Company had repurchased 5,259,214 shares of common stock at a cost of $22.4 million under the program.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STOCK OPTIONS AND WARRANTS</w:t>
      </w:r>
    </w:p>
    <w:p>
      <w:pPr>
        <w:spacing w:after="0" w:line="121" w:lineRule="exact"/>
        <w:rPr>
          <w:sz w:val="20"/>
          <w:szCs w:val="20"/>
          <w:color w:val="auto"/>
        </w:rPr>
      </w:pPr>
    </w:p>
    <w:p>
      <w:pPr>
        <w:ind w:right="40" w:firstLine="222"/>
        <w:spacing w:after="0" w:line="270" w:lineRule="auto"/>
        <w:rPr>
          <w:sz w:val="20"/>
          <w:szCs w:val="20"/>
          <w:color w:val="auto"/>
        </w:rPr>
      </w:pPr>
      <w:r>
        <w:rPr>
          <w:rFonts w:ascii="Arial" w:cs="Arial" w:eastAsia="Arial" w:hAnsi="Arial"/>
          <w:sz w:val="17"/>
          <w:szCs w:val="17"/>
          <w:color w:val="auto"/>
        </w:rPr>
        <w:t>The Company grants stock options and restricted stock awards under its 2003 Stock Option and 2004 Stock and Incentive Awards Plans (the Plans). Under the terms of the Plans, the Company has reserved 9,000,000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ten years. In the past, the Company has granted both incentive stock options and non-qualified stock options, although in July 2008, the Company adopted a policy of only granting non-qualified stock options. Restricted stock awards have no vesting period and have been issued to certain non-employee directors pursuant to elections made under the non-employee director compensation plan, which became effective upon the closing of the Company’s IPO. The Plans also provide to certain employees accelerated vesting in the event of certain changes of control of the Company. In December 2007, upon the closing of our IPO, an additional 1,500,000 shares were made available for grant under our 2004 Stock and Incentive Awards Plan.</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Prior to the Company’s IPO, certain non-employee directors elected to receive stock awards in lieu of cash compensation under the non-employee director compensation plan which became effective upon the closing of the Company’s IPO. The Company granted 5,000 shares from the 2004 Stock Incentive Awards Plan to non-employee directors as compensation for the three months ended December 31, 2008. The shares were issued in November 2008 and valued at the market price as of the grant date of $3.00 per share.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accordance with SFAS 123(R), the following amounts of stock-based compensation were recorded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w w:val="91"/>
              </w:rPr>
              <w:t>Three months ended December 31,</w:t>
            </w:r>
          </w:p>
        </w:tc>
        <w:tc>
          <w:tcPr>
            <w:tcW w:w="140" w:type="dxa"/>
            <w:vAlign w:val="bottom"/>
          </w:tcPr>
          <w:p>
            <w:pPr>
              <w:spacing w:after="0"/>
              <w:rPr>
                <w:sz w:val="14"/>
                <w:szCs w:val="14"/>
                <w:color w:val="auto"/>
              </w:rPr>
            </w:pPr>
          </w:p>
        </w:tc>
        <w:tc>
          <w:tcPr>
            <w:tcW w:w="26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2"/>
              </w:rPr>
              <w:t>Nine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2007</w:t>
            </w: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185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1520" w:type="dxa"/>
            <w:vAlign w:val="bottom"/>
            <w:gridSpan w:val="2"/>
          </w:tcPr>
          <w:p>
            <w:pPr>
              <w:jc w:val="right"/>
              <w:ind w:right="102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267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379</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929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20" w:firstLine="215"/>
        <w:spacing w:after="0" w:line="277" w:lineRule="auto"/>
        <w:rPr>
          <w:sz w:val="20"/>
          <w:szCs w:val="20"/>
          <w:color w:val="auto"/>
        </w:rPr>
      </w:pPr>
      <w:r>
        <w:rPr>
          <w:rFonts w:ascii="Arial" w:cs="Arial" w:eastAsia="Arial" w:hAnsi="Arial"/>
          <w:sz w:val="18"/>
          <w:szCs w:val="18"/>
          <w:color w:val="auto"/>
        </w:rPr>
        <w:t>As of December 31, 2008, compensation cost related to non-vested common stock-based compensation amounted to $5.1 million over a remaining weighted average expected term of 6.4 years.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Options Outstanding</w:t>
            </w: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4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0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4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2"/>
                <w:szCs w:val="12"/>
                <w:color w:val="auto"/>
              </w:rPr>
            </w:pPr>
          </w:p>
        </w:tc>
        <w:tc>
          <w:tcPr>
            <w:tcW w:w="96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420" w:type="dxa"/>
            <w:vAlign w:val="bottom"/>
          </w:tcPr>
          <w:p>
            <w:pPr>
              <w:spacing w:after="0"/>
              <w:rPr>
                <w:sz w:val="12"/>
                <w:szCs w:val="12"/>
                <w:color w:val="auto"/>
              </w:rPr>
            </w:pPr>
          </w:p>
        </w:tc>
        <w:tc>
          <w:tcPr>
            <w:tcW w:w="15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10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Exercise</w:t>
            </w:r>
          </w:p>
        </w:tc>
        <w:tc>
          <w:tcPr>
            <w:tcW w:w="4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40" w:type="dxa"/>
            <w:vAlign w:val="bottom"/>
          </w:tcPr>
          <w:p>
            <w:pPr>
              <w:spacing w:after="0"/>
              <w:rPr>
                <w:sz w:val="12"/>
                <w:szCs w:val="12"/>
                <w:color w:val="auto"/>
              </w:rPr>
            </w:pPr>
          </w:p>
        </w:tc>
        <w:tc>
          <w:tcPr>
            <w:tcW w:w="1060" w:type="dxa"/>
            <w:vAlign w:val="bottom"/>
            <w:gridSpan w:val="2"/>
          </w:tcPr>
          <w:p>
            <w:pPr>
              <w:jc w:val="right"/>
              <w:ind w:right="176"/>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40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Grant</w:t>
            </w:r>
          </w:p>
        </w:tc>
        <w:tc>
          <w:tcPr>
            <w:tcW w:w="1040" w:type="dxa"/>
            <w:vAlign w:val="bottom"/>
          </w:tcPr>
          <w:p>
            <w:pPr>
              <w:jc w:val="right"/>
              <w:ind w:right="154"/>
              <w:spacing w:after="0"/>
              <w:rPr>
                <w:sz w:val="20"/>
                <w:szCs w:val="20"/>
                <w:color w:val="auto"/>
              </w:rPr>
            </w:pPr>
            <w:r>
              <w:rPr>
                <w:rFonts w:ascii="Arial" w:cs="Arial" w:eastAsia="Arial" w:hAnsi="Arial"/>
                <w:sz w:val="14"/>
                <w:szCs w:val="14"/>
                <w:b w:val="1"/>
                <w:bCs w:val="1"/>
                <w:color w:val="auto"/>
              </w:rPr>
              <w:t>of Shares</w:t>
            </w:r>
          </w:p>
        </w:tc>
        <w:tc>
          <w:tcPr>
            <w:tcW w:w="4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4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Term (in years)</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ind w:right="2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4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64"/>
              <w:spacing w:after="0"/>
              <w:rPr>
                <w:sz w:val="20"/>
                <w:szCs w:val="20"/>
                <w:color w:val="auto"/>
              </w:rPr>
            </w:pPr>
            <w:r>
              <w:rPr>
                <w:rFonts w:ascii="Arial" w:cs="Arial" w:eastAsia="Arial" w:hAnsi="Arial"/>
                <w:sz w:val="18"/>
                <w:szCs w:val="18"/>
                <w:color w:val="auto"/>
              </w:rPr>
              <w:t>1,482</w:t>
            </w:r>
          </w:p>
        </w:tc>
        <w:tc>
          <w:tcPr>
            <w:tcW w:w="46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rPr>
              <w:t>4,716</w:t>
            </w:r>
          </w:p>
        </w:tc>
        <w:tc>
          <w:tcPr>
            <w:tcW w:w="44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tcPr>
          <w:p>
            <w:pPr>
              <w:jc w:val="right"/>
              <w:ind w:right="204"/>
              <w:spacing w:after="0"/>
              <w:rPr>
                <w:sz w:val="20"/>
                <w:szCs w:val="20"/>
                <w:color w:val="auto"/>
              </w:rPr>
            </w:pPr>
            <w:r>
              <w:rPr>
                <w:rFonts w:ascii="Arial" w:cs="Arial" w:eastAsia="Arial" w:hAnsi="Arial"/>
                <w:sz w:val="18"/>
                <w:szCs w:val="18"/>
                <w:color w:val="auto"/>
              </w:rPr>
              <w:t>(634)</w:t>
            </w:r>
          </w:p>
        </w:tc>
        <w:tc>
          <w:tcPr>
            <w:tcW w:w="460" w:type="dxa"/>
            <w:vAlign w:val="bottom"/>
          </w:tcPr>
          <w:p>
            <w:pPr>
              <w:spacing w:after="0"/>
              <w:rPr>
                <w:sz w:val="18"/>
                <w:szCs w:val="18"/>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color w:val="auto"/>
              </w:rPr>
              <w:t>634</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$8.04</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Cancelled or expired</w:t>
            </w:r>
          </w:p>
        </w:tc>
        <w:tc>
          <w:tcPr>
            <w:tcW w:w="15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290</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(290)</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$6.17</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Exercised</w:t>
            </w: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(827)</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$1.53</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50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1,138</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4,233</w:t>
            </w:r>
          </w:p>
        </w:tc>
        <w:tc>
          <w:tcPr>
            <w:tcW w:w="14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$3.05</w:t>
            </w:r>
          </w:p>
        </w:tc>
        <w:tc>
          <w:tcPr>
            <w:tcW w:w="14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87"/>
              </w:rPr>
              <w:t>6.4</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76"/>
              <w:spacing w:after="0"/>
              <w:rPr>
                <w:sz w:val="20"/>
                <w:szCs w:val="20"/>
                <w:color w:val="auto"/>
              </w:rPr>
            </w:pPr>
            <w:r>
              <w:rPr>
                <w:rFonts w:ascii="Arial" w:cs="Arial" w:eastAsia="Arial" w:hAnsi="Arial"/>
                <w:sz w:val="18"/>
                <w:szCs w:val="18"/>
                <w:color w:val="auto"/>
                <w:w w:val="87"/>
              </w:rPr>
              <w:t>12,141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Exercisable at December 31, 2008</w:t>
            </w: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ind w:right="234"/>
              <w:spacing w:after="0"/>
              <w:rPr>
                <w:sz w:val="20"/>
                <w:szCs w:val="20"/>
                <w:color w:val="auto"/>
              </w:rPr>
            </w:pPr>
            <w:r>
              <w:rPr>
                <w:rFonts w:ascii="Arial" w:cs="Arial" w:eastAsia="Arial" w:hAnsi="Arial"/>
                <w:sz w:val="18"/>
                <w:szCs w:val="18"/>
                <w:color w:val="auto"/>
              </w:rPr>
              <w:t>2,093</w:t>
            </w:r>
          </w:p>
        </w:tc>
        <w:tc>
          <w:tcPr>
            <w:tcW w:w="1400" w:type="dxa"/>
            <w:vAlign w:val="bottom"/>
            <w:gridSpan w:val="2"/>
          </w:tcPr>
          <w:p>
            <w:pPr>
              <w:ind w:left="680"/>
              <w:spacing w:after="0"/>
              <w:rPr>
                <w:sz w:val="20"/>
                <w:szCs w:val="20"/>
                <w:color w:val="auto"/>
              </w:rPr>
            </w:pPr>
            <w:r>
              <w:rPr>
                <w:rFonts w:ascii="Arial" w:cs="Arial" w:eastAsia="Arial" w:hAnsi="Arial"/>
                <w:sz w:val="18"/>
                <w:szCs w:val="18"/>
                <w:color w:val="auto"/>
              </w:rPr>
              <w:t>$1.74</w:t>
            </w:r>
          </w:p>
        </w:tc>
        <w:tc>
          <w:tcPr>
            <w:tcW w:w="1480" w:type="dxa"/>
            <w:vAlign w:val="bottom"/>
            <w:gridSpan w:val="2"/>
          </w:tcPr>
          <w:p>
            <w:pPr>
              <w:jc w:val="center"/>
              <w:ind w:left="370"/>
              <w:spacing w:after="0"/>
              <w:rPr>
                <w:sz w:val="20"/>
                <w:szCs w:val="20"/>
                <w:color w:val="auto"/>
              </w:rPr>
            </w:pPr>
            <w:r>
              <w:rPr>
                <w:rFonts w:ascii="Arial" w:cs="Arial" w:eastAsia="Arial" w:hAnsi="Arial"/>
                <w:sz w:val="18"/>
                <w:szCs w:val="18"/>
                <w:color w:val="auto"/>
                <w:w w:val="87"/>
              </w:rPr>
              <w:t>4.6</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76"/>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$5.41 as of December 31, 2008.</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summary of the status of the Company’s outstanding non-vested stock options as of December 31, 2008 is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2008</w:t>
            </w:r>
          </w:p>
        </w:tc>
        <w:tc>
          <w:tcPr>
            <w:tcW w:w="7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Granted</w:t>
            </w:r>
          </w:p>
        </w:tc>
        <w:tc>
          <w:tcPr>
            <w:tcW w:w="7380" w:type="dxa"/>
            <w:vAlign w:val="bottom"/>
            <w:gridSpan w:val="3"/>
          </w:tcPr>
          <w:p>
            <w:pPr>
              <w:jc w:val="right"/>
              <w:ind w:right="34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7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66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7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40" w:type="dxa"/>
            <w:vAlign w:val="bottom"/>
          </w:tcPr>
          <w:p>
            <w:pPr>
              <w:jc w:val="right"/>
              <w:ind w:right="479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Prior to the Company’s IPO, the Company issued warrants in connection with various stock offerings and services rendered. The warrants granted the holder the option to purchase common stock at specified prices for a specified period of time. No warrants were issued in fiscal 2008 or for the nine months ended December 31, 2008.</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Outstanding warrants are comprised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Price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2008</w:t>
            </w:r>
          </w:p>
        </w:tc>
        <w:tc>
          <w:tcPr>
            <w:tcW w:w="11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578,788</w:t>
            </w:r>
          </w:p>
        </w:tc>
        <w:tc>
          <w:tcPr>
            <w:tcW w:w="1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Issued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1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(73,580)</w:t>
            </w:r>
          </w:p>
        </w:tc>
        <w:tc>
          <w:tcPr>
            <w:tcW w:w="1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Cancelled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2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1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505,208</w:t>
            </w:r>
          </w:p>
        </w:tc>
        <w:tc>
          <w:tcPr>
            <w:tcW w:w="140" w:type="dxa"/>
            <w:vAlign w:val="bottom"/>
            <w:shd w:val="clear" w:color="auto" w:fill="CCEEFF"/>
          </w:tcPr>
          <w:p>
            <w:pPr>
              <w:spacing w:after="0"/>
              <w:rPr>
                <w:sz w:val="18"/>
                <w:szCs w:val="18"/>
                <w:color w:val="auto"/>
              </w:rPr>
            </w:pPr>
          </w:p>
        </w:tc>
        <w:tc>
          <w:tcPr>
            <w:tcW w:w="1540" w:type="dxa"/>
            <w:vAlign w:val="bottom"/>
            <w:gridSpan w:val="4"/>
            <w:shd w:val="clear" w:color="auto" w:fill="CCEEFF"/>
          </w:tcPr>
          <w:p>
            <w:pPr>
              <w:jc w:val="right"/>
              <w:ind w:right="261"/>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620" w:type="dxa"/>
            <w:vAlign w:val="bottom"/>
            <w:gridSpan w:val="2"/>
          </w:tcPr>
          <w:p>
            <w:pPr>
              <w:ind w:left="200"/>
              <w:spacing w:after="0"/>
              <w:rPr>
                <w:sz w:val="20"/>
                <w:szCs w:val="20"/>
                <w:color w:val="auto"/>
              </w:rPr>
            </w:pPr>
            <w:r>
              <w:rPr>
                <w:rFonts w:ascii="Arial" w:cs="Arial" w:eastAsia="Arial" w:hAnsi="Arial"/>
                <w:sz w:val="18"/>
                <w:szCs w:val="18"/>
                <w:color w:val="auto"/>
              </w:rPr>
              <w:t>A summary of outstanding warrants at December 31, 2008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86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Warrants</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tcBorders>
              <w:top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38,980</w:t>
            </w: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6"/>
              </w:rPr>
              <w:t>Fiscal 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$2.30</w:t>
            </w:r>
          </w:p>
        </w:tc>
        <w:tc>
          <w:tcPr>
            <w:tcW w:w="38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Arial" w:cs="Arial" w:eastAsia="Arial" w:hAnsi="Arial"/>
                <w:sz w:val="18"/>
                <w:szCs w:val="18"/>
                <w:color w:val="auto"/>
              </w:rPr>
              <w:t>428,968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w w:val="86"/>
              </w:rPr>
              <w:t>Fiscal 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37,260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Fiscal 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640" w:type="dxa"/>
            <w:vAlign w:val="bottom"/>
            <w:gridSpan w:val="3"/>
          </w:tcPr>
          <w:p>
            <w:pPr>
              <w:spacing w:after="0"/>
              <w:rPr>
                <w:sz w:val="20"/>
                <w:szCs w:val="20"/>
                <w:color w:val="auto"/>
              </w:rPr>
            </w:pPr>
            <w:r>
              <w:rPr>
                <w:rFonts w:ascii="Arial" w:cs="Arial" w:eastAsia="Arial" w:hAnsi="Arial"/>
                <w:sz w:val="18"/>
                <w:szCs w:val="18"/>
                <w:color w:val="auto"/>
              </w:rPr>
              <w:t>Total</w:t>
            </w:r>
          </w:p>
        </w:tc>
        <w:tc>
          <w:tcPr>
            <w:tcW w:w="500" w:type="dxa"/>
            <w:vAlign w:val="bottom"/>
            <w:gridSpan w:val="3"/>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505,208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SUBSEQUENT EVENTS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7, 2009, the Company’s Board of Directors adopted a shareholder rights plan pursuant to which it declared and will pay a dividend of one common share purchase right (a “Right”) for each outstanding share of the Company’s common stock. The dividend will be paid on February 15, 2009 to shareholders of record on February 1, 2009. Each Right will entitle the registered holder to purchase from the Company one share of the Company’s common stock at a price of $30.00 per share, subject to adjustment.</w:t>
      </w:r>
    </w:p>
    <w:p>
      <w:pPr>
        <w:spacing w:after="0" w:line="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or 10 business days after the commencement of, or the announcement of an intention to make, a tender offer or exchange offer that would result in any such person or group of persons acquiring such beneficial ownership.</w:t>
      </w:r>
    </w:p>
    <w:p>
      <w:pPr>
        <w:spacing w:after="0" w:line="8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If a person becomes an Acquiring Person, holders of Rights will be entitled to purchase shares of the Company’s common stock for one-half its then-current market price, as defined in the shareholder rights plan, and all Rights beneficially owned by an Acquiring Person, or by certain related parties or transferees, will be null and void. If, after there is an Acquiring Person,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shares of the acquiring company’s common stock at a price of one-half the then-current market price of that stock.</w:t>
      </w:r>
    </w:p>
    <w:p>
      <w:pPr>
        <w:spacing w:after="0" w:line="8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The Rights will expire on January 7, 2019.</w:t>
      </w:r>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Wisconsin Department of Commerce loan and grant agreement</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January 2009, the Company entered into a grant and loan agreement with the State of Wisconsin Department of Commerce relating to the Company’s investments and work in developing and implementing its integrated energy management systems at project locations within the State. The agreement provides for funding in the aggregate amount of $420,000, comprised of a low-interest loan in the amount of $200,000 and grant funding in the amount of $220,000, with a match funding requirement on the part of the Company in the amount of $420,000. The loan bears annual interest at a rate of 2%, with monthly payments of $3,400 commencing in August 2010 and with the final balance due and payable not later than November 1, 2015. Grant funds must be drawn upon by December 31, 2009 based upon project costs incurred between April 1, 2008 and December 31, 2009. To date, no grant or loan funding has been disbursed.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2008.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2008 Annual Report filed on Form</w:t>
      </w:r>
    </w:p>
    <w:p>
      <w:pPr>
        <w:spacing w:after="0" w:line="3"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10-K for the year ended March 31, 2008, our Form 10-Q for the quarter ended September 30, 2008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8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have sold and installed more than 1,419,000 of our HIF lighting systems in over 4,300 facilities from December 1, 2001 through December 31, 2008. We have sold our products to 114 Fortune 500 companies, many of which have installed our HIF lighting systems in multiple facilities. Our top direct customers by revenue in fiscal 2008 included Coca-Cola Enterprises Inc., Kraft Foods Inc., Sherwin Williams Co., Kroger Co., SYSCO Corp. and Anheuser-Busch Companies, Inc. Our top direct customers by revenue for the nine months ended December 31, 2008 included Coca-Cola Enterprises Inc., Anheuser-Busch Companies, Inc., SYSCO Corp., Ben E. Keith Co., Kraft Foods Inc., and U.S. Foodservice.</w:t>
      </w:r>
    </w:p>
    <w:p>
      <w:pPr>
        <w:spacing w:after="0" w:line="6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fiscal year ends on March 31. We call our prior fiscal year which ended on March 31, 2008, “fiscal 2008”. We call our current fiscal year, which will end on March 31, 2009, “fiscal 2009.” Our fiscal first quarter ends on June 30, our fiscal second quarter ends on September 30, our fiscal third quarter ends on December 31 and our fiscal fourth quarter ends on March 31.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Expense Components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We sell our energy management products and services directly to commercial and industrial customers, and indirectly to end users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historically have been completed prior to product shipment and revenue from such services was included in product revenue because evidence of fair value for these services did not exist. We are continuing to increase our selling efforts through our contractor and value-added reseller channels with increased marketing through mass mailings, participating in national trade organizations and providing training to channel partners on our sales methodologies. These wholesale channels accounted for approximately 25% of our total revenue volume in fiscal 2008 and 43% of our total revenue for the first nine months of fiscal 2009. The increase in wholesale revenue was due to our marketing and training efforts within this channel, and we expect that revenue from these channels will be approximately 40% of our total revenue in fiscal 2009.</w:t>
      </w:r>
    </w:p>
    <w:p>
      <w:pPr>
        <w:spacing w:after="0" w:line="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October 2008, we introduced to the market a new financing program for our customer’s purchase of our energy management systems called the Orion Virtual Power Plant (“OVPP”). The OVPP is structured as a supply contract in which we commit to deliver a defined amount of energy savings at a fixed rate over the life of the contract, typically 60 months. We collect payments from our customer on a monthly basis across the delivery period. This program creates a revenue stream, but may lessen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former financing program, in which case the revenue would be recognized at the net present value of the total future payments from the finance company upon completion of the project. The OVPP program was established to assist customers who are interested in purchasing our energy management systems but who have capital expenditure budget limitations. For the nine months ended December 31, 2008, we recognized $3,000 of revenue from completed OVPP contracts. As of December 31, 2008, customers have signed OVPP supply agreements for net present value of $0.8 million in revenues. In the future, we expect an increase in the volume of contracts that utilize the OVPP financing program.</w:t>
      </w:r>
    </w:p>
    <w:p>
      <w:pPr>
        <w:spacing w:after="0" w:line="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48% and 36% of our total revenue for the first nine months of fiscal 2008 and fiscal 2009, respectively. One customer accounted for approximately 17% of our total revenue for the first nine months of fiscal 2008. No customers accounted for more than 10% of our total revenue for the nine months ended December 31, 2008. To the extent that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level of total revenue for any given period is dependent upon a number of factors, including (i) the demand for our products and systems, including our OVPP program; (ii) the number and timing of large retrofit and multi-facility retrofit, or “roll-out,” projects; (iii) the level of our wholesale sales; (iv) our ability to realize revenue from our services and our OVPP program, including whether we decide to either retain or resell the expected future cash flows under our OVPP program and the relative timing of the resultant 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Such orders must be evidenced by</w:t>
      </w:r>
      <w:r>
        <w:rPr>
          <w:rFonts w:ascii="Arial" w:cs="Arial" w:eastAsia="Arial" w:hAnsi="Arial"/>
          <w:sz w:val="16"/>
          <w:szCs w:val="16"/>
          <w:i w:val="1"/>
          <w:iCs w:val="1"/>
          <w:color w:val="auto"/>
        </w:rPr>
        <w:t xml:space="preserve"> </w:t>
      </w:r>
      <w:r>
        <w:rPr>
          <w:rFonts w:ascii="Arial" w:cs="Arial" w:eastAsia="Arial" w:hAnsi="Arial"/>
          <w:sz w:val="16"/>
          <w:szCs w:val="16"/>
          <w:color w:val="auto"/>
        </w:rPr>
        <w:t>a signed proposal acceptance or purchase order from the customer. Our backlog does not include OVPP contracts or national account contracts that have been negotiated, but for which we have not yet received a purchase order for the specific location. As of December 31, 2008, we had a backlog of firm purchase orders of approximately $3.2 million. We generally expect this level of firm purchase order backlog to be converted into revenue within the following quarter. Principally as a result of the continued lengthening of our customer’s purchasing decisions because of current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5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Our total cost of revenue consists of costs for: (i) raw materials, including sheet, coiled and specialty reflective aluminum; (ii) electrical</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20.9% of our total cost of revenue for the first nine months of fiscal 2009 and were 28% of total cost of revenue for fiscal 2008. Our production labor force is non-union and, as a result, our production labor costs have been relatively stable. We have been expanding our network of qualified third-party installers to realize efficiencies in the installation process. Toward the end of fiscal 2008, we began to vertically integrate some of our processes performed at outside suppliers to help us better manage delivery lead time, control process quality and inventory supply. We installed a coating line and acquired production fabrication equipment. In fiscal 2009, we installed a power cord assembly line. Each of these production items provide us with additional capacity to continue to support our potential future revenue growth. We expect that these processes will help to reduce overall unit costs as the equipment becomes more fully utilized.</w:t>
      </w:r>
    </w:p>
    <w:p>
      <w:pPr>
        <w:spacing w:after="0" w:line="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has been, and will continue to be, affected by the relative levels of our total revenue and our total cost of revenue, and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(which generally have historically resulted in higher relative gross margins, but lower relative net margins, than our sales to direct customers);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8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i w:val="1"/>
          <w:iCs w:val="1"/>
          <w:color w:val="auto"/>
        </w:rPr>
        <w:t xml:space="preserve">Operating Expenses. </w:t>
      </w:r>
      <w:r>
        <w:rPr>
          <w:rFonts w:ascii="Arial" w:cs="Arial" w:eastAsia="Arial" w:hAnsi="Arial"/>
          <w:sz w:val="17"/>
          <w:szCs w:val="17"/>
          <w:color w:val="auto"/>
        </w:rPr>
        <w:t>Our operating expenses consist of: (i) general and administrative expenses; (ii) sales and marketing expenses; and (iii)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expenses. Personnel related costs are our largest operating expense and we expect our general and administrative personnel costs to stabilize or decline slightly for the remainder of fiscal 2009 due to personnel cost reduction efforts.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64"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3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5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been incurring increased general and administrative expenses in connection with our being a public company, including increased accounting, audit, investor relations, legal and support services and Sarbanes-Oxley compliance fees and expenses. Additionally, we anticipate our operating expenses to increase towards the end of fiscal 2009 and into fiscal 2010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recognize compensation expense for the fair value of our stock option awards granted over their related vesting period using the modified prospective method of adoption under the provisions of the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We recognized $1.4 million of stock-based compensation expense in fiscal 2008 and $1.2 million in the first nine months of fiscal 2009. As a result of prior option grants, we expect to recognize an additional $5.1 million of stock-based compensation over a weighted average period of approximately 6.4 years, including $0.4 million in the last three months of fiscal 2009.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84"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Our interest expense is comprised primarily of interest expense on outstanding borrowings under our revolving credit facility and our other</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debt obligations described under “— Liquidity and Capital Resources — Indebtedness” below, including the amortization of previously incurred financing costs. We amortize deferred financing costs to interest expense over the life of the related debt instrument, ranging from nine to 15 years.</w:t>
      </w:r>
    </w:p>
    <w:p>
      <w:pPr>
        <w:spacing w:after="0" w:line="3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Our dividend income consists of dividends paid on preferred shares that we acquired in July 2006. The terms of these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provided for annual dividend payments to us of $0.1 million. The preferred shares were sold back to the issuer in June 2008 and all dividends accrued were paid upon sale. We also report interest income earned on our cash and cash equivalents. Our interest income has increased in fiscal 2009 as a result of our investment of the net proceeds from our initial public offering in short-term, interest-bearing, money market funds, bank certificate of deposits and investment-grade securities.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December 31, 2008, we had net operating loss carryforwards of approximately $2.8 million for federal tax purposes and $3.0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state tax purposes. Included in these loss carryforwards were $2.8 million for federal and $2.1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and state credit carryforwards of approximately $0.3 million and $0.5 million, respectively, as of March 31, 2008. These federal and state net operating losses and credit carryforwards are available, subject to the discussion in the following paragraph, to offset future taxable income and, if not utilized, will begin to expire in varying amounts between 2016 and 2027. Our income before income tax in fiscal 2008 was $7.2 million. If we maintain this level of income before income tax in future fiscal years, we would expect to utilize our federal net operating loss carryforwards in fiscal 2009. State net operating loss carryforwards would be utilized over approximately five fiscal years or a shorter period if our income before income taxes increases further.</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our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For fiscal 2009, there is only $1.8 million of net operating loss carryforward remaining from periods prior to the ownership change, however, if there were more net operating loss available from those time periods, we believe that utilization of the federal loss carryforwards would again be limited to $3.0 million.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gridSpan w:val="9"/>
          </w:tcPr>
          <w:p>
            <w:pPr>
              <w:jc w:val="right"/>
              <w:ind w:right="680"/>
              <w:spacing w:after="0"/>
              <w:rPr>
                <w:sz w:val="20"/>
                <w:szCs w:val="20"/>
                <w:color w:val="auto"/>
              </w:rPr>
            </w:pPr>
            <w:r>
              <w:rPr>
                <w:rFonts w:ascii="Arial" w:cs="Arial" w:eastAsia="Arial" w:hAnsi="Arial"/>
                <w:sz w:val="13"/>
                <w:szCs w:val="13"/>
                <w:b w:val="1"/>
                <w:bCs w:val="1"/>
                <w:color w:val="auto"/>
              </w:rPr>
              <w:t>Three Months Ended December 31,</w:t>
            </w:r>
          </w:p>
        </w:tc>
        <w:tc>
          <w:tcPr>
            <w:tcW w:w="60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3"/>
                <w:szCs w:val="13"/>
                <w:b w:val="1"/>
                <w:bCs w:val="1"/>
                <w:color w:val="auto"/>
              </w:rPr>
              <w:t>Nine Months Ended December 31,</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2007</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2008</w:t>
            </w: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2007</w:t>
            </w:r>
          </w:p>
        </w:tc>
        <w:tc>
          <w:tcPr>
            <w:tcW w:w="6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6"/>
              </w:rPr>
              <w:t>2008</w:t>
            </w: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vMerge w:val="restart"/>
          </w:tcPr>
          <w:p>
            <w:pPr>
              <w:jc w:val="right"/>
              <w:ind w:right="16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jc w:val="right"/>
              <w:ind w:right="113"/>
              <w:spacing w:after="0" w:line="110" w:lineRule="exact"/>
              <w:rPr>
                <w:sz w:val="20"/>
                <w:szCs w:val="20"/>
                <w:color w:val="auto"/>
              </w:rPr>
            </w:pPr>
            <w:r>
              <w:rPr>
                <w:rFonts w:ascii="Arial" w:cs="Arial" w:eastAsia="Arial" w:hAnsi="Arial"/>
                <w:sz w:val="12"/>
                <w:szCs w:val="12"/>
                <w:b w:val="1"/>
                <w:bCs w:val="1"/>
                <w:color w:val="auto"/>
              </w:rPr>
              <w:t>% of</w:t>
            </w: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40" w:type="dxa"/>
            <w:vAlign w:val="bottom"/>
            <w:gridSpan w:val="2"/>
          </w:tcPr>
          <w:p>
            <w:pPr>
              <w:jc w:val="center"/>
              <w:ind w:right="420"/>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jc w:val="right"/>
              <w:ind w:right="133"/>
              <w:spacing w:after="0" w:line="110" w:lineRule="exact"/>
              <w:rPr>
                <w:sz w:val="20"/>
                <w:szCs w:val="20"/>
                <w:color w:val="auto"/>
              </w:rPr>
            </w:pPr>
            <w:r>
              <w:rPr>
                <w:rFonts w:ascii="Arial" w:cs="Arial" w:eastAsia="Arial" w:hAnsi="Arial"/>
                <w:sz w:val="12"/>
                <w:szCs w:val="12"/>
                <w:b w:val="1"/>
                <w:bCs w:val="1"/>
                <w:color w:val="auto"/>
              </w:rPr>
              <w:t>% of</w:t>
            </w:r>
          </w:p>
        </w:tc>
        <w:tc>
          <w:tcPr>
            <w:tcW w:w="3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9"/>
              </w:rPr>
              <w:t>Revenue</w:t>
            </w:r>
          </w:p>
        </w:tc>
        <w:tc>
          <w:tcPr>
            <w:tcW w:w="3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Change</w:t>
            </w:r>
          </w:p>
        </w:tc>
        <w:tc>
          <w:tcPr>
            <w:tcW w:w="40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Revenue</w:t>
            </w:r>
          </w:p>
        </w:tc>
        <w:tc>
          <w:tcPr>
            <w:tcW w:w="40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95"/>
              </w:rPr>
              <w:t>Revenue</w:t>
            </w:r>
          </w:p>
        </w:tc>
        <w:tc>
          <w:tcPr>
            <w:tcW w:w="38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Change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Product revenue</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18,934</w:t>
            </w:r>
          </w:p>
        </w:tc>
        <w:tc>
          <w:tcPr>
            <w:tcW w:w="120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81.2%</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20,671</w:t>
            </w:r>
          </w:p>
        </w:tc>
        <w:tc>
          <w:tcPr>
            <w:tcW w:w="132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92.4%</w:t>
            </w:r>
          </w:p>
        </w:tc>
        <w:tc>
          <w:tcPr>
            <w:tcW w:w="10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w w:val="97"/>
              </w:rPr>
              <w:t>47,686</w:t>
            </w:r>
          </w:p>
        </w:tc>
        <w:tc>
          <w:tcPr>
            <w:tcW w:w="132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81.6%</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w w:val="97"/>
              </w:rPr>
              <w:t>50,840</w:t>
            </w:r>
          </w:p>
        </w:tc>
        <w:tc>
          <w:tcPr>
            <w:tcW w:w="134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88.8%</w:t>
            </w:r>
          </w:p>
        </w:tc>
        <w:tc>
          <w:tcPr>
            <w:tcW w:w="8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Service revenue</w:t>
            </w: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4,377</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1,704</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7.6%</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(61.1)%</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10,751</w:t>
            </w:r>
          </w:p>
        </w:tc>
        <w:tc>
          <w:tcPr>
            <w:tcW w:w="13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18.4%</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6,401</w:t>
            </w:r>
          </w:p>
        </w:tc>
        <w:tc>
          <w:tcPr>
            <w:tcW w:w="13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11.2%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23,311</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22,375</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58,437</w:t>
            </w:r>
          </w:p>
        </w:tc>
        <w:tc>
          <w:tcPr>
            <w:tcW w:w="13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57,241</w:t>
            </w:r>
          </w:p>
        </w:tc>
        <w:tc>
          <w:tcPr>
            <w:tcW w:w="13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100.0%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Cost of product revenue</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12,224</w:t>
            </w: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52.4%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13,644</w:t>
            </w: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61.0%</w:t>
            </w: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31,044</w:t>
            </w:r>
          </w:p>
        </w:tc>
        <w:tc>
          <w:tcPr>
            <w:tcW w:w="13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53.1%</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7"/>
              </w:rPr>
              <w:t>33,724</w:t>
            </w:r>
          </w:p>
        </w:tc>
        <w:tc>
          <w:tcPr>
            <w:tcW w:w="13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58.9%</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service revenue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1,311</w:t>
            </w:r>
          </w:p>
        </w:tc>
        <w:tc>
          <w:tcPr>
            <w:tcW w:w="20" w:type="dxa"/>
            <w:vAlign w:val="bottom"/>
            <w:shd w:val="clear" w:color="auto" w:fill="CCEEFF"/>
          </w:tcPr>
          <w:p>
            <w:pPr>
              <w:spacing w:after="0"/>
              <w:rPr>
                <w:sz w:val="12"/>
                <w:szCs w:val="12"/>
                <w:color w:val="auto"/>
              </w:rPr>
            </w:pP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(53.7)%</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7,214</w:t>
            </w:r>
          </w:p>
        </w:tc>
        <w:tc>
          <w:tcPr>
            <w:tcW w:w="13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4,565</w:t>
            </w:r>
          </w:p>
        </w:tc>
        <w:tc>
          <w:tcPr>
            <w:tcW w:w="13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8.0%</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Total cost of revenue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15,057</w:t>
            </w:r>
          </w:p>
        </w:tc>
        <w:tc>
          <w:tcPr>
            <w:tcW w:w="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64.6%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14,955</w:t>
            </w:r>
          </w:p>
        </w:tc>
        <w:tc>
          <w:tcPr>
            <w:tcW w:w="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66.8%</w:t>
            </w:r>
          </w:p>
        </w:tc>
        <w:tc>
          <w:tcPr>
            <w:tcW w:w="1000" w:type="dxa"/>
            <w:vAlign w:val="bottom"/>
            <w:gridSpan w:val="2"/>
          </w:tcPr>
          <w:p>
            <w:pPr>
              <w:jc w:val="right"/>
              <w:ind w:right="240"/>
              <w:spacing w:after="0" w:line="155" w:lineRule="exact"/>
              <w:rPr>
                <w:sz w:val="20"/>
                <w:szCs w:val="20"/>
                <w:color w:val="auto"/>
              </w:rPr>
            </w:pPr>
            <w:r>
              <w:rPr>
                <w:rFonts w:ascii="Arial" w:cs="Arial" w:eastAsia="Arial" w:hAnsi="Arial"/>
                <w:sz w:val="14"/>
                <w:szCs w:val="14"/>
                <w:color w:val="auto"/>
              </w:rPr>
              <w:t>(0.7)%</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38,258</w:t>
            </w:r>
          </w:p>
        </w:tc>
        <w:tc>
          <w:tcPr>
            <w:tcW w:w="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65.5%</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38,289</w:t>
            </w:r>
          </w:p>
        </w:tc>
        <w:tc>
          <w:tcPr>
            <w:tcW w:w="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66.9%</w:t>
            </w: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7,420</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33.2%</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20,179</w:t>
            </w:r>
          </w:p>
        </w:tc>
        <w:tc>
          <w:tcPr>
            <w:tcW w:w="13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7"/>
              </w:rPr>
              <w:t>18,952</w:t>
            </w:r>
          </w:p>
        </w:tc>
        <w:tc>
          <w:tcPr>
            <w:tcW w:w="13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33.1%</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4"/>
                <w:szCs w:val="14"/>
                <w:color w:val="auto"/>
              </w:rPr>
              <w:t>3,288</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2,438</w:t>
            </w: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10.9%</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6,766</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7,946</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13.9%</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and marketing</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2,260</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2,741</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12.3%</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6,309</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8,164</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14.3%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expenses</w:t>
            </w: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347</w:t>
            </w: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1.6%</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1,334</w:t>
            </w:r>
          </w:p>
        </w:tc>
        <w:tc>
          <w:tcPr>
            <w:tcW w:w="1320" w:type="dxa"/>
            <w:vAlign w:val="bottom"/>
            <w:gridSpan w:val="3"/>
          </w:tcPr>
          <w:p>
            <w:pPr>
              <w:jc w:val="right"/>
              <w:ind w:right="28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1,138</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2.0%</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1,894</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8.4%</w:t>
            </w:r>
          </w:p>
        </w:tc>
        <w:tc>
          <w:tcPr>
            <w:tcW w:w="10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5,770</w:t>
            </w:r>
          </w:p>
        </w:tc>
        <w:tc>
          <w:tcPr>
            <w:tcW w:w="13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9.8%</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1,704</w:t>
            </w:r>
          </w:p>
        </w:tc>
        <w:tc>
          <w:tcPr>
            <w:tcW w:w="13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2.9%</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648</w:t>
            </w:r>
          </w:p>
        </w:tc>
        <w:tc>
          <w:tcPr>
            <w:tcW w:w="12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0" w:type="dxa"/>
            <w:vAlign w:val="bottom"/>
          </w:tcPr>
          <w:p>
            <w:pPr>
              <w:spacing w:after="0"/>
              <w:rPr>
                <w:sz w:val="12"/>
                <w:szCs w:val="12"/>
                <w:color w:val="auto"/>
              </w:rPr>
            </w:pPr>
          </w:p>
        </w:tc>
        <w:tc>
          <w:tcPr>
            <w:tcW w:w="13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0.1%</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(94.9)%</w:t>
            </w:r>
          </w:p>
        </w:tc>
        <w:tc>
          <w:tcPr>
            <w:tcW w:w="1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1,272</w:t>
            </w:r>
          </w:p>
        </w:tc>
        <w:tc>
          <w:tcPr>
            <w:tcW w:w="13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4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141</w:t>
            </w:r>
          </w:p>
        </w:tc>
        <w:tc>
          <w:tcPr>
            <w:tcW w:w="134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0.2%</w:t>
            </w: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and interest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325</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1.5%</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480</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1,492</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210.8%</w:t>
            </w: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Income before income tax</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1,890</w:t>
            </w:r>
          </w:p>
        </w:tc>
        <w:tc>
          <w:tcPr>
            <w:tcW w:w="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8.1%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2,186</w:t>
            </w:r>
          </w:p>
        </w:tc>
        <w:tc>
          <w:tcPr>
            <w:tcW w:w="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9.8%</w:t>
            </w:r>
          </w:p>
        </w:tc>
        <w:tc>
          <w:tcPr>
            <w:tcW w:w="10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15.7%</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4,978</w:t>
            </w:r>
          </w:p>
        </w:tc>
        <w:tc>
          <w:tcPr>
            <w:tcW w:w="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8.4%</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3,055</w:t>
            </w:r>
          </w:p>
        </w:tc>
        <w:tc>
          <w:tcPr>
            <w:tcW w:w="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5.3%</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1,032</w:t>
            </w:r>
          </w:p>
        </w:tc>
        <w:tc>
          <w:tcPr>
            <w:tcW w:w="13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w:t>
            </w:r>
          </w:p>
        </w:tc>
        <w:tc>
          <w:tcPr>
            <w:tcW w:w="10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2,023</w:t>
            </w:r>
          </w:p>
        </w:tc>
        <w:tc>
          <w:tcPr>
            <w:tcW w:w="13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1,414</w:t>
            </w:r>
          </w:p>
        </w:tc>
        <w:tc>
          <w:tcPr>
            <w:tcW w:w="134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1840" w:type="dxa"/>
            <w:vAlign w:val="bottom"/>
            <w:gridSpan w:val="2"/>
            <w:vMerge w:val="restart"/>
          </w:tcPr>
          <w:p>
            <w:pPr>
              <w:spacing w:after="0"/>
              <w:rPr>
                <w:sz w:val="20"/>
                <w:szCs w:val="20"/>
                <w:color w:val="auto"/>
              </w:rPr>
            </w:pPr>
            <w:r>
              <w:rPr>
                <w:rFonts w:ascii="Arial" w:cs="Arial" w:eastAsia="Arial" w:hAnsi="Arial"/>
                <w:sz w:val="14"/>
                <w:szCs w:val="14"/>
                <w:color w:val="auto"/>
              </w:rPr>
              <w:t>Net income</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1,153</w:t>
            </w:r>
          </w:p>
        </w:tc>
        <w:tc>
          <w:tcPr>
            <w:tcW w:w="6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1,154</w:t>
            </w:r>
          </w:p>
        </w:tc>
        <w:tc>
          <w:tcPr>
            <w:tcW w:w="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5.2%</w:t>
            </w:r>
          </w:p>
        </w:tc>
        <w:tc>
          <w:tcPr>
            <w:tcW w:w="100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0.1%</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2,955</w:t>
            </w:r>
          </w:p>
        </w:tc>
        <w:tc>
          <w:tcPr>
            <w:tcW w:w="8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4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rPr>
              <w:t>4.9%</w:t>
            </w:r>
          </w:p>
        </w:tc>
        <w:tc>
          <w:tcPr>
            <w:tcW w:w="12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1,641</w:t>
            </w:r>
          </w:p>
        </w:tc>
        <w:tc>
          <w:tcPr>
            <w:tcW w:w="40" w:type="dxa"/>
            <w:vAlign w:val="bottom"/>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0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2.8%</w:t>
            </w:r>
          </w:p>
        </w:tc>
        <w:tc>
          <w:tcPr>
            <w:tcW w:w="80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Accretion of redeemable</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 and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preferred stock</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dividends</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(75)</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0.0%</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(225)</w:t>
            </w:r>
          </w:p>
        </w:tc>
        <w:tc>
          <w:tcPr>
            <w:tcW w:w="132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0.0%</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tcPr>
          <w:p>
            <w:pPr>
              <w:spacing w:after="0" w:line="130" w:lineRule="exact"/>
              <w:rPr>
                <w:sz w:val="20"/>
                <w:szCs w:val="20"/>
                <w:color w:val="auto"/>
              </w:rPr>
            </w:pPr>
            <w:r>
              <w:rPr>
                <w:rFonts w:ascii="Arial" w:cs="Arial" w:eastAsia="Arial" w:hAnsi="Arial"/>
                <w:sz w:val="14"/>
                <w:szCs w:val="14"/>
                <w:color w:val="auto"/>
              </w:rPr>
              <w:t>Participation rights of</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tcPr>
          <w:p>
            <w:pPr>
              <w:ind w:left="200"/>
              <w:spacing w:after="0" w:line="149" w:lineRule="exact"/>
              <w:rPr>
                <w:sz w:val="20"/>
                <w:szCs w:val="20"/>
                <w:color w:val="auto"/>
              </w:rPr>
            </w:pPr>
            <w:r>
              <w:rPr>
                <w:rFonts w:ascii="Arial" w:cs="Arial" w:eastAsia="Arial" w:hAnsi="Arial"/>
                <w:sz w:val="14"/>
                <w:szCs w:val="14"/>
                <w:color w:val="auto"/>
              </w:rPr>
              <w:t>preferred stock in</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20" w:type="dxa"/>
            <w:vAlign w:val="bottom"/>
          </w:tcPr>
          <w:p>
            <w:pPr>
              <w:ind w:left="200"/>
              <w:spacing w:after="0"/>
              <w:rPr>
                <w:sz w:val="20"/>
                <w:szCs w:val="20"/>
                <w:color w:val="auto"/>
              </w:rPr>
            </w:pPr>
            <w:r>
              <w:rPr>
                <w:rFonts w:ascii="Arial" w:cs="Arial" w:eastAsia="Arial" w:hAnsi="Arial"/>
                <w:sz w:val="14"/>
                <w:szCs w:val="14"/>
                <w:color w:val="auto"/>
              </w:rPr>
              <w:t>undistributed earnings</w:t>
            </w: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(264)</w:t>
            </w:r>
          </w:p>
        </w:tc>
        <w:tc>
          <w:tcPr>
            <w:tcW w:w="1200" w:type="dxa"/>
            <w:vAlign w:val="bottom"/>
            <w:gridSpan w:val="3"/>
          </w:tcPr>
          <w:p>
            <w:pPr>
              <w:jc w:val="right"/>
              <w:ind w:right="12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260"/>
              <w:spacing w:after="0"/>
              <w:rPr>
                <w:sz w:val="20"/>
                <w:szCs w:val="20"/>
                <w:color w:val="auto"/>
              </w:rPr>
            </w:pPr>
            <w:r>
              <w:rPr>
                <w:rFonts w:ascii="Arial" w:cs="Arial" w:eastAsia="Arial" w:hAnsi="Arial"/>
                <w:sz w:val="14"/>
                <w:szCs w:val="14"/>
                <w:color w:val="auto"/>
              </w:rPr>
              <w:t>0.0%</w:t>
            </w:r>
          </w:p>
        </w:tc>
        <w:tc>
          <w:tcPr>
            <w:tcW w:w="1000" w:type="dxa"/>
            <w:vAlign w:val="bottom"/>
            <w:gridSpan w:val="2"/>
          </w:tcPr>
          <w:p>
            <w:pPr>
              <w:jc w:val="right"/>
              <w:ind w:right="280"/>
              <w:spacing w:after="0"/>
              <w:rPr>
                <w:sz w:val="20"/>
                <w:szCs w:val="20"/>
                <w:color w:val="auto"/>
              </w:rPr>
            </w:pPr>
            <w:r>
              <w:rPr>
                <w:rFonts w:ascii="Arial" w:cs="Arial" w:eastAsia="Arial" w:hAnsi="Arial"/>
                <w:sz w:val="14"/>
                <w:szCs w:val="14"/>
                <w:color w:val="auto"/>
              </w:rPr>
              <w:t>100.0%</w:t>
            </w:r>
          </w:p>
        </w:tc>
        <w:tc>
          <w:tcPr>
            <w:tcW w:w="12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(775)</w:t>
            </w:r>
          </w:p>
        </w:tc>
        <w:tc>
          <w:tcPr>
            <w:tcW w:w="1320" w:type="dxa"/>
            <w:vAlign w:val="bottom"/>
            <w:gridSpan w:val="3"/>
          </w:tcPr>
          <w:p>
            <w:pPr>
              <w:jc w:val="right"/>
              <w:ind w:right="2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gridSpan w:val="3"/>
          </w:tcPr>
          <w:p>
            <w:pPr>
              <w:jc w:val="right"/>
              <w:ind w:right="260"/>
              <w:spacing w:after="0"/>
              <w:rPr>
                <w:sz w:val="20"/>
                <w:szCs w:val="20"/>
                <w:color w:val="auto"/>
              </w:rPr>
            </w:pPr>
            <w:r>
              <w:rPr>
                <w:rFonts w:ascii="Arial" w:cs="Arial" w:eastAsia="Arial" w:hAnsi="Arial"/>
                <w:sz w:val="14"/>
                <w:szCs w:val="14"/>
                <w:color w:val="auto"/>
              </w:rPr>
              <w:t>0.0%</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income attributable to</w:t>
            </w: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814</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1,154</w:t>
            </w:r>
          </w:p>
        </w:tc>
        <w:tc>
          <w:tcPr>
            <w:tcW w:w="132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5.2%</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1,955</w:t>
            </w:r>
          </w:p>
        </w:tc>
        <w:tc>
          <w:tcPr>
            <w:tcW w:w="132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1,641</w:t>
            </w:r>
          </w:p>
        </w:tc>
        <w:tc>
          <w:tcPr>
            <w:tcW w:w="134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2.8%</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Revenue. </w:t>
      </w:r>
      <w:r>
        <w:rPr>
          <w:rFonts w:ascii="Arial" w:cs="Arial" w:eastAsia="Arial" w:hAnsi="Arial"/>
          <w:sz w:val="17"/>
          <w:szCs w:val="17"/>
          <w:color w:val="auto"/>
        </w:rPr>
        <w:t>Product revenue increased from $18.9 million for the third quarter ended December 31, 2007 to $20.7 million for the third quarter ended</w:t>
      </w:r>
    </w:p>
    <w:p>
      <w:pPr>
        <w:spacing w:after="0" w:line="3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December 31, 2008, an increase of $1.7 million, or 9%. Product revenue increased from $47.7 million for the nine months ended December 31, 2007 to $50.8 million for the nine months ended December 31, 2008, an increase of $3.2 million, or 7%. The increase in product revenue was a result of increased sales of our HIF lighting systems through our wholesale channel. Service revenue decreased from $4.4 million for the third quarter ended December 31, 2007 to $1.7 million for the third quarter ended December 31, 2008, a decrease of $2.7 million, or 61%. Service revenue decreased from $10.8 million for the nine months ended December 31, 2007 to $6.4 million for the nine months ended December 31, 2008, a decrease of $4.4 million, or 40%. The decrease in service revenues was a result of the increased revenues to our wholesale channels where services are not provided. Additionally, our fiscal 2009 nine months revenue was impacted by a lengthening sales cycle in the marketplace. We attribute this to general conservatism in the marketplace concerning capital spending and purchase decisions due to adverse economic and credit market conditions. We expect these circumstances to continue in our fourth quarter.</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increased from $12.2 million for the third quarter ended December 31, 2007 to $13.6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third quarter ended December 31, 2008, an increase of $1.4 million, or 11%. Our cost of product revenue increased from $31.0 million for the nine months ended December 31, 2007 to $33.7 million for the nine months ended December 31, 2008, an increase of $2.7 million, or 9%. Our cost of service revenues decreased from $2.8 million for the third quarter ended December 31, 2007 to $1.3 million for the third quarter ended December 31, 2008, a decrease of $1.5 million, or 54%. Total gross margin decreased from 35.4% for the third quarter ended December 31, 2007 to 33.2% for the third quarter ended December 31, 2008 and decreased from 34.5% for the nine months ended December 31, 2007 to 33.1 % for the nine months ended December 31, 2008. The decrease in gross margin was attributable to unabsorbed manufacturing capacity costs related to additions of new process capabilities added in the fiscal 2008 fourth quarter for product coating and fabrication equipment. Additionally, for the three months ended December 31, 2008, gross margin was negatively impacted by manufacturing costs incurred as a result of increasing volumes of our enclosure fixtures and recently launched wet rated fixtures. These product lines are more complicated to manufacture and require more production time for fabrication and assembly. Due to customer project timelines, we incurred an additional $0.3 million in added personnel costs, overtime costs and inefficiencies resulting in a margin impact of 1.3 basis points for the quarter. Over the past several weeks, we have reengineered our assembly process for enclosure fixtures, eliminated the additional staffing and reduced material handling costs. As a result, we believe that we are now better positioned to improve our gross margin on these products in the future. Gross margin may increase slightly in our fourth quarter to the extent our production volumes increase to support our planned roll-out programs and proposal pipeline and to the extent that we reduce excess capacity in our new manufacturing process equipment.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Our general and administrative expenses decreased from $3.3 million for the third quarter ended December 31, 2007 to</w:t>
      </w:r>
      <w:r>
        <w:rPr>
          <w:rFonts w:ascii="Arial" w:cs="Arial" w:eastAsia="Arial" w:hAnsi="Arial"/>
          <w:sz w:val="18"/>
          <w:szCs w:val="18"/>
          <w:i w:val="1"/>
          <w:iCs w:val="1"/>
          <w:color w:val="auto"/>
        </w:rPr>
        <w:t xml:space="preserve"> </w:t>
      </w:r>
      <w:r>
        <w:rPr>
          <w:rFonts w:ascii="Arial" w:cs="Arial" w:eastAsia="Arial" w:hAnsi="Arial"/>
          <w:sz w:val="18"/>
          <w:szCs w:val="18"/>
          <w:color w:val="auto"/>
        </w:rPr>
        <w:t>$2.4 million for the third quarter ended December 31, 2008, a decrease of $0.9 million, or 27%. The decrease was a result of $1.4 million in decreased compensation costs as a result of $0.8 million in one-time IPO bonuses paid in December</w:t>
      </w:r>
    </w:p>
    <w:p>
      <w:pPr>
        <w:sectPr>
          <w:pgSz w:w="11900" w:h="16838" w:orient="portrait"/>
          <w:cols w:equalWidth="0" w:num="1">
            <w:col w:w="11420"/>
          </w:cols>
          <w:pgMar w:left="240" w:top="419" w:right="2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2007 that did not recur, $0.4 million in decreased compensation for executive bonuses and $0.2 million in cancelled discretionary bonus awards. Additionally, our stock compensation expense decreased by $0.1 million and discretionary spending decreased by $0.1 million. These decreases were offset by: (i)</w:t>
      </w:r>
    </w:p>
    <w:p>
      <w:pPr>
        <w:ind w:right="260"/>
        <w:spacing w:after="0" w:line="254" w:lineRule="auto"/>
        <w:rPr>
          <w:sz w:val="20"/>
          <w:szCs w:val="20"/>
          <w:color w:val="auto"/>
        </w:rPr>
      </w:pPr>
      <w:r>
        <w:rPr>
          <w:rFonts w:ascii="Arial" w:cs="Arial" w:eastAsia="Arial" w:hAnsi="Arial"/>
          <w:sz w:val="18"/>
          <w:szCs w:val="18"/>
          <w:color w:val="auto"/>
        </w:rPr>
        <w:t>$0.2 million in increased compensation for base wage increases for existing employees and increased compensation costs related to hiring additional employees in our accounting, information technology and administration departments; (ii) additional legal expenses of $0.2 million, including $0.1 million incurred for costs related to the class action litigation; and (iii) $0.4 million of public company costs related to audit and tax support, investor relations, compliance and SOX initiatives that were not incurred during the third quarter of fiscal 2008.</w:t>
      </w:r>
    </w:p>
    <w:p>
      <w:pPr>
        <w:spacing w:after="0" w:line="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General and administrative expenses increased from $6.7 million for the nine months ended December 31, 2007 to $7.9 million for the nine months ended December 31, 2008, an increase of $1.2 million, or 18%. Total headcount increased from the prior year as we added staff support in our accounting, information technology, human resources and administrative functions resulting in increased compensation costs. Legal expenses increased as a result of the class action litigation and public company reporting and compliance costs. Additionally, as a result of being a public company, we have incurred increased costs for audit and tax support, SOX compliance and other public company administrative costs. For the nine months ended December 31, 2008, we recorded a $0.4 million gain on the sale of an asset which was reported as a reduction in our general and administrative expenses.</w:t>
      </w:r>
    </w:p>
    <w:p>
      <w:pPr>
        <w:spacing w:after="0" w:line="57" w:lineRule="exact"/>
        <w:rPr>
          <w:sz w:val="20"/>
          <w:szCs w:val="20"/>
          <w:color w:val="auto"/>
        </w:rPr>
      </w:pPr>
    </w:p>
    <w:p>
      <w:pPr>
        <w:ind w:right="320"/>
        <w:spacing w:after="0" w:line="288"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$2.3 million for the third quarter ended December 31, 2007 to $2.7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third quarter ended December 31, 2008, an increase of $0.4 million, or 17%. The increase was a result of increased employee compensation and stock compensation costs of $0.6 million from our hiring additional sales and marketing personnel during fiscal 2009. Our marketing costs increased by</w:t>
      </w:r>
    </w:p>
    <w:p>
      <w:pPr>
        <w:ind w:right="160"/>
        <w:spacing w:after="0" w:line="323" w:lineRule="auto"/>
        <w:rPr>
          <w:sz w:val="20"/>
          <w:szCs w:val="20"/>
          <w:color w:val="auto"/>
        </w:rPr>
      </w:pPr>
      <w:r>
        <w:rPr>
          <w:rFonts w:ascii="Arial" w:cs="Arial" w:eastAsia="Arial" w:hAnsi="Arial"/>
          <w:sz w:val="16"/>
          <w:szCs w:val="16"/>
          <w:color w:val="auto"/>
        </w:rPr>
        <w:t>$0.2 million as a result of our efforts to increase our brand awareness through direct mail campaigns into the wholesale channel and participation in national trade shows. Spending decreases were due to reduced variable compensation costs related to reduced commissions and bonuses of $0.4 million.</w:t>
      </w:r>
    </w:p>
    <w:p>
      <w:pPr>
        <w:spacing w:after="0" w:line="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Sales and marketing expenses increased from $6.3 million for the nine months ended December 31, 2007 to $8.2 million for the nine months ended December 31, 2008, an increase of $1.9 million, or 30%. The increase was a result of increased employee compensation, recruiting and stock compensation costs of $1.8 million from our hiring additional sales and marketing personnel during fiscal 2009. A majority of new sales and marketing hires were completed within our first fiscal quarter. Our marketing costs increased by $0.6 million as a result of our efforts to increase our brand awareness through direct mail into the wholesale channel and through participation in national trade shows. Spending decreases were due to reduced variable commission plans of $0.3 million and reduced discretionary bonus expense of $0.3 million.</w:t>
      </w:r>
    </w:p>
    <w:p>
      <w:pPr>
        <w:spacing w:after="0" w:line="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Our research and development expenses decreased for the third quarter and nine months ended December 31, 2008 from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and nine months ended December 31, 2007 on an absolute dollar basis and as a percentage of total revenue as a result of decreased research consulting expenses and a reduction in sample and material costs as our wireless control product transitioned into production stages.</w:t>
      </w:r>
    </w:p>
    <w:p>
      <w:pPr>
        <w:spacing w:after="0" w:line="5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decreased by $0.2 million for the third quarter and by $0.5 million for the nine months ended December 31, 2008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and nine months ended December 31, 2007 due to the payoff of our revolving line of credit balance in December 2007. Additionally, for the nine months ended December 2007, we recorded $0.5 million in interest expense from our then outstanding convertible debt. The debt converted into common shares as a result of the completion of our IPO. For the nine months ended December 31, 2008, we capitalized $0.2 million of interest for construction in progress.</w:t>
      </w:r>
    </w:p>
    <w:p>
      <w:pPr>
        <w:spacing w:after="0" w:line="8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Dividend and Interest Income. </w:t>
      </w:r>
      <w:r>
        <w:rPr>
          <w:rFonts w:ascii="Arial" w:cs="Arial" w:eastAsia="Arial" w:hAnsi="Arial"/>
          <w:sz w:val="17"/>
          <w:szCs w:val="17"/>
          <w:color w:val="auto"/>
        </w:rPr>
        <w:t>Dividend and interest income increased for the three and nine months ended December 31, 2008 from the three and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December 31, 2007 due to interest income earned on the invested proceeds from our IPO completed in December 2007.</w:t>
      </w:r>
    </w:p>
    <w:p>
      <w:pPr>
        <w:spacing w:after="0" w:line="38"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Our income tax expense increased for the three months ended December 31, 2008 from the three months ended December 31, 2007 due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taxable income. Our income tax expense decreased for the nine months ended December 31, 2008 from the nine months ended December 31, 2007 due to the decrease in taxable income. Our effective income tax rate for the nine months ended December 31, 2008 was 46.3%, compared to 40.6% for the nine months ended December 31, 2007. The increase in our effective tax rate was due to an increase in non-deductible stock compensation expense, a mix change in state tax rates, and a reduction in federal tax credits due to a reduction in taxable income after stock option deductions.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 December 24, 2007, we completed our initial public offering. Net proceeds to us from the offering were approximately $82.8 million (net of underwriting discounts and commissions but before the deduction of offering expenses). We invested the net proceeds from the IPO in money market funds and short-term government agency bonds.</w:t>
      </w:r>
    </w:p>
    <w:p>
      <w:pPr>
        <w:spacing w:after="0" w:line="7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had approximately $24.2 million in cash and cash equivalents and $24.7 million in short-term investments as of December 31, 2008. Our cash equivalents are invested in money market accounts, bank certificates of deposit and commercial paper with maturities of less than 90 days and an average yield of 2.1%. Our short-term investment account consists of high-grade government agency bonds, bank certificates of deposit and AAA-rated corporate debt with expiration dates ranging from February 2009 through November 2009 and an average yield of 2.8%.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December 31, 2007 and 2008 (in thousands):</w:t>
      </w:r>
    </w:p>
    <w:p>
      <w:pPr>
        <w:spacing w:after="0" w:line="217"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Nine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(2,115)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(1,821)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2"/>
              </w:rPr>
              <w:t>(33,491)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86,946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(20,178)</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83,010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(54,137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Cash Flows Related to Operating Activities. </w:t>
      </w:r>
      <w:r>
        <w:rPr>
          <w:rFonts w:ascii="Arial" w:cs="Arial" w:eastAsia="Arial" w:hAnsi="Arial"/>
          <w:sz w:val="16"/>
          <w:szCs w:val="16"/>
          <w:color w:val="auto"/>
        </w:rPr>
        <w:t>Cash used in operating activities primarily consists of net income adjusted for certain non-cash items;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and amortization, stock-based compensation expenses, income taxes and the effect of changes in working capital and other activities.</w:t>
      </w:r>
    </w:p>
    <w:p>
      <w:pPr>
        <w:spacing w:after="0" w:line="1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Cash used in operating activities for the nine months ended December 31, 2008 was $0.5 million and consisted of net cash of $4.7 million used for working capital purposes partially offset by net income adjusted for non-cash expense items of $4.2 million. Cash used for working capital consisted of an increase of $1.8 million in inventory to provide safety stock inventories on key components, a $1.5 million increase in trade receivables attributed to national account customers holding cash at calendar year-end, a $0.7 million increase in prepaids due to advanced payments for income taxes and services, a $0.4 million increase in deferred costs due to incomplete projects where revenue has not yet been recognized, a $0.1 million increase for interest receivable on short-term investments, and a $1.6 million decrease in accrued expenses due to $0.8 million for payments to contractors for project services performed and a</w:t>
      </w:r>
    </w:p>
    <w:p>
      <w:pPr>
        <w:spacing w:after="0" w:line="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$0.8 million decrease in compensation accruals for payments made and bonus accruals no longer required. This amount was offset by a $1.4 million increase in accounts payable due to inventory purchases within the quarter that were still within payment terms.</w:t>
      </w:r>
    </w:p>
    <w:p>
      <w:pPr>
        <w:spacing w:after="0" w:line="7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Cash used in operating activities for the nine months ended December 31, 2007 was $2.1 million and consisted of net income adjusted for non-cash expense items of $5.6 million offset by cash used for working capital purposes of $7.7 million. Cash used for working capital purposes consisted of an increase of $3.1 million in trade receivables as result of increased revenues, an increase of $7.8 million in inventory due to purchases of raw materials to support sales order backlogs and an increase of $0.1 million in prepaids due to advanced payments for services. These amounts were offset by an increase of $2.0 million in accounts payable as a result of increased inventories and services, and an increase in accrued expenses of $2.0 million due to increased service contracting activities, increased legal costs for the public offering preparation, and an increase in sales tax accruals resulting from the revenue increase.</w:t>
      </w:r>
    </w:p>
    <w:p>
      <w:pPr>
        <w:spacing w:after="0" w:line="5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i w:val="1"/>
          <w:iCs w:val="1"/>
          <w:color w:val="auto"/>
        </w:rPr>
        <w:t xml:space="preserve">Cash Flows Related to Investing Activities. </w:t>
      </w:r>
      <w:r>
        <w:rPr>
          <w:rFonts w:ascii="Arial" w:cs="Arial" w:eastAsia="Arial" w:hAnsi="Arial"/>
          <w:sz w:val="17"/>
          <w:szCs w:val="17"/>
          <w:color w:val="auto"/>
        </w:rPr>
        <w:t>For the nine months ended December 31, 2008, cash used in investing activities was $33.5 million. This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$22.3 million for short-term investments with maturity dates ranging from 91 to 360 days, $10.6 million for capital expenditures related to the technology center, operating software systems and processing equipment for capacity and cost improvement measures, and $1.0 million for the purchase of intellectual property rights from an executive, partially offset by net proceeds from the sale of an investment of $0.5 million.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Cash used in investing activities for the nine months ended December 31, 2007 was $1.8 million. This included $1.9 million for capital expenditures for purchases of processing equipment for capacity and cost improvement measures and $0.1 million for the continued development of intellectual property. Cash provided from investing activities included a $0.2 million payment received on a shareholder advance.</w:t>
      </w:r>
    </w:p>
    <w:p>
      <w:pPr>
        <w:spacing w:after="0" w:line="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nine months ended December 31, 2008, cash flows used in financing activities was $20.2 million. This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$22.4 million used for common share repurchases and $0.6 million for repayment of long-term debt. Cash flows provided by financing activities included proceeds of $1.4 million received from stock option and warrant exercises and $1.5 million in deferred tax benefits from non-qualified stock option exercises.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Cash provided by financing activities for the nine months ended December 31, 2007 was $86.9 million. In addition to the $78.6 million of net proceeds from our initial public offering, financing activities included $11.3 million in proceeds from our issuance of convertible debt, $1.9 million for proceeds received from stock option and warrant exercises, $0.8 million received in payments of shareholder note receivables and $1.2 million in deferred tax benefits from non-qualified stock option exercises. These were offset by $6.6 million for repayment of the revolving line of credit and 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net working capital as of December 31, 2008 was $77.3 million, consisting of $89.7 million in current assets and $12.4 million in current liabilities. Our net working capital as of March 31, 2008 was $104.3 million, consisting of $116.9 million in current assets and $12.6 million in current liabilities. At December 31, 2008, our accounts receivable balance increased from our prior fiscal year-end. We attribute this to our direct retail account customers holding onto cash at calendar year-end. During the first seven business days of January, we received collections of $3.8 million, or approximately 20% of our outstanding receivables balance at year-end. We believe that our receivables portfolio continues to remain sound and highly collectible. We are cognizant of the current liquidity and credit challenges in the economic environment and the high level of underwriting due diligence required as we review new customer opportunities. Our inventories have increased from our prior fiscal year-end as a result of our wireless Phase 2 initiative. The vast majorities of these components are assembled overseas and require longer delivery lead times. We attempt to maintain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6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existing cash and cash equivalents, our anticipated cash flows from operating activities and our borrowing capacity under our revolving credit facility will be sufficient to meet our anticipated cash needs for at least the remainder of fiscal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On March 18, 2008, we entered into a credit agreement to replace a previous agreement between us and Wells Fargo Bank, N.A. The credit agreement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provides for a revolving credit facility that matures on August 31, 2010. The initial maximum aggregate amount of availability under the line of credit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$25.0 million. We have a one-time option to increase the maximum aggregate amount of availability under the line of credit to up to $50.0 million, although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advance from the line of credit over $25.0 million is discretionary to Wells Fargo even if no event of default has occurred. Borrowings are limited to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percentage of eligible trade accounts receivables and inventories, less any borrowing base reserve that may be established from time to time. Borrowings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allowed under the line of credit as of December 31, 2008 were $20.2 million based upon available working capital, as defined. In December 2008, we briefly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drew $4.0 million on the line due to the timing of treasury repurchases and funds available in our operating account. As of December 31, 2008,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borrowings had been repaid and there was no balance due on the line of credit.</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must pay a fee of 0.20% on the average daily unused amount of the line of credit and fees upon the issuance of each letter of credit equal to 1.25% per annum of the principal amount thereof.</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the option to select the interest rate applicable to all or a portion of the outstanding principal balance under the line of credit either (i) at a fluctuating rate per annum one percent (1.00%) below the prime rate in effect from time to time, or (ii) at a fixed rate per annum determined by Wells Fargo to be one and one quarter percent (1.25%) above LIBOR.</w:t>
      </w:r>
    </w:p>
    <w:p>
      <w:pPr>
        <w:spacing w:after="0" w:line="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our revolving credit facility, we also have other existing long-term indebtedness and obligations under various debt instruments and capital lease obligations, including pursuant to a bank term note, a bank first mortgage, a debenture to a community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development organization, a federal block grant loan, two city industrial revolving loans and various capital leases and equipment purchase notes. As of December 31, 2008, the total amount of principal outstanding on these various obligations was $4.7 million. These obligations have varying maturity dates between 2010 and 2024 and bear interest at annual rates of between 2.0% and 16.2%. The weighted average annual interest rate of such obligations as of December 31, 2008 was 5.6%. Based on interest rates in effect as of December 31, 2008, we expect that our total debt service payments on such remaining obligations for fiscal 2009, including scheduled principal, lease and interest payments, will approximate $0.3 million. As of December 31, 2008, we were in compliance with all debt covenants,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17"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We expect to incur approximately $1.2 million in capital expenditures during the remainder of fiscal 2009 to complete our new technology center and other improvements at our manufacturing facility. We also plan to incur $0.5 million in capital expenditures to expand and improve our ERP systems. Our capital spending plans predominantly consist of the completion of projects that have been in place for several months and for which we have already invested significant capital. We consider the completion of our ERP systems critical to our long-term success and our ability to ensure a strong control environment over financial reporting and operations. We expect to finance the technology center and manufacturing improvement expenditures primarily through equipment secured loans and leases, long-term debt financing, using cash on hand or by using our available capacity under our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our long-term contractual obligations as of December 31, 2008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680" w:type="dxa"/>
            <w:vAlign w:val="bottom"/>
            <w:vMerge w:val="restart"/>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Less than 1</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1-3 Years</w:t>
            </w:r>
          </w:p>
        </w:tc>
        <w:tc>
          <w:tcPr>
            <w:tcW w:w="680" w:type="dxa"/>
            <w:vAlign w:val="bottom"/>
            <w:vMerge w:val="restart"/>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3-5 Years</w:t>
            </w:r>
          </w:p>
        </w:tc>
        <w:tc>
          <w:tcPr>
            <w:tcW w:w="340" w:type="dxa"/>
            <w:vAlign w:val="bottom"/>
            <w:vMerge w:val="restart"/>
          </w:tcPr>
          <w:p>
            <w:pPr>
              <w:spacing w:after="0"/>
              <w:rPr>
                <w:sz w:val="14"/>
                <w:szCs w:val="14"/>
                <w:color w:val="auto"/>
              </w:rPr>
            </w:pPr>
          </w:p>
        </w:tc>
        <w:tc>
          <w:tcPr>
            <w:tcW w:w="1200" w:type="dxa"/>
            <w:vAlign w:val="bottom"/>
            <w:gridSpan w:val="4"/>
          </w:tcPr>
          <w:p>
            <w:pPr>
              <w:ind w:left="340"/>
              <w:spacing w:after="0"/>
              <w:rPr>
                <w:sz w:val="20"/>
                <w:szCs w:val="20"/>
                <w:color w:val="auto"/>
              </w:rPr>
            </w:pPr>
            <w:r>
              <w:rPr>
                <w:rFonts w:ascii="Arial" w:cs="Arial" w:eastAsia="Arial" w:hAnsi="Arial"/>
                <w:sz w:val="14"/>
                <w:szCs w:val="14"/>
                <w:b w:val="1"/>
                <w:bCs w:val="1"/>
                <w:color w:val="auto"/>
              </w:rPr>
              <w:t>More than 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Year</w:t>
            </w:r>
          </w:p>
        </w:tc>
        <w:tc>
          <w:tcPr>
            <w:tcW w:w="680" w:type="dxa"/>
            <w:vAlign w:val="bottom"/>
          </w:tcPr>
          <w:p>
            <w:pPr>
              <w:spacing w:after="0"/>
              <w:rPr>
                <w:sz w:val="14"/>
                <w:szCs w:val="14"/>
                <w:color w:val="auto"/>
              </w:rPr>
            </w:pPr>
          </w:p>
        </w:tc>
        <w:tc>
          <w:tcPr>
            <w:tcW w:w="660" w:type="dxa"/>
            <w:vAlign w:val="bottom"/>
            <w:tcBorders>
              <w:bottom w:val="single" w:sz="8" w:color="auto"/>
            </w:tcBorders>
            <w:gridSpan w:val="2"/>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4,681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868</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Cash interest payments on debt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1,198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366</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236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3,166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1,075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Purchase order and cap-ex commitments (1)</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5,457</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4,282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1,175</w:t>
            </w:r>
          </w:p>
        </w:tc>
        <w:tc>
          <w:tcPr>
            <w:tcW w:w="1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14,502</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2,115</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86" w:lineRule="auto"/>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Reflects non-cancellable purchase order commitment in the amount of $3.8 million for certain inventory items entered into in order to secure better pricing and ensure materials on hand and capital expenditure commitments in the amount of $1.7 million for construction of the new technology center at our Manitowoc facility, improvements to information technology systems and manufacturing equipment and tooling.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2008. There have been no material changes in any of our accounting policies since March 31, 2008.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2008. There have been no material changes to such exposures since March 31,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December 31, 2008 pursuant to Rule 13a-15(b) of the Securities Exchange Act of 1934 (the “Exchange Act”). Based upon their evaluation, our Chief Executive Officer and our Chief Financial Officer concluded that our disclosure controls and procedures were effective as of the end of the quarter ended December 31, 2008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quarter ended December 31, 2008 that has materially affected, or is reasonably likely to materially affect, our internal control over financial reporting.</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This quarterly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us, several of our officers, all members of our then existing board of directors, and certain underwriters from our December 2007 initial public offering. The plaintiffs claim to represent certain persons who purchased shares of our common stock from December 18, 2007 through February 6, 2008. The plaintiffs allege, among other things, that the defendants made misstatements and failed to disclose material information in our registration statement and prospectus for our initial public offering. The complaints allege various claims under the Securities Act of 1933, as amended. The complaints seek, among other relief, class certification, unspecified damages, fees, and such other relief as the court may deem just and proper.</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director and officer defendants filed a brief in support of the motion to dismiss the consolidated complaint. On November 13, 2008, the lead plaintiff filed a brief in opposition to the motion to dismiss. On December 15, 2008, we and the other director and officer defendants, filed a reply brief in support of their motion to dismiss. Having been fully briefed, the motion to dismiss is awaiting the court’s review and decision.</w:t>
      </w:r>
    </w:p>
    <w:p>
      <w:pPr>
        <w:spacing w:after="0" w:line="8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believe that we and the other defendants have substantial legal and factual defenses to the claims and allegations contained in the consolidated complaint, and we intend to pursue these defenses vigorously. There can be no assurance, however, that we will be successful, and an adverse resolution of the lawsuit could have a material adverse effect on our consolidated financial position, results of operations and cash flow. In addition, although we carry insurance for these types of claims, a judgment significantly in excess of our insurance coverage could materially and adversely affect our financial condition, results of operations and cash flows. We are not presently able to reasonably estimate potential losses, if any, related to the lawsuit.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(b) Use of Proceeds</w:t>
      </w:r>
    </w:p>
    <w:p>
      <w:pPr>
        <w:ind w:right="140"/>
        <w:spacing w:after="0" w:line="293" w:lineRule="auto"/>
        <w:rPr>
          <w:sz w:val="20"/>
          <w:szCs w:val="20"/>
          <w:color w:val="auto"/>
        </w:rPr>
      </w:pPr>
      <w:r>
        <w:rPr>
          <w:rFonts w:ascii="Arial" w:cs="Arial" w:eastAsia="Arial" w:hAnsi="Arial"/>
          <w:sz w:val="16"/>
          <w:szCs w:val="16"/>
          <w:color w:val="auto"/>
        </w:rPr>
        <w:t>Our IPO was declared effective by the SEC on December 18, 2007. The net offering proceeds received by us, after deducting underwriting discounts and commissions and expenses incurred in connection with the offering, were approximately $78.6 million. Through December 31, 2008, approximately $29.7 million of the proceeds from our IPO have been used to fund operations of our business and for general corporate purposes, including $22.4 million used for the repurchase of common shares. The remainder of the net proceeds from the IPO are invested in short-term investment grade securities, bank certificate of deposits, commercial paper and money market accounts. Other than for our share repurchases, there has been no material change in the planned use of proceeds from our IPO as described in our final prospectus filed with the SEC on December 18, 2007 pursuant to Rule 424(b).</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Statistical Data</w:t>
      </w:r>
    </w:p>
    <w:p>
      <w:pPr>
        <w:spacing w:after="0" w:line="121"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The following table presents certain statistical data, cumulative from December 1, 2001 through December 31, 2008,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4"/>
              </w:rPr>
              <w:t>Cumulative From</w:t>
            </w:r>
          </w:p>
        </w:tc>
      </w:tr>
      <w:tr>
        <w:trPr>
          <w:trHeight w:val="149"/>
        </w:trPr>
        <w:tc>
          <w:tcPr>
            <w:tcW w:w="934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1, 2001</w:t>
            </w:r>
          </w:p>
        </w:tc>
      </w:tr>
      <w:tr>
        <w:trPr>
          <w:trHeight w:val="171"/>
        </w:trPr>
        <w:tc>
          <w:tcPr>
            <w:tcW w:w="934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Through December 31, 2008</w:t>
            </w:r>
          </w:p>
        </w:tc>
      </w:tr>
      <w:tr>
        <w:trPr>
          <w:trHeight w:val="142"/>
        </w:trPr>
        <w:tc>
          <w:tcPr>
            <w:tcW w:w="934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unaudited)</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1,419</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1,825</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423</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6,683,363</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  514,619</w:t>
            </w:r>
          </w:p>
        </w:tc>
      </w:tr>
      <w:tr>
        <w:trPr>
          <w:trHeight w:val="216"/>
        </w:trPr>
        <w:tc>
          <w:tcPr>
            <w:tcW w:w="934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2080" w:type="dxa"/>
            <w:vAlign w:val="bottom"/>
          </w:tcPr>
          <w:p>
            <w:pPr>
              <w:jc w:val="right"/>
              <w:ind w:right="597"/>
              <w:spacing w:after="0"/>
              <w:rPr>
                <w:sz w:val="20"/>
                <w:szCs w:val="20"/>
                <w:color w:val="auto"/>
              </w:rPr>
            </w:pPr>
            <w:r>
              <w:rPr>
                <w:rFonts w:ascii="Arial" w:cs="Arial" w:eastAsia="Arial" w:hAnsi="Arial"/>
                <w:sz w:val="18"/>
                <w:szCs w:val="18"/>
                <w:color w:val="auto"/>
              </w:rPr>
              <w:t>4,389</w:t>
            </w:r>
          </w:p>
        </w:tc>
      </w:tr>
      <w:tr>
        <w:trPr>
          <w:trHeight w:val="216"/>
        </w:trPr>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2080" w:type="dxa"/>
            <w:vAlign w:val="bottom"/>
            <w:shd w:val="clear" w:color="auto" w:fill="CCEEFF"/>
          </w:tcPr>
          <w:p>
            <w:pPr>
              <w:jc w:val="right"/>
              <w:ind w:right="597"/>
              <w:spacing w:after="0"/>
              <w:rPr>
                <w:sz w:val="20"/>
                <w:szCs w:val="20"/>
                <w:color w:val="auto"/>
              </w:rPr>
            </w:pPr>
            <w:r>
              <w:rPr>
                <w:rFonts w:ascii="Arial" w:cs="Arial" w:eastAsia="Arial" w:hAnsi="Arial"/>
                <w:sz w:val="18"/>
                <w:szCs w:val="18"/>
                <w:color w:val="auto"/>
              </w:rPr>
              <w:t>725,679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“HIF lighting systems” includes all HIF units sold under the brand name “Compact Modular” and its predecessor, “Illuminator.”</w:t>
      </w:r>
    </w:p>
    <w:p>
      <w:pPr>
        <w:spacing w:after="0" w:line="76" w:lineRule="exact"/>
        <w:rPr>
          <w:rFonts w:ascii="Arial" w:cs="Arial" w:eastAsia="Arial" w:hAnsi="Arial"/>
          <w:sz w:val="18"/>
          <w:szCs w:val="18"/>
          <w:color w:val="auto"/>
        </w:rPr>
      </w:pPr>
    </w:p>
    <w:p>
      <w:pPr>
        <w:ind w:left="460" w:right="20" w:hanging="452"/>
        <w:spacing w:after="0" w:line="289"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1.68 million units).</w:t>
      </w:r>
    </w:p>
    <w:p>
      <w:pPr>
        <w:spacing w:after="0" w:line="18" w:lineRule="exact"/>
        <w:rPr>
          <w:rFonts w:ascii="Arial" w:cs="Arial" w:eastAsia="Arial" w:hAnsi="Arial"/>
          <w:sz w:val="16"/>
          <w:szCs w:val="16"/>
          <w:color w:val="auto"/>
        </w:rPr>
      </w:pPr>
    </w:p>
    <w:p>
      <w:pPr>
        <w:ind w:left="460" w:right="40" w:hanging="452"/>
        <w:spacing w:after="0" w:line="306"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1" w:lineRule="exact"/>
        <w:rPr>
          <w:rFonts w:ascii="Arial" w:cs="Arial" w:eastAsia="Arial" w:hAnsi="Arial"/>
          <w:sz w:val="17"/>
          <w:szCs w:val="17"/>
          <w:color w:val="auto"/>
        </w:rPr>
      </w:pPr>
    </w:p>
    <w:p>
      <w:pPr>
        <w:ind w:left="460" w:right="1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calculate our customers’ electricity costs saved by multiplying the cumulative total customer kilowatt hours saved indicated in the table by $0.077 per kilowatt hour. The national average rate for 2007, which is the most current full year for which this information is available, was $0.091 per kilowatt hour according to the United States Energy Information Administration.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8" w:lineRule="exact"/>
        <w:rPr>
          <w:sz w:val="20"/>
          <w:szCs w:val="20"/>
          <w:color w:val="auto"/>
        </w:rPr>
      </w:pPr>
    </w:p>
    <w:p>
      <w:pPr>
        <w:ind w:left="460" w:right="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1.825 million total units sold, which contain a total of approximately 9.1 million lamps. Each lamp illuminates approximately 75 square feet. The majority of our installed fixtures contain six lamps and typically illuminate approximately 450 square feet.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Agreement</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4, 2009, the Company entered into an Executive Employment and Severance Agreement (the “Employment Agreement”), the general content of which was previously disclosed by the Company in its Registration Statement on Form S-1 (Reg. No. 333-145569), with Patricia A. Verfuerth. The terms and conditions of the Employment Agreement are the same as the terms and conditions of the employment agreements that that Company entered into with executive officers in February 2008, as disclosed in the Company’s Current Report on Form 8-K dated February 15, 2008, except that (i) Ms. Verfuerth’s position will continue to be Vice President of Operations; (ii) her base salary for the Company’s fiscal year ending March 31, 2009 will continue to be her existing base salary of $175,000, subject to potential increase by the Board of Directors from time to time thereafter; (iii) her renewal period will be one year; and (iv) her severance multipliers will be one-half and one prior to and after, respectively, a “Change of Control” (as defined in the Employment Agreement).</w:t>
      </w:r>
    </w:p>
    <w:p>
      <w:pPr>
        <w:spacing w:after="0" w:line="5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foregoing description of the Employment Agreement is qualified in its entirety by reference to the full text of the Employment Agreement, a copy of which is filed herewith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10.1  Executive Employment and Severance Agreement, dated February 4, 2009, by and between Orion Energy Systems, Inc. and Patricia A.</w:t>
      </w:r>
    </w:p>
    <w:p>
      <w:pPr>
        <w:spacing w:after="0" w:line="3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Verfuerth.</w:t>
      </w:r>
    </w:p>
    <w:p>
      <w:pPr>
        <w:spacing w:after="0" w:line="116" w:lineRule="exact"/>
        <w:rPr>
          <w:sz w:val="20"/>
          <w:szCs w:val="20"/>
          <w:color w:val="auto"/>
        </w:rPr>
      </w:pPr>
    </w:p>
    <w:p>
      <w:pPr>
        <w:ind w:left="900" w:right="360" w:hanging="445"/>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76" w:lineRule="exact"/>
        <w:rPr>
          <w:sz w:val="20"/>
          <w:szCs w:val="20"/>
          <w:color w:val="auto"/>
        </w:rPr>
      </w:pPr>
    </w:p>
    <w:p>
      <w:pPr>
        <w:ind w:left="900" w:right="420" w:hanging="445"/>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76" w:lineRule="exact"/>
        <w:rPr>
          <w:sz w:val="20"/>
          <w:szCs w:val="20"/>
          <w:color w:val="auto"/>
        </w:rPr>
      </w:pPr>
    </w:p>
    <w:p>
      <w:pPr>
        <w:ind w:left="900" w:right="180" w:hanging="445"/>
        <w:spacing w:after="0" w:line="342" w:lineRule="auto"/>
        <w:rPr>
          <w:sz w:val="20"/>
          <w:szCs w:val="20"/>
          <w:color w:val="auto"/>
        </w:rPr>
      </w:pPr>
      <w:r>
        <w:rPr>
          <w:rFonts w:ascii="Arial" w:cs="Arial" w:eastAsia="Arial" w:hAnsi="Arial"/>
          <w:sz w:val="16"/>
          <w:szCs w:val="16"/>
          <w:color w:val="auto"/>
        </w:rPr>
        <w:t>32.1 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29" w:lineRule="exact"/>
        <w:rPr>
          <w:sz w:val="20"/>
          <w:szCs w:val="20"/>
          <w:color w:val="auto"/>
        </w:rPr>
      </w:pPr>
    </w:p>
    <w:p>
      <w:pPr>
        <w:ind w:left="900" w:right="220" w:hanging="445"/>
        <w:spacing w:after="0" w:line="342" w:lineRule="auto"/>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February 9, 2009.</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Scott R. Jensen</w:t>
      </w:r>
    </w:p>
    <w:p>
      <w:pPr>
        <w:spacing w:after="0" w:line="36"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-130175</wp:posOffset>
            </wp:positionV>
            <wp:extent cx="25298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Exhibit Index to Form 10-Q for the Period Ended December 31, 2008</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10.1 Executive Employment and Severance Agreement, dated February 4, 2009, by and between Orion Energy Systems, Inc. and Patricia A. Verfuerth.</w:t>
      </w:r>
    </w:p>
    <w:p>
      <w:pPr>
        <w:spacing w:after="0" w:line="140" w:lineRule="exact"/>
        <w:rPr>
          <w:sz w:val="20"/>
          <w:szCs w:val="20"/>
          <w:color w:val="auto"/>
        </w:rPr>
      </w:pPr>
    </w:p>
    <w:p>
      <w:pPr>
        <w:ind w:left="440" w:hanging="431"/>
        <w:spacing w:after="0" w:line="277" w:lineRule="auto"/>
        <w:rPr>
          <w:sz w:val="20"/>
          <w:szCs w:val="20"/>
          <w:color w:val="auto"/>
        </w:rPr>
      </w:pPr>
      <w:r>
        <w:rPr>
          <w:rFonts w:ascii="Arial" w:cs="Arial" w:eastAsia="Arial" w:hAnsi="Arial"/>
          <w:sz w:val="18"/>
          <w:szCs w:val="18"/>
          <w:color w:val="auto"/>
        </w:rPr>
        <w:t>31.1 Certification of Chief Executive Officer of Orion Energy Systems, Inc. pursuant to Rule 13a-14(a) or Rule 15d-14(a) promulgated under the Securities Exchange Act of 1934, as amended.</w:t>
      </w:r>
    </w:p>
    <w:p>
      <w:pPr>
        <w:spacing w:after="0" w:line="62" w:lineRule="exact"/>
        <w:rPr>
          <w:sz w:val="20"/>
          <w:szCs w:val="20"/>
          <w:color w:val="auto"/>
        </w:rPr>
      </w:pPr>
    </w:p>
    <w:p>
      <w:pPr>
        <w:ind w:left="440" w:right="60" w:hanging="431"/>
        <w:spacing w:after="0" w:line="277" w:lineRule="auto"/>
        <w:rPr>
          <w:sz w:val="20"/>
          <w:szCs w:val="20"/>
          <w:color w:val="auto"/>
        </w:rPr>
      </w:pPr>
      <w:r>
        <w:rPr>
          <w:rFonts w:ascii="Arial" w:cs="Arial" w:eastAsia="Arial" w:hAnsi="Arial"/>
          <w:sz w:val="18"/>
          <w:szCs w:val="18"/>
          <w:color w:val="auto"/>
        </w:rPr>
        <w:t>31.2 Certification of Chief Financial Officer of Orion Energy Systems, Inc. pursuant to Rule 13a-14(a) or Rule 15d-14(a) promulgated under the Securities Exchange Act of 1934, as amended.</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of Chief Executive Officer of Orion Energy Systems, Inc. pursuant to Rule 13a-14(b) promulgated under the Securities Exchange Act of</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1934, as amended, and 18 U.S.C. Section 1350, 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of Chief Financial Officer of Orion Energy Systems, Inc. pursuant to Rule 13a-14(b) promulgated under the Securities Exchange Act of</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1934, as amended, and 18 U.S.C. Section 1350, as adopted pursuant to Section 906 of the Sarbanes-Oxley Act of 2002.</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19"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7"/>
          <w:szCs w:val="17"/>
          <w:u w:val="single" w:color="auto"/>
          <w:color w:val="auto"/>
        </w:rPr>
        <w:t>EXECUTION COPY</w:t>
      </w:r>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Name of Executive: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Position: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Patricia A. Verfuerth</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Operations</w:t>
      </w:r>
    </w:p>
    <w:p>
      <w:pPr>
        <w:spacing w:after="0" w:line="222"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Fiscal Year 2009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$175,000</w:t>
      </w:r>
    </w:p>
    <w:p>
      <w:pPr>
        <w:spacing w:after="0" w:line="200"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Initial Term: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Renewal Periods 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Renewal Period is: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through March 31,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Year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Year</w:t>
      </w:r>
    </w:p>
    <w:p>
      <w:pPr>
        <w:spacing w:after="0" w:line="200"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Severance Multiplier 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Post-Change of Control Severance Multiplier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0.5x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1x</w:t>
      </w:r>
    </w:p>
    <w:p>
      <w:pPr>
        <w:spacing w:after="0" w:line="200" w:lineRule="exact"/>
        <w:rPr>
          <w:sz w:val="20"/>
          <w:szCs w:val="20"/>
          <w:color w:val="auto"/>
        </w:rPr>
      </w:pPr>
    </w:p>
    <w:p>
      <w:pPr>
        <w:sectPr>
          <w:pgSz w:w="11900" w:h="16838" w:orient="portrait"/>
          <w:cols w:equalWidth="0" w:num="2">
            <w:col w:w="4200" w:space="720"/>
            <w:col w:w="6500"/>
          </w:cols>
          <w:pgMar w:left="240" w:top="121" w:right="239" w:bottom="1440" w:gutter="0" w:footer="0" w:header="0"/>
          <w:type w:val="continuous"/>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EMPLOYMENT AND SEVERANCE AGREEMENT</w:t>
      </w:r>
    </w:p>
    <w:p>
      <w:pPr>
        <w:spacing w:after="0" w:line="121" w:lineRule="exact"/>
        <w:rPr>
          <w:sz w:val="20"/>
          <w:szCs w:val="20"/>
          <w:color w:val="auto"/>
        </w:rPr>
      </w:pPr>
    </w:p>
    <w:p>
      <w:pPr>
        <w:ind w:right="140" w:firstLine="447"/>
        <w:spacing w:after="0" w:line="277" w:lineRule="auto"/>
        <w:rPr>
          <w:sz w:val="20"/>
          <w:szCs w:val="20"/>
          <w:color w:val="auto"/>
        </w:rPr>
      </w:pPr>
      <w:r>
        <w:rPr>
          <w:rFonts w:ascii="Arial" w:cs="Arial" w:eastAsia="Arial" w:hAnsi="Arial"/>
          <w:sz w:val="18"/>
          <w:szCs w:val="18"/>
          <w:color w:val="auto"/>
        </w:rPr>
        <w:t>This Agreement (“Agreement”) is between the Executive named above (“Executive”), on the one hand, and Orion Energy Systems, Inc. (“Orion” and, together with its subsidiaries, the “Company”), on the other.</w:t>
      </w:r>
    </w:p>
    <w:p>
      <w:pPr>
        <w:spacing w:after="0" w:line="58" w:lineRule="exact"/>
        <w:rPr>
          <w:sz w:val="20"/>
          <w:szCs w:val="20"/>
          <w:color w:val="auto"/>
        </w:rPr>
      </w:pPr>
    </w:p>
    <w:p>
      <w:pPr>
        <w:ind w:right="180" w:firstLine="45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employed by Orion in a key employee capacity and the Executive’s services are valuable to the conduct of the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w:t>
      </w:r>
    </w:p>
    <w:p>
      <w:pPr>
        <w:spacing w:after="0" w:line="54" w:lineRule="exact"/>
        <w:rPr>
          <w:sz w:val="20"/>
          <w:szCs w:val="20"/>
          <w:color w:val="auto"/>
        </w:rPr>
      </w:pPr>
    </w:p>
    <w:p>
      <w:pPr>
        <w:ind w:right="240" w:firstLine="45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Orion and Executive desire to specify the terms and conditions on which Executive will continue employment on and after the date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common stock is first sold to the public pursuant to an effective registration statement filed under the Securities Act of 1933, as amended (the “IPO”), and under which Executive will receive severance in the event that Executive separates from service with the Company;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parties agree as follows:</w:t>
      </w:r>
    </w:p>
    <w:p>
      <w:pPr>
        <w:spacing w:after="0" w:line="117" w:lineRule="exact"/>
        <w:rPr>
          <w:sz w:val="20"/>
          <w:szCs w:val="20"/>
          <w:color w:val="auto"/>
        </w:rPr>
      </w:pPr>
    </w:p>
    <w:p>
      <w:pPr>
        <w:ind w:right="40" w:firstLine="458"/>
        <w:spacing w:after="0" w:line="255"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Effective Date; Term</w:t>
      </w:r>
      <w:r>
        <w:rPr>
          <w:rFonts w:ascii="Arial" w:cs="Arial" w:eastAsia="Arial" w:hAnsi="Arial"/>
          <w:sz w:val="18"/>
          <w:szCs w:val="18"/>
          <w:color w:val="auto"/>
        </w:rPr>
        <w:t>. This Agreement shall become effective on the date of the Company’s IPO and continue until the end of the initial term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 Thereafter, the Agreement shall renew automatically for successive renewal periods as set forth above unless and until either party provides written notice to the other party of the intent not to renew the Agreement at least ninety (90) days prior to the end of any term. Notwithstanding the foregoing, if a Change of Control occurs prior to the end of any term, the Agreement shall be automatically extended for the post- Change of Control renewal period set forth above beginning on the date of the Change of Control. Expiration of this Agreement will not affect the rights or obligations of the parties hereunder arising out of, or relating to, circumstances occurring prior to the expiration of this Agreement, which rights and obligations will survive the expiration of this Agreement.</w:t>
      </w:r>
    </w:p>
    <w:p>
      <w:pPr>
        <w:spacing w:after="0" w:line="81" w:lineRule="exact"/>
        <w:rPr>
          <w:rFonts w:ascii="Arial" w:cs="Arial" w:eastAsia="Arial" w:hAnsi="Arial"/>
          <w:sz w:val="18"/>
          <w:szCs w:val="18"/>
          <w:color w:val="auto"/>
        </w:rPr>
      </w:pPr>
    </w:p>
    <w:p>
      <w:pPr>
        <w:ind w:left="640" w:hanging="182"/>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For purposes of this Agreement, the following terms shall have the meanings ascribed to them:</w:t>
      </w:r>
    </w:p>
    <w:p>
      <w:pPr>
        <w:spacing w:after="0" w:line="117" w:lineRule="exact"/>
        <w:rPr>
          <w:rFonts w:ascii="Arial" w:cs="Arial" w:eastAsia="Arial" w:hAnsi="Arial"/>
          <w:sz w:val="18"/>
          <w:szCs w:val="18"/>
          <w:color w:val="auto"/>
        </w:rPr>
      </w:pPr>
    </w:p>
    <w:p>
      <w:pPr>
        <w:ind w:left="240" w:right="800" w:firstLine="221"/>
        <w:spacing w:after="0" w:line="282" w:lineRule="auto"/>
        <w:tabs>
          <w:tab w:leader="none" w:pos="710" w:val="left"/>
        </w:tabs>
        <w:numPr>
          <w:ilvl w:val="1"/>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Benefits</w:t>
      </w:r>
      <w:r>
        <w:rPr>
          <w:rFonts w:ascii="Arial" w:cs="Arial" w:eastAsia="Arial" w:hAnsi="Arial"/>
          <w:sz w:val="18"/>
          <w:szCs w:val="18"/>
          <w:color w:val="auto"/>
        </w:rPr>
        <w:t>” shall mean the following amounts, payable as described herein: (i) all base salary for the time period ending with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ind w:left="4" w:right="20" w:hanging="4"/>
        <w:spacing w:after="0" w:line="254" w:lineRule="auto"/>
        <w:tabs>
          <w:tab w:leader="none" w:pos="269" w:val="left"/>
        </w:tabs>
        <w:numPr>
          <w:ilvl w:val="0"/>
          <w:numId w:val="9"/>
        </w:numPr>
        <w:rPr>
          <w:rFonts w:ascii="Arial" w:cs="Arial" w:eastAsia="Arial" w:hAnsi="Arial"/>
          <w:sz w:val="18"/>
          <w:szCs w:val="18"/>
          <w:color w:val="auto"/>
        </w:rPr>
      </w:pPr>
      <w:r>
        <w:rPr>
          <w:rFonts w:ascii="Arial" w:cs="Arial" w:eastAsia="Arial" w:hAnsi="Arial"/>
          <w:sz w:val="18"/>
          <w:szCs w:val="18"/>
          <w:color w:val="auto"/>
        </w:rPr>
        <w:t>reimbursement for any and all monies advanced in connection with the Executive’s employment for reasonable and necessary expenses incurred by the Executive on behalf of the Company for the time period ending with the Termination Date; (iii) any and all other cash earned through the Termination Date and deferred at the election of the Executive or pursuant to any deferred compensation plan then in effect; and (iv) all other payments and benefits to which the Executive (or in the event of the Executive’s death, the Executive’s surviving spouse or other beneficiary), including those provided pursuant to Exhibit A, is entitled on the Termination Date under the terms of any benefit plan of the Company, excluding severance payments under any Company severance policy, practice or agreement in effect on the Termination Date. Payment of Accrued Benefits shall be made promptly in accordance with the Company’s prevailing practice with respect to clauses (i) and (ii) or, with respect to clauses (iii) and (iv), pursuant to the terms of the benefit plan or practice establishing such benefits.</w:t>
      </w:r>
    </w:p>
    <w:p>
      <w:pPr>
        <w:spacing w:after="0" w:line="80" w:lineRule="exact"/>
        <w:rPr>
          <w:rFonts w:ascii="Arial" w:cs="Arial" w:eastAsia="Arial" w:hAnsi="Arial"/>
          <w:sz w:val="18"/>
          <w:szCs w:val="18"/>
          <w:color w:val="auto"/>
        </w:rPr>
      </w:pPr>
    </w:p>
    <w:p>
      <w:pPr>
        <w:ind w:left="484" w:hanging="259"/>
        <w:spacing w:after="0"/>
        <w:tabs>
          <w:tab w:leader="none" w:pos="48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Salary</w:t>
      </w:r>
      <w:r>
        <w:rPr>
          <w:rFonts w:ascii="Arial" w:cs="Arial" w:eastAsia="Arial" w:hAnsi="Arial"/>
          <w:sz w:val="18"/>
          <w:szCs w:val="18"/>
          <w:color w:val="auto"/>
        </w:rPr>
        <w:t>” shall mean the Executive’s annual base salary with the Company as in effect from time to time.</w:t>
      </w:r>
    </w:p>
    <w:p>
      <w:pPr>
        <w:spacing w:after="0" w:line="117" w:lineRule="exact"/>
        <w:rPr>
          <w:rFonts w:ascii="Arial" w:cs="Arial" w:eastAsia="Arial" w:hAnsi="Arial"/>
          <w:sz w:val="18"/>
          <w:szCs w:val="18"/>
          <w:color w:val="auto"/>
        </w:rPr>
      </w:pPr>
    </w:p>
    <w:p>
      <w:pPr>
        <w:ind w:left="4" w:right="80" w:firstLine="221"/>
        <w:spacing w:after="0" w:line="282" w:lineRule="auto"/>
        <w:tabs>
          <w:tab w:leader="none" w:pos="47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Orion or a committee of such Board authorized to act on its behalf in certain circumstances, including the Compensation Committee of the Board.</w:t>
      </w:r>
    </w:p>
    <w:p>
      <w:pPr>
        <w:spacing w:after="0" w:line="53" w:lineRule="exact"/>
        <w:rPr>
          <w:rFonts w:ascii="Arial" w:cs="Arial" w:eastAsia="Arial" w:hAnsi="Arial"/>
          <w:sz w:val="18"/>
          <w:szCs w:val="18"/>
          <w:color w:val="auto"/>
        </w:rPr>
      </w:pPr>
    </w:p>
    <w:p>
      <w:pPr>
        <w:ind w:left="4" w:right="40" w:firstLine="221"/>
        <w:spacing w:after="0" w:line="273" w:lineRule="auto"/>
        <w:tabs>
          <w:tab w:leader="none" w:pos="484" w:val="left"/>
        </w:tabs>
        <w:numPr>
          <w:ilvl w:val="1"/>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Cause</w:t>
      </w:r>
      <w:r>
        <w:rPr>
          <w:rFonts w:ascii="Arial" w:cs="Arial" w:eastAsia="Arial" w:hAnsi="Arial"/>
          <w:sz w:val="17"/>
          <w:szCs w:val="17"/>
          <w:color w:val="auto"/>
        </w:rPr>
        <w:t>” shall mean a good faith finding by the Board that Executive has (i) failed, neglected, or refused to perform the lawful employment duties related to his or her position or as from time to time assigned to him (other than due to Disability); (ii) committed any willful, intentional, or grossly negligent act having the effect of materially injuring the interest, business, or reputation of the Company; (iii) violated or failed to comply in any material respect with the Company’s published rules, regulations, or policies, as in effect or amended from time to time; (iv) committed an act constituting a felony or misdemeanor involving moral turpitude, fraud, theft, or dishonesty; (v) misappropriated or embezzled any property of the Company (whether or not an act constituting a felony or misdemeanor); or (vi) breached any material provision of this Agreement or any other applicable confidentiality, non-compete, non-solicit, general release, covenant not-to-sue, or other agreement with the Company.</w:t>
      </w:r>
    </w:p>
    <w:p>
      <w:pPr>
        <w:spacing w:after="0" w:line="64" w:lineRule="exact"/>
        <w:rPr>
          <w:rFonts w:ascii="Arial" w:cs="Arial" w:eastAsia="Arial" w:hAnsi="Arial"/>
          <w:sz w:val="17"/>
          <w:szCs w:val="17"/>
          <w:color w:val="auto"/>
        </w:rPr>
      </w:pPr>
    </w:p>
    <w:p>
      <w:pPr>
        <w:ind w:left="464" w:hanging="239"/>
        <w:spacing w:after="0"/>
        <w:tabs>
          <w:tab w:leader="none" w:pos="464" w:val="left"/>
        </w:tabs>
        <w:numPr>
          <w:ilvl w:val="1"/>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and be limited to any of the following:</w:t>
      </w:r>
    </w:p>
    <w:p>
      <w:pPr>
        <w:spacing w:after="0" w:line="121" w:lineRule="exact"/>
        <w:rPr>
          <w:rFonts w:ascii="Arial" w:cs="Arial" w:eastAsia="Arial" w:hAnsi="Arial"/>
          <w:sz w:val="18"/>
          <w:szCs w:val="18"/>
          <w:color w:val="auto"/>
        </w:rPr>
      </w:pPr>
    </w:p>
    <w:p>
      <w:pPr>
        <w:ind w:left="224" w:firstLine="229"/>
        <w:spacing w:after="0" w:line="272" w:lineRule="auto"/>
        <w:tabs>
          <w:tab w:leader="none" w:pos="664" w:val="left"/>
        </w:tabs>
        <w:numPr>
          <w:ilvl w:val="2"/>
          <w:numId w:val="9"/>
        </w:numPr>
        <w:rPr>
          <w:rFonts w:ascii="Arial" w:cs="Arial" w:eastAsia="Arial" w:hAnsi="Arial"/>
          <w:sz w:val="17"/>
          <w:szCs w:val="17"/>
          <w:color w:val="auto"/>
        </w:rPr>
      </w:pPr>
      <w:r>
        <w:rPr>
          <w:rFonts w:ascii="Arial" w:cs="Arial" w:eastAsia="Arial" w:hAnsi="Arial"/>
          <w:sz w:val="17"/>
          <w:szCs w:val="17"/>
          <w:color w:val="auto"/>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151"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34" w:name="page35"/>
    <w:bookmarkEnd w:id="34"/>
    <w:p>
      <w:pPr>
        <w:ind w:right="60" w:firstLine="229"/>
        <w:spacing w:after="0" w:line="268" w:lineRule="auto"/>
        <w:tabs>
          <w:tab w:leader="none" w:pos="49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following individuals cease for any reason to constitute a majority of the number of directors of the Company then serving: (A) individuals who, on the IPO Date,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14a-11 of Regulation 14A under the Act) whose appointment or election by the Board or nomination for election by the Company’s shareholders was approved by a vote of at least two-thirds (2/3) of the directors then still in office who either were directors on the IPO Date, or whose appointment, election or nomination for election was previously so approved (collectively the “Continuing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individuals who are appointed to the Board pursuant to or in accordance with the terms of an agreement relating to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w:t>
      </w:r>
      <w:r>
        <w:rPr>
          <w:rFonts w:ascii="Arial" w:cs="Arial" w:eastAsia="Arial" w:hAnsi="Arial"/>
          <w:sz w:val="17"/>
          <w:szCs w:val="17"/>
          <w:i w:val="1"/>
          <w:iCs w:val="1"/>
          <w:color w:val="auto"/>
        </w:rPr>
        <w:t>and, provided further,</w:t>
      </w:r>
      <w:r>
        <w:rPr>
          <w:rFonts w:ascii="Arial" w:cs="Arial" w:eastAsia="Arial" w:hAnsi="Arial"/>
          <w:sz w:val="17"/>
          <w:szCs w:val="17"/>
          <w:color w:val="auto"/>
        </w:rPr>
        <w:t xml:space="preserve"> that in the event the failure of any such persons appointed to the Board to be Continuing Directors results in a Change of Control, the subsequent qualification of such persons as Continuing Directors shall not alter the fact that a Change of Control occurred; or</w:t>
      </w:r>
    </w:p>
    <w:p>
      <w:pPr>
        <w:spacing w:after="0" w:line="79" w:lineRule="exact"/>
        <w:rPr>
          <w:rFonts w:ascii="Arial" w:cs="Arial" w:eastAsia="Arial" w:hAnsi="Arial"/>
          <w:sz w:val="17"/>
          <w:szCs w:val="17"/>
          <w:color w:val="auto"/>
        </w:rPr>
      </w:pPr>
    </w:p>
    <w:p>
      <w:pPr>
        <w:ind w:firstLine="229"/>
        <w:spacing w:after="0" w:line="287" w:lineRule="auto"/>
        <w:tabs>
          <w:tab w:leader="none" w:pos="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fifty percent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IPO Date, pursuant to express authorization by the Board that refers to this exception) representing twenty percent (20%) or more of either the then outstanding shares of common stock of the Company or the combined voting power of the Company’s then outstanding voting securities; or</w:t>
      </w:r>
    </w:p>
    <w:p>
      <w:pPr>
        <w:spacing w:after="0" w:line="64" w:lineRule="exact"/>
        <w:rPr>
          <w:rFonts w:ascii="Arial" w:cs="Arial" w:eastAsia="Arial" w:hAnsi="Arial"/>
          <w:sz w:val="16"/>
          <w:szCs w:val="16"/>
          <w:color w:val="auto"/>
        </w:rPr>
      </w:pPr>
    </w:p>
    <w:p>
      <w:pPr>
        <w:ind w:right="360" w:firstLine="229"/>
        <w:spacing w:after="0" w:line="264" w:lineRule="auto"/>
        <w:tabs>
          <w:tab w:leader="none" w:pos="5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w:t>
      </w:r>
    </w:p>
    <w:p>
      <w:pPr>
        <w:spacing w:after="0" w:line="15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700" w:top="936" w:right="239" w:bottom="1440" w:gutter="0" w:footer="0" w:header="0"/>
        </w:sectPr>
      </w:pPr>
    </w:p>
    <w:bookmarkStart w:id="35" w:name="page36"/>
    <w:bookmarkEnd w:id="35"/>
    <w:p>
      <w:pPr>
        <w:ind w:left="460" w:right="140"/>
        <w:spacing w:after="0" w:line="264" w:lineRule="auto"/>
        <w:rPr>
          <w:sz w:val="20"/>
          <w:szCs w:val="20"/>
          <w:color w:val="auto"/>
        </w:rPr>
      </w:pPr>
      <w:r>
        <w:rPr>
          <w:rFonts w:ascii="Arial" w:cs="Arial" w:eastAsia="Arial" w:hAnsi="Arial"/>
          <w:sz w:val="18"/>
          <w:szCs w:val="18"/>
          <w:color w:val="auto"/>
        </w:rPr>
        <w:t>approval of the shareholders of the Company, other than a sale or disposition by the Company of all or substantially all of the Company’s assets to an entity at least seventy-five percent (75%) of the combined voting power of the voting securities of which are owned by Persons in substantially the same proportions as their ownership of the Company immediately prior to such sale.</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Notwithstanding the foregoing, no “Change of Control”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Section 2(e):</w:t>
      </w:r>
    </w:p>
    <w:p>
      <w:pPr>
        <w:spacing w:after="0" w:line="117" w:lineRule="exact"/>
        <w:rPr>
          <w:sz w:val="20"/>
          <w:szCs w:val="20"/>
          <w:color w:val="auto"/>
        </w:rPr>
      </w:pPr>
    </w:p>
    <w:p>
      <w:pPr>
        <w:ind w:left="460" w:right="160" w:firstLine="22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“Person” shall mean any individual, firm, partnership, corporation or other entity, including any successor (by merger or otherwise) of such entity, or a group of any of the foregoing acting in concert;</w:t>
      </w:r>
    </w:p>
    <w:p>
      <w:pPr>
        <w:spacing w:after="0" w:line="62" w:lineRule="exact"/>
        <w:rPr>
          <w:rFonts w:ascii="Arial" w:cs="Arial" w:eastAsia="Arial" w:hAnsi="Arial"/>
          <w:sz w:val="18"/>
          <w:szCs w:val="18"/>
          <w:color w:val="auto"/>
        </w:rPr>
      </w:pPr>
    </w:p>
    <w:p>
      <w:pPr>
        <w:ind w:left="460" w:right="660" w:firstLine="229"/>
        <w:spacing w:after="0" w:line="277" w:lineRule="auto"/>
        <w:tabs>
          <w:tab w:leader="none" w:pos="95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terms “Affiliate” and “Associate” shall have the respective meanings ascribed to such terms in Rule 12b-2 of the General Rules and Regulations of the Act;</w:t>
      </w:r>
    </w:p>
    <w:p>
      <w:pPr>
        <w:spacing w:after="0" w:line="62" w:lineRule="exact"/>
        <w:rPr>
          <w:rFonts w:ascii="Arial" w:cs="Arial" w:eastAsia="Arial" w:hAnsi="Arial"/>
          <w:sz w:val="18"/>
          <w:szCs w:val="18"/>
          <w:color w:val="auto"/>
        </w:rPr>
      </w:pPr>
    </w:p>
    <w:p>
      <w:pPr>
        <w:ind w:left="1000" w:hanging="31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term “Act” means the Securities Exchange Act of 1934, as amended; and</w:t>
      </w:r>
    </w:p>
    <w:p>
      <w:pPr>
        <w:spacing w:after="0" w:line="117" w:lineRule="exact"/>
        <w:rPr>
          <w:rFonts w:ascii="Arial" w:cs="Arial" w:eastAsia="Arial" w:hAnsi="Arial"/>
          <w:sz w:val="18"/>
          <w:szCs w:val="18"/>
          <w:color w:val="auto"/>
        </w:rPr>
      </w:pPr>
    </w:p>
    <w:p>
      <w:pPr>
        <w:ind w:left="1000" w:hanging="311"/>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Person shall be deemed to be the “Beneficial Owner” of any securities which:</w:t>
      </w:r>
    </w:p>
    <w:p>
      <w:pPr>
        <w:spacing w:after="0" w:line="117" w:lineRule="exact"/>
        <w:rPr>
          <w:rFonts w:ascii="Arial" w:cs="Arial" w:eastAsia="Arial" w:hAnsi="Arial"/>
          <w:sz w:val="18"/>
          <w:szCs w:val="18"/>
          <w:color w:val="auto"/>
        </w:rPr>
      </w:pPr>
    </w:p>
    <w:p>
      <w:pPr>
        <w:ind w:left="700" w:right="120" w:hanging="7"/>
        <w:spacing w:after="0" w:line="257" w:lineRule="auto"/>
        <w:tabs>
          <w:tab w:leader="none" w:pos="885"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 Person shall not be deemed the Beneficial Owner of, or to beneficially own, securities tendered pursuant to a tender or exchange offer made by or on behalf of such Person or any of such Person’s Affiliates or Associates until such tendered securities are accepted for purchase;</w:t>
      </w:r>
    </w:p>
    <w:p>
      <w:pPr>
        <w:spacing w:after="0" w:line="80" w:lineRule="exact"/>
        <w:rPr>
          <w:rFonts w:ascii="Arial" w:cs="Arial" w:eastAsia="Arial" w:hAnsi="Arial"/>
          <w:sz w:val="18"/>
          <w:szCs w:val="18"/>
          <w:color w:val="auto"/>
        </w:rPr>
      </w:pPr>
    </w:p>
    <w:p>
      <w:pPr>
        <w:ind w:left="700" w:hanging="7"/>
        <w:spacing w:after="0" w:line="286" w:lineRule="auto"/>
        <w:tabs>
          <w:tab w:leader="none" w:pos="895" w:val="left"/>
        </w:tabs>
        <w:numPr>
          <w:ilvl w:val="1"/>
          <w:numId w:val="11"/>
        </w:numPr>
        <w:rPr>
          <w:rFonts w:ascii="Arial" w:cs="Arial" w:eastAsia="Arial" w:hAnsi="Arial"/>
          <w:sz w:val="16"/>
          <w:szCs w:val="16"/>
          <w:color w:val="auto"/>
        </w:rPr>
      </w:pPr>
      <w:r>
        <w:rPr>
          <w:rFonts w:ascii="Arial" w:cs="Arial" w:eastAsia="Arial" w:hAnsi="Arial"/>
          <w:sz w:val="16"/>
          <w:szCs w:val="16"/>
          <w:color w:val="auto"/>
        </w:rPr>
        <w:t xml:space="preserve">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Person shall not be deemed the Beneficial Owner of, or to beneficially own, any security under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as a result of an agreement, arrangement or understanding to vote such security if the agreement, arrangement or understanding:</w:t>
      </w:r>
    </w:p>
    <w:p>
      <w:pPr>
        <w:spacing w:after="0" w:line="1" w:lineRule="exact"/>
        <w:rPr>
          <w:rFonts w:ascii="Arial" w:cs="Arial" w:eastAsia="Arial" w:hAnsi="Arial"/>
          <w:sz w:val="16"/>
          <w:szCs w:val="16"/>
          <w:color w:val="auto"/>
        </w:rPr>
      </w:pP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(A) arises solely from a revocable proxy or consent given to such Person in response to a public proxy or consent solicitation made pursuant to, and in accordance with, the applicable rules and regulations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6" w:name="page37"/>
    <w:bookmarkEnd w:id="36"/>
    <w:p>
      <w:pPr>
        <w:ind w:left="460"/>
        <w:spacing w:after="0"/>
        <w:rPr>
          <w:sz w:val="20"/>
          <w:szCs w:val="20"/>
          <w:color w:val="auto"/>
        </w:rPr>
      </w:pPr>
      <w:r>
        <w:rPr>
          <w:rFonts w:ascii="Arial" w:cs="Arial" w:eastAsia="Arial" w:hAnsi="Arial"/>
          <w:sz w:val="18"/>
          <w:szCs w:val="18"/>
          <w:color w:val="auto"/>
        </w:rPr>
        <w:t>under the Act and (B) is not also then reportable on a Schedule l3D under the Act (or any comparable or successor report); or</w:t>
      </w:r>
    </w:p>
    <w:p>
      <w:pPr>
        <w:spacing w:after="0" w:line="117" w:lineRule="exact"/>
        <w:rPr>
          <w:sz w:val="20"/>
          <w:szCs w:val="20"/>
          <w:color w:val="auto"/>
        </w:rPr>
      </w:pPr>
    </w:p>
    <w:p>
      <w:pPr>
        <w:ind w:left="460" w:hanging="7"/>
        <w:spacing w:after="0" w:line="291" w:lineRule="auto"/>
        <w:tabs>
          <w:tab w:leader="none" w:pos="645" w:val="left"/>
        </w:tabs>
        <w:numPr>
          <w:ilvl w:val="1"/>
          <w:numId w:val="12"/>
        </w:numPr>
        <w:rPr>
          <w:rFonts w:ascii="Arial" w:cs="Arial" w:eastAsia="Arial" w:hAnsi="Arial"/>
          <w:sz w:val="16"/>
          <w:szCs w:val="16"/>
          <w:color w:val="auto"/>
        </w:rPr>
      </w:pPr>
      <w:r>
        <w:rPr>
          <w:rFonts w:ascii="Arial" w:cs="Arial" w:eastAsia="Arial" w:hAnsi="Arial"/>
          <w:sz w:val="16"/>
          <w:szCs w:val="16"/>
          <w:color w:val="auto"/>
        </w:rPr>
        <w:t xml:space="preserve">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w:t>
      </w:r>
      <w:r>
        <w:rPr>
          <w:rFonts w:ascii="Arial" w:cs="Arial" w:eastAsia="Arial" w:hAnsi="Arial"/>
          <w:sz w:val="16"/>
          <w:szCs w:val="16"/>
          <w:u w:val="single" w:color="auto"/>
          <w:color w:val="auto"/>
        </w:rPr>
        <w:t>clause</w:t>
      </w:r>
    </w:p>
    <w:p>
      <w:pPr>
        <w:ind w:left="640" w:hanging="187"/>
        <w:spacing w:after="0"/>
        <w:tabs>
          <w:tab w:leader="none" w:pos="640" w:val="left"/>
        </w:tabs>
        <w:numPr>
          <w:ilvl w:val="1"/>
          <w:numId w:val="13"/>
        </w:numPr>
        <w:rPr>
          <w:rFonts w:ascii="Arial" w:cs="Arial" w:eastAsia="Arial" w:hAnsi="Arial"/>
          <w:sz w:val="18"/>
          <w:szCs w:val="18"/>
          <w:u w:val="single" w:color="auto"/>
          <w:color w:val="auto"/>
        </w:rPr>
      </w:pPr>
      <w:r>
        <w:rPr>
          <w:rFonts w:ascii="Arial" w:cs="Arial" w:eastAsia="Arial" w:hAnsi="Arial"/>
          <w:sz w:val="18"/>
          <w:szCs w:val="18"/>
          <w:color w:val="auto"/>
        </w:rPr>
        <w:t>above) or disposing of any voting securities of the Company.</w:t>
      </w:r>
    </w:p>
    <w:p>
      <w:pPr>
        <w:spacing w:after="0" w:line="98" w:lineRule="exact"/>
        <w:rPr>
          <w:rFonts w:ascii="Arial" w:cs="Arial" w:eastAsia="Arial" w:hAnsi="Arial"/>
          <w:sz w:val="18"/>
          <w:szCs w:val="18"/>
          <w:u w:val="single" w:color="auto"/>
          <w:color w:val="auto"/>
        </w:rPr>
      </w:pPr>
    </w:p>
    <w:p>
      <w:pPr>
        <w:ind w:left="440" w:hanging="219"/>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“COBRA” </w:t>
      </w:r>
      <w:r>
        <w:rPr>
          <w:rFonts w:ascii="Arial" w:cs="Arial" w:eastAsia="Arial" w:hAnsi="Arial"/>
          <w:sz w:val="18"/>
          <w:szCs w:val="18"/>
          <w:color w:val="auto"/>
        </w:rPr>
        <w:t>shall mean the provisions of Code Section 4980B.</w:t>
      </w:r>
    </w:p>
    <w:p>
      <w:pPr>
        <w:spacing w:after="0" w:line="117" w:lineRule="exact"/>
        <w:rPr>
          <w:rFonts w:ascii="Arial" w:cs="Arial" w:eastAsia="Arial" w:hAnsi="Arial"/>
          <w:sz w:val="18"/>
          <w:szCs w:val="18"/>
          <w:color w:val="auto"/>
        </w:rPr>
      </w:pPr>
    </w:p>
    <w:p>
      <w:pPr>
        <w:jc w:val="both"/>
        <w:ind w:right="80" w:firstLine="221"/>
        <w:spacing w:after="0" w:line="347" w:lineRule="auto"/>
        <w:tabs>
          <w:tab w:leader="none" w:pos="48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“Code” </w:t>
      </w:r>
      <w:r>
        <w:rPr>
          <w:rFonts w:ascii="Arial" w:cs="Arial" w:eastAsia="Arial" w:hAnsi="Arial"/>
          <w:sz w:val="16"/>
          <w:szCs w:val="16"/>
          <w:color w:val="auto"/>
        </w:rPr>
        <w:t>shall mean the Internal Revenue Code of 1986, as amended, as interpreted by rules and regulations issued pursuant thereto, all as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in effect from time to time. Any reference to a specific provision of the Code shall be deemed to include reference to any successor provision thereto.</w:t>
      </w:r>
    </w:p>
    <w:p>
      <w:pPr>
        <w:spacing w:after="0" w:line="8" w:lineRule="exact"/>
        <w:rPr>
          <w:rFonts w:ascii="Arial" w:cs="Arial" w:eastAsia="Arial" w:hAnsi="Arial"/>
          <w:sz w:val="16"/>
          <w:szCs w:val="16"/>
          <w:color w:val="auto"/>
        </w:rPr>
      </w:pPr>
    </w:p>
    <w:p>
      <w:pPr>
        <w:ind w:right="780" w:firstLine="221"/>
        <w:spacing w:after="0" w:line="282"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“Competitive Business Activity” </w:t>
      </w:r>
      <w:r>
        <w:rPr>
          <w:rFonts w:ascii="Arial" w:cs="Arial" w:eastAsia="Arial" w:hAnsi="Arial"/>
          <w:sz w:val="18"/>
          <w:szCs w:val="18"/>
          <w:color w:val="auto"/>
        </w:rPr>
        <w:t>shall mean the design and manufacture of lighting systems and controls for industrial, commercial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agricultural facilities.</w:t>
      </w:r>
    </w:p>
    <w:p>
      <w:pPr>
        <w:spacing w:after="0" w:line="53" w:lineRule="exact"/>
        <w:rPr>
          <w:rFonts w:ascii="Arial" w:cs="Arial" w:eastAsia="Arial" w:hAnsi="Arial"/>
          <w:sz w:val="18"/>
          <w:szCs w:val="18"/>
          <w:color w:val="auto"/>
        </w:rPr>
      </w:pPr>
    </w:p>
    <w:p>
      <w:pPr>
        <w:ind w:right="20" w:firstLine="221"/>
        <w:spacing w:after="0" w:line="291" w:lineRule="auto"/>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shall mean, subject to applicable law, a total and permanent disability consisting of a mental or physical disability which precludes the disabled Executive from performing the material and substantial duties of his employment. Payment of benefits for total disability under a disability insurance policy shall be conclusive as to the existence of total disability, although such payments are not required in order to establish total disability for purposes of this Agreement. The Executive has a “total and permanent disability” if he is precluded by mental or physical disability for 180 days during any twelve (12) month period. For purposes of this Agreement, an Executive shall be deemed totally and permanently disabled at the end of such 180th day. In case of a disagreement as to whether an Executive is totally and permanently disabled and, at the request of any party, the matter shall be submitted to arbitration as provided for herein, and judgment upon the award may be entered in any court having jurisdiction thereof. Any costs of such proceedings (including the reasonable legal fees of the prevailing party) shall be borne by the non-prevailing party to such arbitration.</w:t>
      </w:r>
    </w:p>
    <w:p>
      <w:pPr>
        <w:spacing w:after="0" w:line="52" w:lineRule="exact"/>
        <w:rPr>
          <w:rFonts w:ascii="Arial" w:cs="Arial" w:eastAsia="Arial" w:hAnsi="Arial"/>
          <w:sz w:val="16"/>
          <w:szCs w:val="16"/>
          <w:color w:val="auto"/>
        </w:rPr>
      </w:pPr>
    </w:p>
    <w:p>
      <w:pPr>
        <w:ind w:right="120" w:firstLine="221"/>
        <w:spacing w:after="0" w:line="255" w:lineRule="auto"/>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w:t>
      </w:r>
      <w:r>
        <w:rPr>
          <w:rFonts w:ascii="Arial" w:cs="Arial" w:eastAsia="Arial" w:hAnsi="Arial"/>
          <w:sz w:val="18"/>
          <w:szCs w:val="18"/>
          <w:color w:val="auto"/>
        </w:rPr>
        <w:t>shall mean a release of all claims that Executive, and anyone who may succeed to any claims of Executive, has or may have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Orion, its board of directors, any of its subsidiaries or affiliates, or any of their employees, directors, officers, employees, agents, plan sponsors, administrators, successors (including the Successor), fiduciaries, or attorneys, including but not limited to claims arising out of Executive’s employment with, and termination of employment from, the Company, but excluding claims for (i) severance payments and benefits due pursuant to this Agreement and (ii) any salary, bonus, equity, accrued vacation, expense reimbursement and other ordinary payments or benefits earned or otherwise due with respect to the period prior to the date of any Separation from Service. The General Release shall be in a form that is reasonably acceptable to the Company or the Board.</w:t>
      </w:r>
    </w:p>
    <w:p>
      <w:pPr>
        <w:spacing w:after="0" w:line="81" w:lineRule="exact"/>
        <w:rPr>
          <w:rFonts w:ascii="Arial" w:cs="Arial" w:eastAsia="Arial" w:hAnsi="Arial"/>
          <w:sz w:val="18"/>
          <w:szCs w:val="18"/>
          <w:color w:val="auto"/>
        </w:rPr>
      </w:pPr>
    </w:p>
    <w:p>
      <w:pPr>
        <w:ind w:right="260" w:firstLine="221"/>
        <w:spacing w:after="0" w:line="266" w:lineRule="auto"/>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shall mean the occurrence of any of the following without the consent of Executive: (i) a material diminution in the Executive’s Base Salary; (ii) a material diminution in the Executive’s authority, duties or responsibilities; (iii) a material diminution in the authority, duties or responsibilities of Neal Verfuerth;</w:t>
      </w:r>
    </w:p>
    <w:p>
      <w:pPr>
        <w:spacing w:after="0" w:line="15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7" w:name="page38"/>
    <w:bookmarkEnd w:id="37"/>
    <w:p>
      <w:pPr>
        <w:ind w:left="4" w:hanging="4"/>
        <w:spacing w:after="0" w:line="264" w:lineRule="auto"/>
        <w:tabs>
          <w:tab w:leader="none" w:pos="30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material diminution in the budget over which the Executive retains authority; (v) a material change in the geographic location at which the Executive must perform services; or (vi) a material breach by Orion of any provisions of this Agreement or any option agreement with the Company to which the Executive is a party.</w:t>
      </w:r>
    </w:p>
    <w:p>
      <w:pPr>
        <w:spacing w:after="0" w:line="69" w:lineRule="exact"/>
        <w:rPr>
          <w:rFonts w:ascii="Arial" w:cs="Arial" w:eastAsia="Arial" w:hAnsi="Arial"/>
          <w:sz w:val="18"/>
          <w:szCs w:val="18"/>
          <w:color w:val="auto"/>
        </w:rPr>
      </w:pPr>
    </w:p>
    <w:p>
      <w:pPr>
        <w:ind w:left="4" w:right="20" w:firstLine="221"/>
        <w:spacing w:after="0" w:line="261" w:lineRule="auto"/>
        <w:tabs>
          <w:tab w:leader="none" w:pos="444"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xml:space="preserve">” shall mean Executive’s termination of employment from Orion and each entity that is required to be included in Orion’s controlled group of corporations within the meaning of Code Section 414(b), or that is under common control with Orion within the meaning of Code Section 414(c);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phrase “at least 50 percent” shall be used in place of the phrase “ at least 80 percent” each place it appears therein or in the regulations thereunder (collectively, “409A affiliates”). Notwithstanding the foregoing:</w:t>
      </w:r>
    </w:p>
    <w:p>
      <w:pPr>
        <w:spacing w:after="0" w:line="75" w:lineRule="exact"/>
        <w:rPr>
          <w:rFonts w:ascii="Arial" w:cs="Arial" w:eastAsia="Arial" w:hAnsi="Arial"/>
          <w:sz w:val="18"/>
          <w:szCs w:val="18"/>
          <w:color w:val="auto"/>
        </w:rPr>
      </w:pPr>
    </w:p>
    <w:p>
      <w:pPr>
        <w:ind w:left="224" w:right="60" w:firstLine="229"/>
        <w:spacing w:after="0" w:line="264" w:lineRule="auto"/>
        <w:tabs>
          <w:tab w:leader="none" w:pos="664"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Executive takes a leave of absence for purposes of military leave, sick leave or other bona fide leave of absence, Executive will not be deemed to have incurred a Separation from Service for the first six (6) months of the leave of absence, or if longer, for so long as Executive’s right to reemployment is provided either by statute or by contract.</w:t>
      </w:r>
    </w:p>
    <w:p>
      <w:pPr>
        <w:spacing w:after="0" w:line="73" w:lineRule="exact"/>
        <w:rPr>
          <w:rFonts w:ascii="Arial" w:cs="Arial" w:eastAsia="Arial" w:hAnsi="Arial"/>
          <w:sz w:val="18"/>
          <w:szCs w:val="18"/>
          <w:color w:val="auto"/>
        </w:rPr>
      </w:pPr>
    </w:p>
    <w:p>
      <w:pPr>
        <w:ind w:left="224" w:right="260" w:firstLine="229"/>
        <w:spacing w:after="0" w:line="264" w:lineRule="auto"/>
        <w:tabs>
          <w:tab w:leader="none" w:pos="714" w:val="left"/>
        </w:tabs>
        <w:numPr>
          <w:ilvl w:val="2"/>
          <w:numId w:val="15"/>
        </w:numPr>
        <w:rPr>
          <w:rFonts w:ascii="Arial" w:cs="Arial" w:eastAsia="Arial" w:hAnsi="Arial"/>
          <w:sz w:val="18"/>
          <w:szCs w:val="18"/>
          <w:color w:val="auto"/>
        </w:rPr>
      </w:pPr>
      <w:r>
        <w:rPr>
          <w:rFonts w:ascii="Arial" w:cs="Arial" w:eastAsia="Arial" w:hAnsi="Arial"/>
          <w:sz w:val="18"/>
          <w:szCs w:val="18"/>
          <w:color w:val="auto"/>
        </w:rPr>
        <w:t>Subject to paragraph (i), Executive shall incur a Separation from Service when the level of bona fide services provided by Executive to Orion and its 409A affiliates permanently decreases to a level of twenty percent (20%) or less of the level of services rendered by Executive, on average, during the immediately preceding 12 months of employment.</w:t>
      </w:r>
    </w:p>
    <w:p>
      <w:pPr>
        <w:spacing w:after="0" w:line="73" w:lineRule="exact"/>
        <w:rPr>
          <w:rFonts w:ascii="Arial" w:cs="Arial" w:eastAsia="Arial" w:hAnsi="Arial"/>
          <w:sz w:val="18"/>
          <w:szCs w:val="18"/>
          <w:color w:val="auto"/>
        </w:rPr>
      </w:pPr>
    </w:p>
    <w:p>
      <w:pPr>
        <w:jc w:val="both"/>
        <w:ind w:left="224" w:right="80" w:firstLine="229"/>
        <w:spacing w:after="0" w:line="259" w:lineRule="auto"/>
        <w:tabs>
          <w:tab w:leader="none" w:pos="764" w:val="left"/>
        </w:tabs>
        <w:numPr>
          <w:ilvl w:val="2"/>
          <w:numId w:val="15"/>
        </w:numPr>
        <w:rPr>
          <w:rFonts w:ascii="Arial" w:cs="Arial" w:eastAsia="Arial" w:hAnsi="Arial"/>
          <w:sz w:val="18"/>
          <w:szCs w:val="18"/>
          <w:color w:val="auto"/>
        </w:rPr>
      </w:pPr>
      <w:r>
        <w:rPr>
          <w:rFonts w:ascii="Arial" w:cs="Arial" w:eastAsia="Arial" w:hAnsi="Arial"/>
          <w:sz w:val="18"/>
          <w:szCs w:val="18"/>
          <w:color w:val="auto"/>
        </w:rPr>
        <w:t>If, following Executive’s termination of employment, Executive continues to provide services to the Company or a 409A Affiliate in a capacity other than as an employee, Executive will not be deemed to have Separated from Service as long as Executive is providing bona fide services at a rate that is greater than twenty percent (20%) of the level of services rendered by Executive, on average, during the immediately preceding 12 months of service.</w:t>
      </w:r>
    </w:p>
    <w:p>
      <w:pPr>
        <w:spacing w:after="0" w:line="74" w:lineRule="exact"/>
        <w:rPr>
          <w:rFonts w:ascii="Arial" w:cs="Arial" w:eastAsia="Arial" w:hAnsi="Arial"/>
          <w:sz w:val="18"/>
          <w:szCs w:val="18"/>
          <w:color w:val="auto"/>
        </w:rPr>
      </w:pPr>
    </w:p>
    <w:p>
      <w:pPr>
        <w:ind w:left="4" w:firstLine="221"/>
        <w:spacing w:after="0" w:line="274" w:lineRule="auto"/>
        <w:tabs>
          <w:tab w:leader="none" w:pos="534" w:val="left"/>
        </w:tabs>
        <w:numPr>
          <w:ilvl w:val="1"/>
          <w:numId w:val="15"/>
        </w:numPr>
        <w:rPr>
          <w:rFonts w:ascii="Arial" w:cs="Arial" w:eastAsia="Arial" w:hAnsi="Arial"/>
          <w:sz w:val="17"/>
          <w:szCs w:val="17"/>
          <w:color w:val="auto"/>
        </w:rPr>
      </w:pPr>
      <w:r>
        <w:rPr>
          <w:rFonts w:ascii="Arial" w:cs="Arial" w:eastAsia="Arial" w:hAnsi="Arial"/>
          <w:sz w:val="17"/>
          <w:szCs w:val="17"/>
          <w:b w:val="1"/>
          <w:bCs w:val="1"/>
          <w:color w:val="auto"/>
        </w:rPr>
        <w:t xml:space="preserve">“Severance Payment” </w:t>
      </w:r>
      <w:r>
        <w:rPr>
          <w:rFonts w:ascii="Arial" w:cs="Arial" w:eastAsia="Arial" w:hAnsi="Arial"/>
          <w:sz w:val="17"/>
          <w:szCs w:val="17"/>
          <w:color w:val="auto"/>
        </w:rPr>
        <w:t>shall mean the Executive’s Base Salary at the time of the Termination Date plus the average of the annual bonuses earned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Executive with respect to each of the three completed fiscal years of the Company preceding the year in which the Termination Date occurs (or such lesser number of fiscal years for which the Executive was employed by the Company, with any partial year’s bonus being annualized with respect to such fiscal year) multiplied by the severance multiplier set forth above</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Executive’s Termination Date occurs on or following a Change of Control, the multiplier described above shall be increased to the post-Change of Control severance multiplier set forth above and any reduction in Executive’s Base Salary since the date of the Change of Control shall be ignored.</w:t>
      </w:r>
    </w:p>
    <w:p>
      <w:pPr>
        <w:spacing w:after="0" w:line="65" w:lineRule="exact"/>
        <w:rPr>
          <w:rFonts w:ascii="Arial" w:cs="Arial" w:eastAsia="Arial" w:hAnsi="Arial"/>
          <w:sz w:val="17"/>
          <w:szCs w:val="17"/>
          <w:color w:val="auto"/>
        </w:rPr>
      </w:pPr>
    </w:p>
    <w:p>
      <w:pPr>
        <w:ind w:left="484" w:hanging="259"/>
        <w:spacing w:after="0"/>
        <w:tabs>
          <w:tab w:leader="none" w:pos="484" w:val="left"/>
        </w:tabs>
        <w:numPr>
          <w:ilvl w:val="1"/>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“Successor” </w:t>
      </w:r>
      <w:r>
        <w:rPr>
          <w:rFonts w:ascii="Arial" w:cs="Arial" w:eastAsia="Arial" w:hAnsi="Arial"/>
          <w:sz w:val="18"/>
          <w:szCs w:val="18"/>
          <w:color w:val="auto"/>
        </w:rPr>
        <w:t>shall mean the person to which this Agreement is assigned upon a Sale of Business within the meaning of Section 10.</w:t>
      </w:r>
    </w:p>
    <w:p>
      <w:pPr>
        <w:spacing w:after="0" w:line="117" w:lineRule="exact"/>
        <w:rPr>
          <w:rFonts w:ascii="Arial" w:cs="Arial" w:eastAsia="Arial" w:hAnsi="Arial"/>
          <w:sz w:val="18"/>
          <w:szCs w:val="18"/>
          <w:color w:val="auto"/>
        </w:rPr>
      </w:pPr>
    </w:p>
    <w:p>
      <w:pPr>
        <w:ind w:left="484" w:hanging="259"/>
        <w:spacing w:after="0"/>
        <w:tabs>
          <w:tab w:leader="none" w:pos="484" w:val="left"/>
        </w:tabs>
        <w:numPr>
          <w:ilvl w:val="1"/>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Termination Date</w:t>
      </w:r>
      <w:r>
        <w:rPr>
          <w:rFonts w:ascii="Arial" w:cs="Arial" w:eastAsia="Arial" w:hAnsi="Arial"/>
          <w:sz w:val="17"/>
          <w:szCs w:val="17"/>
          <w:color w:val="auto"/>
        </w:rPr>
        <w:t>” shall mean the date of the Executive’s termination of employment from the Company, as further described in Section 4.</w:t>
      </w:r>
    </w:p>
    <w:p>
      <w:pPr>
        <w:spacing w:after="0" w:line="133" w:lineRule="exact"/>
        <w:rPr>
          <w:sz w:val="20"/>
          <w:szCs w:val="20"/>
          <w:color w:val="auto"/>
        </w:rPr>
      </w:pPr>
    </w:p>
    <w:p>
      <w:pPr>
        <w:ind w:left="224"/>
        <w:spacing w:after="0"/>
        <w:rPr>
          <w:sz w:val="20"/>
          <w:szCs w:val="20"/>
          <w:color w:val="auto"/>
        </w:rPr>
      </w:pPr>
      <w:r>
        <w:rPr>
          <w:rFonts w:ascii="Arial" w:cs="Arial" w:eastAsia="Arial" w:hAnsi="Arial"/>
          <w:sz w:val="18"/>
          <w:szCs w:val="18"/>
          <w:color w:val="auto"/>
        </w:rPr>
        <w:t>3. Employment of Executive</w:t>
      </w:r>
    </w:p>
    <w:p>
      <w:pPr>
        <w:spacing w:after="0" w:line="198"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38" w:name="page39"/>
    <w:bookmarkEnd w:id="38"/>
    <w:p>
      <w:pPr>
        <w:ind w:left="460" w:hanging="239"/>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w:t>
      </w:r>
    </w:p>
    <w:p>
      <w:pPr>
        <w:spacing w:after="0" w:line="117" w:lineRule="exact"/>
        <w:rPr>
          <w:rFonts w:ascii="Arial" w:cs="Arial" w:eastAsia="Arial" w:hAnsi="Arial"/>
          <w:sz w:val="18"/>
          <w:szCs w:val="18"/>
          <w:color w:val="auto"/>
        </w:rPr>
      </w:pPr>
    </w:p>
    <w:p>
      <w:pPr>
        <w:ind w:left="220" w:right="120" w:firstLine="229"/>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Executive shall serve in the position set forth above in a full-time capacity. In such position, Executive shall have such duties and authority as is customarily associated with such position and shall have such other titles and duties, consistent with Executive’s position, as may be assigned from time to time by the Board.</w:t>
      </w:r>
    </w:p>
    <w:p>
      <w:pPr>
        <w:spacing w:after="0" w:line="73" w:lineRule="exact"/>
        <w:rPr>
          <w:rFonts w:ascii="Arial" w:cs="Arial" w:eastAsia="Arial" w:hAnsi="Arial"/>
          <w:sz w:val="18"/>
          <w:szCs w:val="18"/>
          <w:color w:val="auto"/>
        </w:rPr>
      </w:pPr>
    </w:p>
    <w:p>
      <w:pPr>
        <w:ind w:left="220" w:firstLine="229"/>
        <w:spacing w:after="0" w:line="255"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Executive will devote Executive’s full business time and best efforts to the performance of Executive’s duties hereunder and will not engage in any other business, profession or occupation for compensation or otherwise which would conflict or interfere with the rendition of such services either directly or indirectly, without the prior written consent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nothing herein shall preclude Executive, subject to the prior approval of the Board, from accepting appointment to or continue to serve on any board of directors or trustees of any business organization or any charitable organization; </w:t>
      </w:r>
      <w:r>
        <w:rPr>
          <w:rFonts w:ascii="Arial" w:cs="Arial" w:eastAsia="Arial" w:hAnsi="Arial"/>
          <w:sz w:val="18"/>
          <w:szCs w:val="18"/>
          <w:i w:val="1"/>
          <w:iCs w:val="1"/>
          <w:color w:val="auto"/>
        </w:rPr>
        <w:t>further provided</w:t>
      </w:r>
      <w:r>
        <w:rPr>
          <w:rFonts w:ascii="Arial" w:cs="Arial" w:eastAsia="Arial" w:hAnsi="Arial"/>
          <w:sz w:val="18"/>
          <w:szCs w:val="18"/>
          <w:color w:val="auto"/>
        </w:rPr>
        <w:t xml:space="preserve"> in each case, and in the aggregate, that such activities do not conflict or interfere with the performance of Executive’s duties hereunder or conflict with Section 7.</w:t>
      </w:r>
    </w:p>
    <w:p>
      <w:pPr>
        <w:spacing w:after="0" w:line="81" w:lineRule="exact"/>
        <w:rPr>
          <w:rFonts w:ascii="Arial" w:cs="Arial" w:eastAsia="Arial" w:hAnsi="Arial"/>
          <w:sz w:val="18"/>
          <w:szCs w:val="18"/>
          <w:color w:val="auto"/>
        </w:rPr>
      </w:pPr>
    </w:p>
    <w:p>
      <w:pPr>
        <w:ind w:right="60" w:firstLine="221"/>
        <w:spacing w:after="0" w:line="266" w:lineRule="auto"/>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Orion shall pay Executive a Base Salary at the respective annual rates set forth above for Fiscal Year 2008 and Fiscal Year 2009,</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in regular installments in accordance with the Company’s usual payroll practices. Executive shall be entitled to such increases in Executive’s base salary, if any, as may be determined from time to time by the Board.</w:t>
      </w:r>
    </w:p>
    <w:p>
      <w:pPr>
        <w:spacing w:after="0" w:line="68" w:lineRule="exact"/>
        <w:rPr>
          <w:rFonts w:ascii="Arial" w:cs="Arial" w:eastAsia="Arial" w:hAnsi="Arial"/>
          <w:sz w:val="18"/>
          <w:szCs w:val="18"/>
          <w:color w:val="auto"/>
        </w:rPr>
      </w:pPr>
    </w:p>
    <w:p>
      <w:pPr>
        <w:ind w:firstLine="221"/>
        <w:spacing w:after="0" w:line="287" w:lineRule="auto"/>
        <w:tabs>
          <w:tab w:leader="none" w:pos="47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Bonus Incentives</w:t>
      </w:r>
      <w:r>
        <w:rPr>
          <w:rFonts w:ascii="Arial" w:cs="Arial" w:eastAsia="Arial" w:hAnsi="Arial"/>
          <w:sz w:val="16"/>
          <w:szCs w:val="16"/>
          <w:color w:val="auto"/>
        </w:rPr>
        <w:t>. Executive shall be entitled to participate in such annual and/or long-term cash and equity incentive plans and programs of Orion</w:t>
      </w:r>
      <w:r>
        <w:rPr>
          <w:rFonts w:ascii="Arial" w:cs="Arial" w:eastAsia="Arial" w:hAnsi="Arial"/>
          <w:sz w:val="16"/>
          <w:szCs w:val="16"/>
          <w:b w:val="1"/>
          <w:bCs w:val="1"/>
          <w:color w:val="auto"/>
        </w:rPr>
        <w:t xml:space="preserve"> </w:t>
      </w:r>
      <w:r>
        <w:rPr>
          <w:rFonts w:ascii="Arial" w:cs="Arial" w:eastAsia="Arial" w:hAnsi="Arial"/>
          <w:sz w:val="16"/>
          <w:szCs w:val="16"/>
          <w:color w:val="auto"/>
        </w:rPr>
        <w:t>as are generally provided to the senior executives of Orion. On and after a Change of Control, to assure that Executive will have an opportunity to earn incentive compensation, the Executive shall be included in a bonus plan of the Employer which shall satisfy the standards described below (such plan, the “Bonus Plan”). Bonuses under the Bonus Plan shall be payable with respect to achieving such financial or other goals reasonably related to the business of the Company as the Company shall establish (the “Goals”), all of which Goals shall be attainable, prior to the end of the post-Change of Control renewal period (as set forth above), with approximately the same degree of probability as the most attainable goals under the Company’s bonus plan or plans as in effect at any time during the 180-day period immediately prior to the Change of Control (whether one or more, the “Company Bonus Plan”) and in view of the Company’s existing and projected financial and business circumstances applicable at the time. The amount of the bonus (the “Bonus Amount”) that Executive is eligible to earn under the Bonus Plan shall be no less than 100% of the Executive’s target award provided in such Company Bonus Plan (such bonus amount herein referred to as the “Targeted Bonus”), and in the event the Goals are not achieved such that the entire Targeted Bonus is not payable, the Bonus Plan shall provide for a payment of a Bonus Amount equal to a portion of the Targeted Bonus reasonably related to that portion of the Goals which were achieved. Payment of the Bonus Amount shall not be affected by any circumstance occurring subsequent to the end of the post-Change of Control renewal period, including termination of Executive’s employment.</w:t>
      </w:r>
    </w:p>
    <w:p>
      <w:pPr>
        <w:spacing w:after="0" w:line="14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39" w:name="page40"/>
    <w:bookmarkEnd w:id="39"/>
    <w:p>
      <w:pPr>
        <w:ind w:left="700" w:hanging="259"/>
        <w:spacing w:after="0"/>
        <w:tabs>
          <w:tab w:leader="none" w:pos="700" w:val="left"/>
        </w:tabs>
        <w:numPr>
          <w:ilvl w:val="1"/>
          <w:numId w:val="17"/>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Executive shall be entitled to participate in the Company’s employee benefit plans (other than annual and/or long-term</w:t>
      </w:r>
    </w:p>
    <w:p>
      <w:pPr>
        <w:spacing w:after="0" w:line="38" w:lineRule="exact"/>
        <w:rPr>
          <w:rFonts w:ascii="Arial" w:cs="Arial" w:eastAsia="Arial" w:hAnsi="Arial"/>
          <w:sz w:val="17"/>
          <w:szCs w:val="17"/>
          <w:color w:val="auto"/>
        </w:rPr>
      </w:pPr>
    </w:p>
    <w:p>
      <w:pPr>
        <w:ind w:left="220"/>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incentive programs, which are addressed in subsection (c)) as in effect from time to time on the same basis as those benefits are generally made available to other senior executives of Orion. On and after a Change of Control, Executive shall be included: (i) to the extent eligible thereunder (which eligibility shall not be conditioned on Executive’s salary grade or on any other requirement which excludes persons of comparable status to the Executive unless such exclusion was in effect for such plan or an equivalent plan immediately prior to the Change in Control of the Company), in any and all plans providing benefits for the Company’s salaried employees in general (including but not limited to group life insurance, hospitalization, medical, dental, and long-term disability plans) and (ii) in plans provided to executives of the Company of comparable status and position to Executive (including but not limited to deferred compensation, split-dollar life insurance, supplemental retirement, stock option, stock appreciation, stock bonus, cash bonus and similar or comparable plans);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in no event shall the aggregate level of benefits under the plans described in clause (i) and the plans described in clause (ii), respectively, in which Executive is included be less than the aggregate level of benefits under plans of the Company of the type referred to in such clause, respectively, in which Executive was participating immediately prior to the Change in Control.</w:t>
      </w:r>
    </w:p>
    <w:p>
      <w:pPr>
        <w:spacing w:after="0" w:line="58" w:lineRule="exact"/>
        <w:rPr>
          <w:rFonts w:ascii="Arial" w:cs="Arial" w:eastAsia="Arial" w:hAnsi="Arial"/>
          <w:sz w:val="17"/>
          <w:szCs w:val="17"/>
          <w:color w:val="auto"/>
        </w:rPr>
      </w:pPr>
    </w:p>
    <w:p>
      <w:pPr>
        <w:ind w:left="220" w:right="800" w:firstLine="221"/>
        <w:spacing w:after="0" w:line="282" w:lineRule="auto"/>
        <w:tabs>
          <w:tab w:leader="none" w:pos="69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Business Expenses</w:t>
      </w:r>
      <w:r>
        <w:rPr>
          <w:rFonts w:ascii="Arial" w:cs="Arial" w:eastAsia="Arial" w:hAnsi="Arial"/>
          <w:sz w:val="18"/>
          <w:szCs w:val="18"/>
          <w:color w:val="auto"/>
        </w:rPr>
        <w:t>. The reasonable business expenses incurred by Executive in the performance of Executive’s duties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reimbursed by the Company in accordance with Company policies.</w:t>
      </w:r>
    </w:p>
    <w:p>
      <w:pPr>
        <w:spacing w:after="0" w:line="53" w:lineRule="exact"/>
        <w:rPr>
          <w:rFonts w:ascii="Arial" w:cs="Arial" w:eastAsia="Arial" w:hAnsi="Arial"/>
          <w:sz w:val="18"/>
          <w:szCs w:val="18"/>
          <w:color w:val="auto"/>
        </w:rPr>
      </w:pPr>
    </w:p>
    <w:p>
      <w:pPr>
        <w:ind w:left="660" w:hanging="219"/>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Other Perquisites. </w:t>
      </w:r>
      <w:r>
        <w:rPr>
          <w:rFonts w:ascii="Arial" w:cs="Arial" w:eastAsia="Arial" w:hAnsi="Arial"/>
          <w:sz w:val="18"/>
          <w:szCs w:val="18"/>
          <w:color w:val="auto"/>
        </w:rPr>
        <w:t>Executive shall be entitled to receive the other benefits and perquisites set forth in Exhibit A.</w:t>
      </w:r>
    </w:p>
    <w:p>
      <w:pPr>
        <w:spacing w:after="0" w:line="117" w:lineRule="exact"/>
        <w:rPr>
          <w:rFonts w:ascii="Arial" w:cs="Arial" w:eastAsia="Arial" w:hAnsi="Arial"/>
          <w:sz w:val="18"/>
          <w:szCs w:val="18"/>
          <w:color w:val="auto"/>
        </w:rPr>
      </w:pPr>
    </w:p>
    <w:p>
      <w:pPr>
        <w:ind w:left="-20" w:right="20" w:firstLine="458"/>
        <w:spacing w:after="0" w:line="282" w:lineRule="auto"/>
        <w:tabs>
          <w:tab w:leader="none" w:pos="61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Executive’s employment with the Company will terminate during the term of the Agreement, and this Agreement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 on the date of such termination, as follows:</w:t>
      </w:r>
    </w:p>
    <w:p>
      <w:pPr>
        <w:spacing w:after="0" w:line="57" w:lineRule="exact"/>
        <w:rPr>
          <w:rFonts w:ascii="Arial" w:cs="Arial" w:eastAsia="Arial" w:hAnsi="Arial"/>
          <w:sz w:val="18"/>
          <w:szCs w:val="18"/>
          <w:color w:val="auto"/>
        </w:rPr>
      </w:pPr>
    </w:p>
    <w:p>
      <w:pPr>
        <w:ind w:left="680" w:hanging="239"/>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Executive’s employment will terminate upon Executive’s death.</w:t>
      </w:r>
    </w:p>
    <w:p>
      <w:pPr>
        <w:spacing w:after="0" w:line="117" w:lineRule="exact"/>
        <w:rPr>
          <w:rFonts w:ascii="Arial" w:cs="Arial" w:eastAsia="Arial" w:hAnsi="Arial"/>
          <w:sz w:val="18"/>
          <w:szCs w:val="18"/>
          <w:color w:val="auto"/>
        </w:rPr>
      </w:pPr>
    </w:p>
    <w:p>
      <w:pPr>
        <w:ind w:left="220" w:right="240" w:firstLine="221"/>
        <w:spacing w:after="0" w:line="264"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If Executive is Disabled, and if within thirty (30) days after Orion notifies the Executive in writing that it intends to terminate the Executive’s employment, the Executive shall not have returned to the performance of the Executive’s duties hereunder on a full-time basis, Orion may terminate the Executive’s employment, effective immediately following the end of such thirty-day period.</w:t>
      </w:r>
    </w:p>
    <w:p>
      <w:pPr>
        <w:spacing w:after="0" w:line="73" w:lineRule="exact"/>
        <w:rPr>
          <w:rFonts w:ascii="Arial" w:cs="Arial" w:eastAsia="Arial" w:hAnsi="Arial"/>
          <w:sz w:val="18"/>
          <w:szCs w:val="18"/>
          <w:color w:val="auto"/>
        </w:rPr>
      </w:pPr>
    </w:p>
    <w:p>
      <w:pPr>
        <w:ind w:left="220" w:right="80" w:firstLine="221"/>
        <w:spacing w:after="0" w:line="255" w:lineRule="auto"/>
        <w:tabs>
          <w:tab w:leader="none" w:pos="69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Orion may terminate Executive’s employment with or without Cause (other than as a result of Disability which is governed by subsection (b)) by providing written notice to Executive that indicates in reasonable detail the facts and circumstances alleged to provide a basis for such termination. If the termination is without Cause, Executive’s employment will terminate on the date specified in the written notice of termination. If the termination is for Cause, the Executive shall have thirty (30) days from the date the written notice is provided, or such longer period as Orion may determine to be appropriate, to cure any conduct or act, if curable, alleged to provide grounds for termination of Executive’s employment for Cause. If the alleged conduct or act constituting Cause is not curable, Executive’s employment will terminate on the date specified in the written notice of termination. If the alleged conduct or act constituting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1" w:right="239" w:bottom="1440" w:gutter="0" w:footer="0" w:header="0"/>
        </w:sectPr>
      </w:pPr>
    </w:p>
    <w:bookmarkStart w:id="40" w:name="page41"/>
    <w:bookmarkEnd w:id="40"/>
    <w:p>
      <w:pPr>
        <w:ind w:right="20"/>
        <w:spacing w:after="0" w:line="290" w:lineRule="auto"/>
        <w:rPr>
          <w:sz w:val="20"/>
          <w:szCs w:val="20"/>
          <w:color w:val="auto"/>
        </w:rPr>
      </w:pPr>
      <w:r>
        <w:rPr>
          <w:rFonts w:ascii="Arial" w:cs="Arial" w:eastAsia="Arial" w:hAnsi="Arial"/>
          <w:sz w:val="16"/>
          <w:szCs w:val="16"/>
          <w:color w:val="auto"/>
        </w:rPr>
        <w:t>Cause is curable but Executive does not cure such conduct or act within the specified time period, Executive’s employment will terminate on the date immediately following the end of the cure period. Notwithstanding the foregoing, a determination of Cause shall only be made in good faith by the Board, and after a Change of Control, by the Board of Directors of the Successor, which may terminate Executive for Cause only after providing Executive (i) written notice as set forth above, (ii) the opportunity to appear before such board and provide rebuttal to such proposed termination, and (iii) written notice following such appearance confirming such termination and certifying that the decision to terminate Executive for Cause was approved in good faith by at least sixty-six percent (66%) of the members of such board, excluding Executive. Unless otherwise directed by Orion, from and after the date of the written notice of proposed termination, Executive shall be relieved of his or her duties and responsibilities and shall be considered to be on a paid leave of absence pending any final action by the Board or the Board of Directors of the Successor confirming such proposed termination.</w:t>
      </w:r>
    </w:p>
    <w:p>
      <w:pPr>
        <w:spacing w:after="0" w:line="58" w:lineRule="exact"/>
        <w:rPr>
          <w:sz w:val="20"/>
          <w:szCs w:val="20"/>
          <w:color w:val="auto"/>
        </w:rPr>
      </w:pPr>
    </w:p>
    <w:p>
      <w:pPr>
        <w:ind w:right="60" w:firstLine="221"/>
        <w:spacing w:after="0" w:line="255" w:lineRule="auto"/>
        <w:tabs>
          <w:tab w:leader="none" w:pos="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Executive may terminate his or her employment for or without Good Reason by providing written notice of termination to Orion that indicates in reasonable detail the facts and circumstances alleged to provide a basis for such termination. If Executive is alleging a termination for Good Reason, Executive must provide written notice to Orion of the existence of the condition constituting Good Reason within ninety (90) days of the initial existence of such condition, and Orion must have a period of at least thirty (30) days following receipt of such notice to cure such condition. If such condition is not cured by Orion within such thirty-day period, Executive’s termination of employment from the Company shall be effective on the date immediately following the end of such cure period.</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 Payments upon Termination.</w:t>
      </w:r>
    </w:p>
    <w:p>
      <w:pPr>
        <w:spacing w:after="0" w:line="113" w:lineRule="exact"/>
        <w:rPr>
          <w:sz w:val="20"/>
          <w:szCs w:val="20"/>
          <w:color w:val="auto"/>
        </w:rPr>
      </w:pPr>
    </w:p>
    <w:p>
      <w:pPr>
        <w:ind w:right="120" w:firstLine="221"/>
        <w:spacing w:after="0" w:line="313" w:lineRule="auto"/>
        <w:tabs>
          <w:tab w:leader="none" w:pos="470" w:val="left"/>
        </w:tabs>
        <w:numPr>
          <w:ilvl w:val="0"/>
          <w:numId w:val="20"/>
        </w:numPr>
        <w:rPr>
          <w:rFonts w:ascii="Arial" w:cs="Arial" w:eastAsia="Arial" w:hAnsi="Arial"/>
          <w:sz w:val="17"/>
          <w:szCs w:val="17"/>
          <w:color w:val="auto"/>
        </w:rPr>
      </w:pPr>
      <w:r>
        <w:rPr>
          <w:rFonts w:ascii="Arial" w:cs="Arial" w:eastAsia="Arial" w:hAnsi="Arial"/>
          <w:sz w:val="17"/>
          <w:szCs w:val="17"/>
          <w:b w:val="1"/>
          <w:bCs w:val="1"/>
          <w:color w:val="auto"/>
        </w:rPr>
        <w:t xml:space="preserve">Entitlement to Severance. </w:t>
      </w:r>
      <w:r>
        <w:rPr>
          <w:rFonts w:ascii="Arial" w:cs="Arial" w:eastAsia="Arial" w:hAnsi="Arial"/>
          <w:sz w:val="17"/>
          <w:szCs w:val="17"/>
          <w:color w:val="auto"/>
        </w:rPr>
        <w:t>Subject to the other terms and conditions of this Agreement, Executive shall be entitled to the Accrued Benefits,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severance benefits described in subsection (c), in either of the following circumstances while this Agreement is in effect:</w:t>
      </w:r>
    </w:p>
    <w:p>
      <w:pPr>
        <w:spacing w:after="0" w:line="34" w:lineRule="exact"/>
        <w:rPr>
          <w:rFonts w:ascii="Arial" w:cs="Arial" w:eastAsia="Arial" w:hAnsi="Arial"/>
          <w:sz w:val="17"/>
          <w:szCs w:val="17"/>
          <w:color w:val="auto"/>
        </w:rPr>
      </w:pPr>
    </w:p>
    <w:p>
      <w:pPr>
        <w:ind w:left="660" w:hanging="211"/>
        <w:spacing w:after="0"/>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Executive’s employment is terminated by Orion without Cause, except in the case of death or Disability; or</w:t>
      </w:r>
    </w:p>
    <w:p>
      <w:pPr>
        <w:spacing w:after="0" w:line="117" w:lineRule="exact"/>
        <w:rPr>
          <w:rFonts w:ascii="Arial" w:cs="Arial" w:eastAsia="Arial" w:hAnsi="Arial"/>
          <w:sz w:val="18"/>
          <w:szCs w:val="18"/>
          <w:color w:val="auto"/>
        </w:rPr>
      </w:pPr>
    </w:p>
    <w:p>
      <w:pPr>
        <w:ind w:left="720" w:hanging="271"/>
        <w:spacing w:after="0"/>
        <w:tabs>
          <w:tab w:leader="none" w:pos="7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Executive terminates his or her employment with the Company for Good Reason.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If Executive dies after receiving a notice by Orion that Executive is being terminated without Cause, or after providing notice of termination for Good Reason, the Executive’s estate, heirs and beneficiaries shall be entitled to the Accrued Benefits and the severance benefits described in subsection (c) at the same time such amounts would have been paid or benefits provided to Executive had he or she lived.</w:t>
      </w:r>
    </w:p>
    <w:p>
      <w:pPr>
        <w:spacing w:after="0" w:line="69" w:lineRule="exact"/>
        <w:rPr>
          <w:sz w:val="20"/>
          <w:szCs w:val="20"/>
          <w:color w:val="auto"/>
        </w:rPr>
      </w:pPr>
    </w:p>
    <w:p>
      <w:pPr>
        <w:ind w:right="440" w:firstLine="221"/>
        <w:spacing w:after="0" w:line="282"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 xml:space="preserve">General Release Requirement. </w:t>
      </w:r>
      <w:r>
        <w:rPr>
          <w:rFonts w:ascii="Arial" w:cs="Arial" w:eastAsia="Arial" w:hAnsi="Arial"/>
          <w:sz w:val="18"/>
          <w:szCs w:val="18"/>
          <w:color w:val="auto"/>
        </w:rPr>
        <w:t>As an additional prerequisite for receipt of the severance benefits described in subsection (c), Executive must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deliver to Orion, and not revoke (to the extent Executive is allowed to do so) a General Release.</w:t>
      </w:r>
    </w:p>
    <w:p>
      <w:pPr>
        <w:spacing w:after="0" w:line="53" w:lineRule="exact"/>
        <w:rPr>
          <w:rFonts w:ascii="Arial" w:cs="Arial" w:eastAsia="Arial" w:hAnsi="Arial"/>
          <w:sz w:val="18"/>
          <w:szCs w:val="18"/>
          <w:color w:val="auto"/>
        </w:rPr>
      </w:pPr>
    </w:p>
    <w:p>
      <w:pPr>
        <w:ind w:left="460" w:hanging="239"/>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b w:val="1"/>
          <w:bCs w:val="1"/>
          <w:color w:val="auto"/>
        </w:rPr>
        <w:t>Severance Benefits; Timing and Form of Payment</w:t>
      </w:r>
      <w:r>
        <w:rPr>
          <w:rFonts w:ascii="Arial" w:cs="Arial" w:eastAsia="Arial" w:hAnsi="Arial"/>
          <w:sz w:val="16"/>
          <w:szCs w:val="16"/>
          <w:color w:val="auto"/>
        </w:rPr>
        <w:t>. Subject to the limitations imposed by Section 6, if Executive is entitled to severance benefits,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then:</w:t>
      </w:r>
    </w:p>
    <w:p>
      <w:pPr>
        <w:spacing w:after="0" w:line="18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6" w:right="259" w:bottom="1440" w:gutter="0" w:footer="0" w:header="0"/>
        </w:sectPr>
      </w:pPr>
    </w:p>
    <w:bookmarkStart w:id="41" w:name="page42"/>
    <w:bookmarkEnd w:id="41"/>
    <w:p>
      <w:pPr>
        <w:jc w:val="both"/>
        <w:ind w:left="440" w:right="120" w:firstLine="229"/>
        <w:spacing w:after="0" w:line="31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Company shall pay Executive the Severance Payment in a lump sum within ten (10) days following the Executive’s Separation from Service, or if later, the date on which the General Release is no longer revocable, or if later, the date on which the amount payable under Section 6 is determined, but in no event may be payment be made more than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year in which Executive’s Separation from Service occurs;</w:t>
      </w:r>
    </w:p>
    <w:p>
      <w:pPr>
        <w:spacing w:after="0" w:line="38" w:lineRule="exact"/>
        <w:rPr>
          <w:rFonts w:ascii="Arial" w:cs="Arial" w:eastAsia="Arial" w:hAnsi="Arial"/>
          <w:sz w:val="16"/>
          <w:szCs w:val="16"/>
          <w:color w:val="auto"/>
        </w:rPr>
      </w:pPr>
    </w:p>
    <w:p>
      <w:pPr>
        <w:ind w:left="440" w:right="100" w:firstLine="229"/>
        <w:spacing w:after="0" w:line="279" w:lineRule="auto"/>
        <w:tabs>
          <w:tab w:leader="none" w:pos="93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At the same time that the Severance Payment is made, Company shall pay Executive a lump sum amount equal to the Executive’s annual target cash bonus opportunity (if any) as established by the Board or the Compensation Committee of the Board for the fiscal year in which the Separation from Service occurs, multiplied by a fraction, the numerator of which is the number of days that have elapsed during the annual performance period to the date of the Executive’s Separation from Service and the denominator of which is 365; and</w:t>
      </w:r>
    </w:p>
    <w:p>
      <w:pPr>
        <w:spacing w:after="0" w:line="63" w:lineRule="exact"/>
        <w:rPr>
          <w:rFonts w:ascii="Arial" w:cs="Arial" w:eastAsia="Arial" w:hAnsi="Arial"/>
          <w:sz w:val="17"/>
          <w:szCs w:val="17"/>
          <w:color w:val="auto"/>
        </w:rPr>
      </w:pPr>
    </w:p>
    <w:p>
      <w:pPr>
        <w:ind w:left="440" w:right="420" w:firstLine="229"/>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shall be entitled to pay premiums for COBRA continuation coverage for the length of such coverage at the same rate as is being charged to active employees for similar coverage.</w:t>
      </w:r>
    </w:p>
    <w:p>
      <w:pPr>
        <w:spacing w:after="0" w:line="62" w:lineRule="exact"/>
        <w:rPr>
          <w:sz w:val="20"/>
          <w:szCs w:val="20"/>
          <w:color w:val="auto"/>
        </w:rPr>
      </w:pPr>
    </w:p>
    <w:p>
      <w:pPr>
        <w:ind w:left="220" w:right="80"/>
        <w:spacing w:after="0" w:line="277" w:lineRule="auto"/>
        <w:rPr>
          <w:sz w:val="20"/>
          <w:szCs w:val="20"/>
          <w:color w:val="auto"/>
        </w:rPr>
      </w:pPr>
      <w:r>
        <w:rPr>
          <w:rFonts w:ascii="Arial" w:cs="Arial" w:eastAsia="Arial" w:hAnsi="Arial"/>
          <w:sz w:val="18"/>
          <w:szCs w:val="18"/>
          <w:color w:val="auto"/>
        </w:rPr>
        <w:t>All payments shall be subject to payroll taxes and other withholdings in accordance with the Company’s (or the applicable employer of record’s) standard payroll practices and applicable law.</w:t>
      </w:r>
    </w:p>
    <w:p>
      <w:pPr>
        <w:spacing w:after="0" w:line="58" w:lineRule="exact"/>
        <w:rPr>
          <w:sz w:val="20"/>
          <w:szCs w:val="20"/>
          <w:color w:val="auto"/>
        </w:rPr>
      </w:pPr>
    </w:p>
    <w:p>
      <w:pPr>
        <w:ind w:left="700" w:hanging="259"/>
        <w:spacing w:after="0"/>
        <w:tabs>
          <w:tab w:leader="none" w:pos="700" w:val="left"/>
        </w:tabs>
        <w:numPr>
          <w:ilvl w:val="1"/>
          <w:numId w:val="23"/>
        </w:numPr>
        <w:rPr>
          <w:rFonts w:ascii="Arial" w:cs="Arial" w:eastAsia="Arial" w:hAnsi="Arial"/>
          <w:sz w:val="17"/>
          <w:szCs w:val="17"/>
          <w:color w:val="auto"/>
        </w:rPr>
      </w:pPr>
      <w:r>
        <w:rPr>
          <w:rFonts w:ascii="Arial" w:cs="Arial" w:eastAsia="Arial" w:hAnsi="Arial"/>
          <w:sz w:val="17"/>
          <w:szCs w:val="17"/>
          <w:b w:val="1"/>
          <w:bCs w:val="1"/>
          <w:color w:val="auto"/>
        </w:rPr>
        <w:t>Other Termination of Employment</w:t>
      </w:r>
      <w:r>
        <w:rPr>
          <w:rFonts w:ascii="Arial" w:cs="Arial" w:eastAsia="Arial" w:hAnsi="Arial"/>
          <w:sz w:val="17"/>
          <w:szCs w:val="17"/>
          <w:color w:val="auto"/>
        </w:rPr>
        <w:t>. If Executive’s employment terminates for any reason other than those described in subsection (a), the</w:t>
      </w:r>
    </w:p>
    <w:p>
      <w:pPr>
        <w:spacing w:after="0" w:line="38" w:lineRule="exact"/>
        <w:rPr>
          <w:rFonts w:ascii="Arial" w:cs="Arial" w:eastAsia="Arial" w:hAnsi="Arial"/>
          <w:sz w:val="17"/>
          <w:szCs w:val="17"/>
          <w:color w:val="auto"/>
        </w:rPr>
      </w:pPr>
    </w:p>
    <w:p>
      <w:pPr>
        <w:ind w:left="220" w:right="140"/>
        <w:spacing w:after="0" w:line="254" w:lineRule="auto"/>
        <w:rPr>
          <w:rFonts w:ascii="Arial" w:cs="Arial" w:eastAsia="Arial" w:hAnsi="Arial"/>
          <w:sz w:val="17"/>
          <w:szCs w:val="17"/>
          <w:color w:val="auto"/>
        </w:rPr>
      </w:pPr>
      <w:r>
        <w:rPr>
          <w:rFonts w:ascii="Arial" w:cs="Arial" w:eastAsia="Arial" w:hAnsi="Arial"/>
          <w:sz w:val="18"/>
          <w:szCs w:val="18"/>
          <w:color w:val="auto"/>
        </w:rPr>
        <w:t>Executive (or the Executive’s estate in the event of his or her death), shall be entitled to receive only the Accrued Benefits. Executive must be terminated for Cause pursuant to and in accordance with Section 4(c) of this Agreement in order for the consequences of such a Cause termination to apply to Executive under any stock option or similar equity award agreement with the Company to which Executive is then a party. The Company’s obligations under this Section 5 shall survive the termination of this Agreement.</w:t>
      </w:r>
    </w:p>
    <w:p>
      <w:pPr>
        <w:spacing w:after="0" w:line="77" w:lineRule="exact"/>
        <w:rPr>
          <w:rFonts w:ascii="Arial" w:cs="Arial" w:eastAsia="Arial" w:hAnsi="Arial"/>
          <w:sz w:val="17"/>
          <w:szCs w:val="17"/>
          <w:color w:val="auto"/>
        </w:rPr>
      </w:pPr>
    </w:p>
    <w:p>
      <w:pPr>
        <w:ind w:left="-20" w:firstLine="458"/>
        <w:spacing w:after="0" w:line="288" w:lineRule="auto"/>
        <w:tabs>
          <w:tab w:leader="none" w:pos="610"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Limitations on Severance Payments and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this Agreement, if any portion of the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Payment or any other payment under this Agreement, or under any other agreement with or plan of the Company (in the aggregate “Total Payments”), would constitute an “excess parachute payment,” then the Total Payments to be made to Executive shall be reduced such that the value of the aggregate Total Payments that Executive is entitled to receive shall be One Dollar ($1) less than the maximum amount which Executive may receive without becoming subject to the tax imposed by Code Section 4999 or which the Company may pay without loss of deduction under Code Section 280G(a);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reduction in the amount of Total Payments shall not apply if the After-Tax Value to Executive of the Total Payments prior to reduction in accordance herewith is greater than the After-Tax Value to Executive if Total Payments are reduced in accordance herewith. For purposes of this Agreement, the terms “excess parachute payment” and “parachute payments” shall have the meanings assigned to them in Code Section 280G, and such “parachute payments” shall be valued as provided therein. Present value for purposes of this Agreement shall be calculated in accordance with Code Section 1274(b)(2). Within twenty (20) business days following delivery of the notice of termination or notice by Orion to Executive of its belief that there is a payment or benefit due Executive that will result in an excess parachute payment as defined in Code Section 280G, Executive and Orion, at Orion’s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42" w:name="page43"/>
    <w:bookmarkEnd w:id="42"/>
    <w:p>
      <w:pPr>
        <w:ind w:right="20"/>
        <w:spacing w:after="0" w:line="284" w:lineRule="auto"/>
        <w:rPr>
          <w:sz w:val="20"/>
          <w:szCs w:val="20"/>
          <w:color w:val="auto"/>
        </w:rPr>
      </w:pPr>
      <w:r>
        <w:rPr>
          <w:rFonts w:ascii="Arial" w:cs="Arial" w:eastAsia="Arial" w:hAnsi="Arial"/>
          <w:sz w:val="16"/>
          <w:szCs w:val="16"/>
          <w:color w:val="auto"/>
        </w:rPr>
        <w:t>expense, shall obtain the opinion (which need not be unqualified) of nationally recognized tax counsel selected by Orion’s independent auditors and acceptable to Executive in Executive’s sole discretion, which opinion sets forth: (A) the amount of the Base Period Income, (B) the amount and present value of Total Payments, (C) the amount and present value of any excess parachute payments without regard to the limitations of this Section 6, (D) the After-Tax Value of the Total Payments if the reduction in Total Payments contemplated under this Section 6 did not apply, and (E) the After-Tax Value of the Total Payments taking into account the reduction in Total Payments contemplated under this Section 6. As used in this Section 6, the term “Base Period Income” means an amount equal to Executive’s “annualized includible compensation for the base period” as defined in Code Section 280G(d)(1). For purposes of such opinion, the value of any noncash benefits or any deferred payment or benefit shall be determined by Orion’s independent auditors in accordance with the principles of Code Sections 280G(d)(3) and (4), which determination shall be evidenced in a certificate of such auditors addressed to Orion and Executive. For purposes of determining the After-Tax Value of Total Payments, Executive shall be deemed to pay federal income taxes and employment taxes at the highest marginal rate of federal income and employment taxation in the calendar year in which the Termination Payment is to be made and state and local income taxes at the highest marginal rates of taxation in the state and locality of Executive’s domicile for income tax purposes on the date the Termination Payment is to be made, net of the maximum reduction in federal income taxes that may be obtained from deduction of such state and local taxes. Such opinion shall be dated as of the Termination Date and addressed to Orion and Executive and shall be binding upon the Company and Executive. If such opinion determines that there would be an excess parachute payment and that the After-Tax Value of the Total Payments taking into account the reduction contemplated under this Section is greater than the After-Tax Value of the Total Payments if the reduction in Total Payments contemplated under this Section did not apply, then the Termination Payment hereunder or any other payment determined by such counsel to be includible in Total Payments shall be reduced or eliminated as specified by Executive in writing delivered to Orion within five business days of Executive’s receipt of such opinion or, if Executive fails to so notify Orion, then as Orion shall reasonably determine, so that under the bases of calculations set forth in such opinion there will be no excess parachute payment. If such legal counsel so requests in connection with the opinion required by this Section, Executive and Orion shall obtain, at Orion’s expense, and the legal counsel may rely on in providing the opinion, the advice of a firm of recognized executive compensation consultants as to the reasonableness of any item of compensation to be received by Executive. Notwithstanding the foregoing, the provisions of this Section 6, including the calculations, notices and opinions provided for herein, shall be based upon the conclusive presumption that the following are reasonable: (1) the compensation and benefits provided for in Section 3 and (2) any other compensation, including but not limited to the Accrued Benefits, earned prior to the date of Executive’s Separation from Service by the Executive pursuant to the Company’s compensation programs if such payments would have been made in the future in any event, even though the timing of such payment is triggered by the Change in Control or the Executive’s Separation from Service. If the provisions of Code Sections 280G and 4999 are repealed without succession, then this Section 6 shall be of no further force or effect.</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 Covenants by Executive.</w:t>
      </w:r>
    </w:p>
    <w:p>
      <w:pPr>
        <w:spacing w:after="0" w:line="113" w:lineRule="exact"/>
        <w:rPr>
          <w:sz w:val="20"/>
          <w:szCs w:val="20"/>
          <w:color w:val="auto"/>
        </w:rPr>
      </w:pPr>
    </w:p>
    <w:p>
      <w:pPr>
        <w:ind w:left="240" w:firstLine="221"/>
        <w:spacing w:after="0" w:line="266" w:lineRule="auto"/>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Confidentiality and Non-Disclosure</w:t>
      </w:r>
      <w:r>
        <w:rPr>
          <w:rFonts w:ascii="Arial" w:cs="Arial" w:eastAsia="Arial" w:hAnsi="Arial"/>
          <w:sz w:val="18"/>
          <w:szCs w:val="18"/>
          <w:color w:val="auto"/>
        </w:rPr>
        <w:t>. During Executive’s employment with the Company and for a period of two years following Executive’s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from Service, he or she agrees that he or she will not, except in furtherance of the business of the Company, disclose, furnish, or make available to any person or use for the benefit of</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3" w:name="page44"/>
    <w:bookmarkEnd w:id="43"/>
    <w:p>
      <w:pPr>
        <w:ind w:right="40"/>
        <w:spacing w:after="0" w:line="270" w:lineRule="auto"/>
        <w:rPr>
          <w:sz w:val="20"/>
          <w:szCs w:val="20"/>
          <w:color w:val="auto"/>
        </w:rPr>
      </w:pPr>
      <w:r>
        <w:rPr>
          <w:rFonts w:ascii="Arial" w:cs="Arial" w:eastAsia="Arial" w:hAnsi="Arial"/>
          <w:sz w:val="17"/>
          <w:szCs w:val="17"/>
          <w:color w:val="auto"/>
        </w:rPr>
        <w:t xml:space="preserve">himself or herself or any other person any confidential or proprietary information or data of the Company including, but not limited to, trade secrets, customer and supplier lists, pricing policies, operational methods, marketing plans or strategies, product development techniques or plans, business acquisition or disposition plans, new personnel employment plans, methods of manufacture, technical process, and formulae, designs and design projects, inventions and research projects and financial budgets and forecasts except (i) information which at the time is available to others in the business or generally known to the public other than as a result of disclosure by Executive not permitted hereunder, and (ii) when required to do so by a court of competent jurisdiction, by any governmental agency or by any administrative, legislative or regulatory body;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this instance Executive shall make reasonable efforts to inform the Company of any such request prior to any disclosure so as to permit the Company a meaningful opportunity to seek a protective order or similar adjudication. Upon termination of his or her employment with the Company, Executive will immediately return to the Company all written or electronically stored confidential or proprietary information in whatever format it is contained.</w:t>
      </w:r>
    </w:p>
    <w:p>
      <w:pPr>
        <w:spacing w:after="0" w:line="74" w:lineRule="exact"/>
        <w:rPr>
          <w:sz w:val="20"/>
          <w:szCs w:val="20"/>
          <w:color w:val="auto"/>
        </w:rPr>
      </w:pPr>
    </w:p>
    <w:p>
      <w:pPr>
        <w:ind w:left="480" w:hanging="259"/>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Non-Competition/Non-Solicitation.</w:t>
      </w:r>
    </w:p>
    <w:p>
      <w:pPr>
        <w:spacing w:after="0" w:line="117" w:lineRule="exact"/>
        <w:rPr>
          <w:rFonts w:ascii="Arial" w:cs="Arial" w:eastAsia="Arial" w:hAnsi="Arial"/>
          <w:sz w:val="18"/>
          <w:szCs w:val="18"/>
          <w:color w:val="auto"/>
        </w:rPr>
      </w:pPr>
    </w:p>
    <w:p>
      <w:pPr>
        <w:ind w:left="220" w:right="340" w:firstLine="229"/>
        <w:spacing w:after="0" w:line="25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directly or indirectly engage, or assist any business or entity, in Competitive Business Activity in any capacity, including without limitation as an employee, officer, or director of, or consultant or advisor to, any person or entity engaged directly or indirectly in a business which engages in Competitive Business Activity, in North America or anywhere that Orion or its Successor does business at the time of Executive’s termination of employment, without the written consent of the Board.</w:t>
      </w:r>
    </w:p>
    <w:p>
      <w:pPr>
        <w:spacing w:after="0" w:line="80" w:lineRule="exact"/>
        <w:rPr>
          <w:rFonts w:ascii="Arial" w:cs="Arial" w:eastAsia="Arial" w:hAnsi="Arial"/>
          <w:sz w:val="18"/>
          <w:szCs w:val="18"/>
          <w:color w:val="auto"/>
        </w:rPr>
      </w:pPr>
    </w:p>
    <w:p>
      <w:pPr>
        <w:ind w:left="220" w:right="200" w:firstLine="229"/>
        <w:spacing w:after="0" w:line="257" w:lineRule="auto"/>
        <w:tabs>
          <w:tab w:leader="none" w:pos="71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During Executive’s employment with the Company and for a period of two years following Executive’s Separation from Service, Executive agrees not to, in any form or manner, directly or indirectly, on his or her own behalf or in combination with others (1) solicit, induce or influence any customer, supplier, lender, lessor or any other person with a business relationship with the Company to discontinue or reduce the extent of such business relationship, or (2) recruit, solicit or otherwise induce or influence any employee of the Company to discontinue their employment with the Company.</w:t>
      </w:r>
    </w:p>
    <w:p>
      <w:pPr>
        <w:spacing w:after="0" w:line="80" w:lineRule="exact"/>
        <w:rPr>
          <w:rFonts w:ascii="Arial" w:cs="Arial" w:eastAsia="Arial" w:hAnsi="Arial"/>
          <w:sz w:val="18"/>
          <w:szCs w:val="18"/>
          <w:color w:val="auto"/>
        </w:rPr>
      </w:pPr>
    </w:p>
    <w:p>
      <w:pPr>
        <w:ind w:left="460" w:hanging="239"/>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and Assignment to the Company of Inventions and Innovations.</w:t>
      </w:r>
    </w:p>
    <w:p>
      <w:pPr>
        <w:spacing w:after="0" w:line="117" w:lineRule="exact"/>
        <w:rPr>
          <w:rFonts w:ascii="Arial" w:cs="Arial" w:eastAsia="Arial" w:hAnsi="Arial"/>
          <w:sz w:val="18"/>
          <w:szCs w:val="18"/>
          <w:color w:val="auto"/>
        </w:rPr>
      </w:pPr>
    </w:p>
    <w:p>
      <w:pPr>
        <w:ind w:left="220" w:firstLine="229"/>
        <w:spacing w:after="0" w:line="276" w:lineRule="auto"/>
        <w:tabs>
          <w:tab w:leader="none" w:pos="66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Executive agrees to disclose and assign to the Company as the Company’s exclusive property, all inventions and technical or business innovations, including but not limited to all patentable and copyrightable subject matter (collectively, the “Innovations”) developed, authored or conceived by Executive solely or jointly with others during the period of Executive’s employment, including during Executive’s employment prior to the date of this Agreement, (1) that are along the lines of the business, work or investigations of the Company to which Executive’s employment relates or as to which Executive may receive information due to Executive’s employment with the Company, or</w:t>
      </w:r>
    </w:p>
    <w:p>
      <w:pPr>
        <w:spacing w:after="0" w:line="14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6" w:right="279" w:bottom="1440" w:gutter="0" w:footer="0" w:header="0"/>
        </w:sectPr>
      </w:pPr>
    </w:p>
    <w:bookmarkStart w:id="44" w:name="page45"/>
    <w:bookmarkEnd w:id="44"/>
    <w:p>
      <w:pPr>
        <w:ind w:left="220" w:right="40" w:firstLine="4"/>
        <w:spacing w:after="0" w:line="342" w:lineRule="auto"/>
        <w:tabs>
          <w:tab w:leader="none" w:pos="475"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that result from or are suggested by any work which Executive may do for the Company or (3) that are otherwise made through the use of Company time, facilities or materials. To the extent any of the Innovations is copyrightable, each such Innovation shall be considered a “work for hire.”</w:t>
      </w:r>
    </w:p>
    <w:p>
      <w:pPr>
        <w:spacing w:after="0" w:line="15" w:lineRule="exact"/>
        <w:rPr>
          <w:rFonts w:ascii="Arial" w:cs="Arial" w:eastAsia="Arial" w:hAnsi="Arial"/>
          <w:sz w:val="16"/>
          <w:szCs w:val="16"/>
          <w:color w:val="auto"/>
        </w:rPr>
      </w:pPr>
    </w:p>
    <w:p>
      <w:pPr>
        <w:ind w:left="220" w:right="20" w:firstLine="229"/>
        <w:spacing w:after="0" w:line="264" w:lineRule="auto"/>
        <w:tabs>
          <w:tab w:leader="none" w:pos="71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Executive agrees to execute all necessary papers and otherwise provide proper assistance (at the Company’s expense), during and subsequent to Executive’s employment, to enable the Company to obtain for itself or its nominees, all right, title, and interest in and to patents, copyrights, trademarks or other legal protection for such Innovations in any and all countries.</w:t>
      </w:r>
    </w:p>
    <w:p>
      <w:pPr>
        <w:spacing w:after="0" w:line="73" w:lineRule="exact"/>
        <w:rPr>
          <w:rFonts w:ascii="Arial" w:cs="Arial" w:eastAsia="Arial" w:hAnsi="Arial"/>
          <w:sz w:val="18"/>
          <w:szCs w:val="18"/>
          <w:color w:val="auto"/>
        </w:rPr>
      </w:pPr>
    </w:p>
    <w:p>
      <w:pPr>
        <w:ind w:left="760" w:hanging="311"/>
        <w:spacing w:after="0"/>
        <w:tabs>
          <w:tab w:leader="none" w:pos="7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Executive agrees to make and maintain for the Company adequate and current written records of all such Innovations;</w:t>
      </w:r>
    </w:p>
    <w:p>
      <w:pPr>
        <w:spacing w:after="0" w:line="117" w:lineRule="exact"/>
        <w:rPr>
          <w:rFonts w:ascii="Arial" w:cs="Arial" w:eastAsia="Arial" w:hAnsi="Arial"/>
          <w:sz w:val="18"/>
          <w:szCs w:val="18"/>
          <w:color w:val="auto"/>
        </w:rPr>
      </w:pPr>
    </w:p>
    <w:p>
      <w:pPr>
        <w:ind w:left="220" w:right="20" w:firstLine="229"/>
        <w:spacing w:after="0" w:line="264" w:lineRule="auto"/>
        <w:tabs>
          <w:tab w:leader="none" w:pos="750" w:val="left"/>
        </w:tabs>
        <w:numPr>
          <w:ilvl w:val="2"/>
          <w:numId w:val="27"/>
        </w:numPr>
        <w:rPr>
          <w:rFonts w:ascii="Arial" w:cs="Arial" w:eastAsia="Arial" w:hAnsi="Arial"/>
          <w:sz w:val="18"/>
          <w:szCs w:val="18"/>
          <w:color w:val="auto"/>
        </w:rPr>
      </w:pPr>
      <w:r>
        <w:rPr>
          <w:rFonts w:ascii="Arial" w:cs="Arial" w:eastAsia="Arial" w:hAnsi="Arial"/>
          <w:sz w:val="18"/>
          <w:szCs w:val="18"/>
          <w:color w:val="auto"/>
        </w:rPr>
        <w:t>Upon any termination of Executive’s employment, employee agrees to deliver to the Company promptly all items which belong to the Company or which by their nature are for the use of Company employees only, including, without limitation, all written and other materials which are of a secret or confidential nature relating to the business of the Company.</w:t>
      </w:r>
    </w:p>
    <w:p>
      <w:pPr>
        <w:spacing w:after="0" w:line="73" w:lineRule="exact"/>
        <w:rPr>
          <w:rFonts w:ascii="Arial" w:cs="Arial" w:eastAsia="Arial" w:hAnsi="Arial"/>
          <w:sz w:val="18"/>
          <w:szCs w:val="18"/>
          <w:color w:val="auto"/>
        </w:rPr>
      </w:pPr>
    </w:p>
    <w:p>
      <w:pPr>
        <w:ind w:left="220" w:firstLine="229"/>
        <w:spacing w:after="0" w:line="291" w:lineRule="auto"/>
        <w:tabs>
          <w:tab w:leader="none" w:pos="700" w:val="left"/>
        </w:tabs>
        <w:numPr>
          <w:ilvl w:val="2"/>
          <w:numId w:val="27"/>
        </w:numPr>
        <w:rPr>
          <w:rFonts w:ascii="Arial" w:cs="Arial" w:eastAsia="Arial" w:hAnsi="Arial"/>
          <w:sz w:val="16"/>
          <w:szCs w:val="16"/>
          <w:color w:val="auto"/>
        </w:rPr>
      </w:pPr>
      <w:r>
        <w:rPr>
          <w:rFonts w:ascii="Arial" w:cs="Arial" w:eastAsia="Arial" w:hAnsi="Arial"/>
          <w:sz w:val="16"/>
          <w:szCs w:val="16"/>
          <w:color w:val="auto"/>
        </w:rPr>
        <w:t>In the event Company is unable for any reason whatsoever to secure Executive’s signature to any lawful and necessary documents required, including those necessary for the assignment of, application for, or prosecution of any United States or foreign application for letters patent or copyright for any Innovation, Executive hereby irrevocably designates and appoints Company and its duly authorized officers and agents as Executive’s agent and attorney-in-fact, to act for and in Executive’s behalf and stead to execute and file any such applications and to do all other lawfully permitted acts to further the assignment, prosecution, and issuance of letters patent or registration of copyright thereon with the same legal force and effect as if executed by Executive. Executive hereby waives and quitclaims to Company any and all claims, of any nature whatsoever, which Executive may now have or may hereafter have for infringement of any patent or copyright resulting from any such application.</w:t>
      </w:r>
    </w:p>
    <w:p>
      <w:pPr>
        <w:spacing w:after="0" w:line="55" w:lineRule="exact"/>
        <w:rPr>
          <w:rFonts w:ascii="Arial" w:cs="Arial" w:eastAsia="Arial" w:hAnsi="Arial"/>
          <w:sz w:val="16"/>
          <w:szCs w:val="16"/>
          <w:color w:val="auto"/>
        </w:rPr>
      </w:pPr>
    </w:p>
    <w:p>
      <w:pPr>
        <w:ind w:right="60" w:firstLine="221"/>
        <w:spacing w:after="0" w:line="273" w:lineRule="auto"/>
        <w:tabs>
          <w:tab w:leader="none" w:pos="48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Remedies Not Exclusive</w:t>
      </w:r>
      <w:r>
        <w:rPr>
          <w:rFonts w:ascii="Arial" w:cs="Arial" w:eastAsia="Arial" w:hAnsi="Arial"/>
          <w:sz w:val="17"/>
          <w:szCs w:val="17"/>
          <w:color w:val="auto"/>
        </w:rPr>
        <w:t>. In the event that Executive breaches any terms of this Section 7, Executive acknowledges and agrees that said breach</w:t>
      </w:r>
      <w:r>
        <w:rPr>
          <w:rFonts w:ascii="Arial" w:cs="Arial" w:eastAsia="Arial" w:hAnsi="Arial"/>
          <w:sz w:val="17"/>
          <w:szCs w:val="17"/>
          <w:b w:val="1"/>
          <w:bCs w:val="1"/>
          <w:color w:val="auto"/>
        </w:rPr>
        <w:t xml:space="preserve"> </w:t>
      </w:r>
      <w:r>
        <w:rPr>
          <w:rFonts w:ascii="Arial" w:cs="Arial" w:eastAsia="Arial" w:hAnsi="Arial"/>
          <w:sz w:val="17"/>
          <w:szCs w:val="17"/>
          <w:color w:val="auto"/>
        </w:rPr>
        <w:t>may result in the immediate and irreparable harm to the business and goodwill of the Company and that damages, if any, and remedies of law for such breach may be inadequate and indeterminable. The Company, upon Executive’s breach of this Section 7, shall therefore be entitled (in addition to and without limiting any other remedies that the Company may seek under this Agreement or otherwise at law or in equity) to (1) seek from any court of competent jurisdiction equitable relief by way of temporary or permanent injunction and without being required to post a bond, to restrain any violation of this Section 7, and for such further relief as the court may deem just or proper in law or equity, and (2) in the event that the Company shall prevail, its reasonable attorneys fees and costs and other expenses in enforcing its rights under this Section 7.</w:t>
      </w:r>
    </w:p>
    <w:p>
      <w:pPr>
        <w:spacing w:after="0" w:line="64" w:lineRule="exact"/>
        <w:rPr>
          <w:rFonts w:ascii="Arial" w:cs="Arial" w:eastAsia="Arial" w:hAnsi="Arial"/>
          <w:sz w:val="17"/>
          <w:szCs w:val="17"/>
          <w:color w:val="auto"/>
        </w:rPr>
      </w:pPr>
    </w:p>
    <w:p>
      <w:pPr>
        <w:ind w:right="120" w:firstLine="221"/>
        <w:spacing w:after="0" w:line="282" w:lineRule="auto"/>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Severability of Provisions</w:t>
      </w:r>
      <w:r>
        <w:rPr>
          <w:rFonts w:ascii="Arial" w:cs="Arial" w:eastAsia="Arial" w:hAnsi="Arial"/>
          <w:sz w:val="18"/>
          <w:szCs w:val="18"/>
          <w:color w:val="auto"/>
        </w:rPr>
        <w:t>. If any restriction, limitation, or provision of this Section 7 is deemed to be unreasonable, onerous, or unduly restrictive</w:t>
      </w:r>
      <w:r>
        <w:rPr>
          <w:rFonts w:ascii="Arial" w:cs="Arial" w:eastAsia="Arial" w:hAnsi="Arial"/>
          <w:sz w:val="18"/>
          <w:szCs w:val="18"/>
          <w:b w:val="1"/>
          <w:bCs w:val="1"/>
          <w:color w:val="auto"/>
        </w:rPr>
        <w:t xml:space="preserve"> </w:t>
      </w:r>
      <w:r>
        <w:rPr>
          <w:rFonts w:ascii="Arial" w:cs="Arial" w:eastAsia="Arial" w:hAnsi="Arial"/>
          <w:sz w:val="18"/>
          <w:szCs w:val="18"/>
          <w:color w:val="auto"/>
        </w:rPr>
        <w:t>by a court of competent jurisdiction, it shall not be stricken in its entirety and held totally void and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45" w:name="page46"/>
    <w:bookmarkEnd w:id="45"/>
    <w:p>
      <w:pPr>
        <w:ind w:left="220"/>
        <w:spacing w:after="0" w:line="259" w:lineRule="auto"/>
        <w:rPr>
          <w:sz w:val="20"/>
          <w:szCs w:val="20"/>
          <w:color w:val="auto"/>
        </w:rPr>
      </w:pPr>
      <w:r>
        <w:rPr>
          <w:rFonts w:ascii="Arial" w:cs="Arial" w:eastAsia="Arial" w:hAnsi="Arial"/>
          <w:sz w:val="18"/>
          <w:szCs w:val="18"/>
          <w:color w:val="auto"/>
        </w:rPr>
        <w:t>unenforceable, but shall remain effective to the maximum extent possible within the bounds of the law. If any phrase, clause or provision of this Section 7 is declared invalid or unenforceable by a court of competent jurisdiction, such phrase, clause, or provision shall be deemed severed from this Section 7, but will not affect any other provision of this Section 7, which shall otherwise remain in full force and effect. The provisions of this Section 7 are each declared to be separate and distinct covenants by Executive.</w:t>
      </w:r>
    </w:p>
    <w:p>
      <w:pPr>
        <w:spacing w:after="0" w:line="75" w:lineRule="exact"/>
        <w:rPr>
          <w:sz w:val="20"/>
          <w:szCs w:val="20"/>
          <w:color w:val="auto"/>
        </w:rPr>
      </w:pPr>
    </w:p>
    <w:p>
      <w:pPr>
        <w:ind w:left="-20" w:right="120" w:firstLine="458"/>
        <w:spacing w:after="0" w:line="261"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Any notice, request, demand or other communication required or permitted herein will be deemed to be properly given when personally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in writing or when deposited in the United States mail, postage prepaid, addressed to Executive at the address appearing at the end of this Agreement and to the Company with attention to the Chief Executive Officer of Orion and the General Counsel of Orion. Either party may change its address by written notice in accordance with this paragraph.</w:t>
      </w:r>
    </w:p>
    <w:p>
      <w:pPr>
        <w:spacing w:after="0" w:line="71" w:lineRule="exact"/>
        <w:rPr>
          <w:rFonts w:ascii="Arial" w:cs="Arial" w:eastAsia="Arial" w:hAnsi="Arial"/>
          <w:sz w:val="18"/>
          <w:szCs w:val="18"/>
          <w:color w:val="auto"/>
        </w:rPr>
      </w:pPr>
    </w:p>
    <w:p>
      <w:pPr>
        <w:ind w:left="-20" w:right="20" w:firstLine="458"/>
        <w:spacing w:after="0" w:line="266" w:lineRule="auto"/>
        <w:tabs>
          <w:tab w:leader="none" w:pos="61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Set Off; Mitigation</w:t>
      </w:r>
      <w:r>
        <w:rPr>
          <w:rFonts w:ascii="Arial" w:cs="Arial" w:eastAsia="Arial" w:hAnsi="Arial"/>
          <w:sz w:val="18"/>
          <w:szCs w:val="18"/>
          <w:color w:val="auto"/>
        </w:rPr>
        <w:t>. The Company’s obligation to pay Executive the amounts and to provide the benefits hereunder shall be subject to set-off,</w:t>
      </w:r>
      <w:r>
        <w:rPr>
          <w:rFonts w:ascii="Arial" w:cs="Arial" w:eastAsia="Arial" w:hAnsi="Arial"/>
          <w:sz w:val="18"/>
          <w:szCs w:val="18"/>
          <w:b w:val="1"/>
          <w:bCs w:val="1"/>
          <w:color w:val="auto"/>
        </w:rPr>
        <w:t xml:space="preserve"> </w:t>
      </w:r>
      <w:r>
        <w:rPr>
          <w:rFonts w:ascii="Arial" w:cs="Arial" w:eastAsia="Arial" w:hAnsi="Arial"/>
          <w:sz w:val="18"/>
          <w:szCs w:val="18"/>
          <w:color w:val="auto"/>
        </w:rPr>
        <w:t>counterclaim or recoupment of amounts owed by Executive to the Company. However, Executive shall not be required to mitigate the amount of any payment provided for pursuant to this Agreement by seeking other employment or otherwise.</w:t>
      </w:r>
    </w:p>
    <w:p>
      <w:pPr>
        <w:spacing w:after="0" w:line="68" w:lineRule="exact"/>
        <w:rPr>
          <w:rFonts w:ascii="Arial" w:cs="Arial" w:eastAsia="Arial" w:hAnsi="Arial"/>
          <w:sz w:val="18"/>
          <w:szCs w:val="18"/>
          <w:color w:val="auto"/>
        </w:rPr>
      </w:pPr>
    </w:p>
    <w:p>
      <w:pPr>
        <w:ind w:left="-20" w:firstLine="458"/>
        <w:spacing w:after="0" w:line="286" w:lineRule="auto"/>
        <w:tabs>
          <w:tab w:leader="none" w:pos="700" w:val="left"/>
        </w:tabs>
        <w:numPr>
          <w:ilvl w:val="0"/>
          <w:numId w:val="29"/>
        </w:numPr>
        <w:rPr>
          <w:rFonts w:ascii="Arial" w:cs="Arial" w:eastAsia="Arial" w:hAnsi="Arial"/>
          <w:sz w:val="16"/>
          <w:szCs w:val="16"/>
          <w:color w:val="auto"/>
        </w:rPr>
      </w:pPr>
      <w:r>
        <w:rPr>
          <w:rFonts w:ascii="Arial" w:cs="Arial" w:eastAsia="Arial" w:hAnsi="Arial"/>
          <w:sz w:val="16"/>
          <w:szCs w:val="16"/>
          <w:b w:val="1"/>
          <w:bCs w:val="1"/>
          <w:u w:val="single" w:color="auto"/>
          <w:color w:val="auto"/>
        </w:rPr>
        <w:t>Benefit of Agreement</w:t>
      </w:r>
      <w:r>
        <w:rPr>
          <w:rFonts w:ascii="Arial" w:cs="Arial" w:eastAsia="Arial" w:hAnsi="Arial"/>
          <w:sz w:val="16"/>
          <w:szCs w:val="16"/>
          <w:color w:val="auto"/>
        </w:rPr>
        <w:t>. This Agreement shall inure to the benefit of and be binding upon the parties hereto and their respective executors,</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administrators, successors and assigns. If Orion experiences a Change of Control, or otherwise sells, assigns or transfers all or substantially all of its business and assets to any person or if Orion merges into or consolidates or otherwise combines (where Orion does not survive such combination) with any person (any such event, a “Sale of Business”), then Orion shall assign all of its right, title and interest in this Agreement as of the date of such event to such person, and Orion shall cause such person, by written agreement in form and substance reasonably satisfactory to Executive, to expressly assume and agree to perform from and after the date of such assignment all of the terms, conditions and provisions imposed by this Agreement upon the Company. Failure of Orion to obtain such agreement prior to the effective date of such Sale of Business shall be a breach of this Agreement constituting “Good Reason” hereunder, except that for purposes of implementing the foregoing the date upon which such Sale of Business becomes effective shall be the Termination Date. In case of such assignment by Orion and of assumption and agreement by such person, as used in this Agreement, “Orion” shall thereafter mean the person which executes and delivers the agreement provided for in this Section 10 or which otherwise becomes bound by all the terms and provisions of this Agreement by operation of law, and this Agreement shall inure to the benefit of, and be enforceable by, such person. Executive shall, in his or her discretion, be entitled to proceed against any or all of such persons, any person which theretofore was such a successor to Orion, and Orion (as so defined) in any action to enforce any rights of Executive hereunder. Except as provided in this Section 10, this Agreement shall not be assignable by Orion. This Agreement shall not be terminated by the voluntary or involuntary dissolution of Orion.</w:t>
      </w:r>
    </w:p>
    <w:p>
      <w:pPr>
        <w:spacing w:after="0" w:line="63" w:lineRule="exact"/>
        <w:rPr>
          <w:rFonts w:ascii="Arial" w:cs="Arial" w:eastAsia="Arial" w:hAnsi="Arial"/>
          <w:sz w:val="16"/>
          <w:szCs w:val="16"/>
          <w:color w:val="auto"/>
        </w:rPr>
      </w:pPr>
    </w:p>
    <w:p>
      <w:pPr>
        <w:ind w:left="-20" w:right="40" w:firstLine="458"/>
        <w:spacing w:after="0" w:line="261" w:lineRule="auto"/>
        <w:tabs>
          <w:tab w:leader="none" w:pos="693"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color w:val="auto"/>
        </w:rPr>
        <w:t>. Any controversy or claim arising out of or relating to this Agreement or the breach of this Agreement that cannot be mutually resolved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Executive and the Company, including any dispute as to the calculation of the Executive’s Benefits, Base Salary, Bonus Amount or any Severance Payment hereunder, shall be submitted to arbitration in Milwaukee, Wisconsin, in accordance with the procedures of the American Arbitration Association. The determination of the arbitrator shall be conclusive and binding on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Company and the Executive, and judgment may be entered on the arbitrator’s award in any court having jurisdiction.</w:t>
      </w:r>
    </w:p>
    <w:p>
      <w:pPr>
        <w:spacing w:after="0" w:line="113" w:lineRule="exact"/>
        <w:rPr>
          <w:sz w:val="20"/>
          <w:szCs w:val="20"/>
          <w:color w:val="auto"/>
        </w:rPr>
      </w:pPr>
    </w:p>
    <w:p>
      <w:pPr>
        <w:ind w:right="260" w:firstLine="458"/>
        <w:spacing w:after="0" w:line="261"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and Jurisdiction</w:t>
      </w:r>
      <w:r>
        <w:rPr>
          <w:rFonts w:ascii="Arial" w:cs="Arial" w:eastAsia="Arial" w:hAnsi="Arial"/>
          <w:sz w:val="18"/>
          <w:szCs w:val="18"/>
          <w:color w:val="auto"/>
        </w:rPr>
        <w:t>. This Agreement is to be governed by and construed under the laws of the United States and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resort to Wisconsin’s choice of law rules. Each party hereby agrees that the forum and venue for any legal or equitable action or proceeding arising out of, or in connection with, this Agreement will lie in the appropriate federal or state courts in the State of Wisconsin and specifically waives any and all objections to such jurisdiction and venue.</w:t>
      </w:r>
    </w:p>
    <w:p>
      <w:pPr>
        <w:spacing w:after="0" w:line="71"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and Paragraph Headings</w:t>
      </w:r>
      <w:r>
        <w:rPr>
          <w:rFonts w:ascii="Arial" w:cs="Arial" w:eastAsia="Arial" w:hAnsi="Arial"/>
          <w:sz w:val="18"/>
          <w:szCs w:val="18"/>
          <w:color w:val="auto"/>
        </w:rPr>
        <w:t>. Captions and paragraph headings used herein are for convenience only and are not a part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will not be used in construing it.</w:t>
      </w:r>
    </w:p>
    <w:p>
      <w:pPr>
        <w:spacing w:after="0" w:line="53" w:lineRule="exact"/>
        <w:rPr>
          <w:rFonts w:ascii="Arial" w:cs="Arial" w:eastAsia="Arial" w:hAnsi="Arial"/>
          <w:sz w:val="18"/>
          <w:szCs w:val="18"/>
          <w:color w:val="auto"/>
        </w:rPr>
      </w:pPr>
    </w:p>
    <w:p>
      <w:pPr>
        <w:ind w:right="40" w:firstLine="458"/>
        <w:spacing w:after="0" w:line="26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Invalid Provisions</w:t>
      </w:r>
      <w:r>
        <w:rPr>
          <w:rFonts w:ascii="Arial" w:cs="Arial" w:eastAsia="Arial" w:hAnsi="Arial"/>
          <w:sz w:val="18"/>
          <w:szCs w:val="18"/>
          <w:color w:val="auto"/>
        </w:rPr>
        <w:t>. Subject to Section 7(e), should any provision of this Agreement for any reason be declared invalid, void, or unenforceable by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the validity and binding effect of any remaining portion will not be affected, and the remaining portions of this Agreement will remain in full force and effect as if this Agreement had been executed with said provision eliminated.</w:t>
      </w:r>
    </w:p>
    <w:p>
      <w:pPr>
        <w:spacing w:after="0" w:line="68" w:lineRule="exact"/>
        <w:rPr>
          <w:rFonts w:ascii="Arial" w:cs="Arial" w:eastAsia="Arial" w:hAnsi="Arial"/>
          <w:sz w:val="18"/>
          <w:szCs w:val="18"/>
          <w:color w:val="auto"/>
        </w:rPr>
      </w:pPr>
    </w:p>
    <w:p>
      <w:pPr>
        <w:ind w:right="40" w:firstLine="458"/>
        <w:spacing w:after="0" w:line="31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No Waiver</w:t>
      </w:r>
      <w:r>
        <w:rPr>
          <w:rFonts w:ascii="Arial" w:cs="Arial" w:eastAsia="Arial" w:hAnsi="Arial"/>
          <w:sz w:val="17"/>
          <w:szCs w:val="17"/>
          <w:color w:val="auto"/>
        </w:rPr>
        <w:t>. The failure of a party to insist upon strict adherence to any term of this Agreement on any occasion shall not be considered a waiver of</w:t>
      </w:r>
      <w:r>
        <w:rPr>
          <w:rFonts w:ascii="Arial" w:cs="Arial" w:eastAsia="Arial" w:hAnsi="Arial"/>
          <w:sz w:val="17"/>
          <w:szCs w:val="17"/>
          <w:b w:val="1"/>
          <w:bCs w:val="1"/>
          <w:color w:val="auto"/>
        </w:rPr>
        <w:t xml:space="preserve"> </w:t>
      </w:r>
      <w:r>
        <w:rPr>
          <w:rFonts w:ascii="Arial" w:cs="Arial" w:eastAsia="Arial" w:hAnsi="Arial"/>
          <w:sz w:val="17"/>
          <w:szCs w:val="17"/>
          <w:color w:val="auto"/>
        </w:rPr>
        <w:t>such party’s rights or deprive such party of the right thereafter to insist upon strict adherence to that term or any other term of this Agreement.</w:t>
      </w:r>
    </w:p>
    <w:p>
      <w:pPr>
        <w:spacing w:after="0" w:line="30" w:lineRule="exact"/>
        <w:rPr>
          <w:rFonts w:ascii="Arial" w:cs="Arial" w:eastAsia="Arial" w:hAnsi="Arial"/>
          <w:sz w:val="17"/>
          <w:szCs w:val="17"/>
          <w:color w:val="auto"/>
        </w:rPr>
      </w:pPr>
    </w:p>
    <w:p>
      <w:pPr>
        <w:ind w:firstLine="458"/>
        <w:spacing w:after="0" w:line="273" w:lineRule="auto"/>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contains the entire agreement of the parties with respect to the subject matter of this Agreement except where</w:t>
      </w:r>
      <w:r>
        <w:rPr>
          <w:rFonts w:ascii="Arial" w:cs="Arial" w:eastAsia="Arial" w:hAnsi="Arial"/>
          <w:sz w:val="17"/>
          <w:szCs w:val="17"/>
          <w:b w:val="1"/>
          <w:bCs w:val="1"/>
          <w:color w:val="auto"/>
        </w:rPr>
        <w:t xml:space="preserve"> </w:t>
      </w:r>
      <w:r>
        <w:rPr>
          <w:rFonts w:ascii="Arial" w:cs="Arial" w:eastAsia="Arial" w:hAnsi="Arial"/>
          <w:sz w:val="17"/>
          <w:szCs w:val="17"/>
          <w:color w:val="auto"/>
        </w:rPr>
        <w:t>other agreements are specifically noted, adopted, or incorporated by reference. This Agreement otherwise supersedes any and all other agreements (including with respect to the definition of Cause and the process for Cause termination, any stock option or similar equity award agreements with the Company to which Executive may now or hereafter be a party), either oral or in writing, between the parties hereto with respect to the employment of Executive by Company, and all such agreements shall be void and of no effect. Each party to this Agreement acknowledges that no representations, inducements, promises, or agreements, oral or otherwise, have been made by any party, or anyone acting on behalf of any party, which are not embodied herein, and that no other agreement, statement, or promise not contained in this Agreement will be valid or binding.</w:t>
      </w:r>
    </w:p>
    <w:p>
      <w:pPr>
        <w:spacing w:after="0" w:line="64" w:lineRule="exact"/>
        <w:rPr>
          <w:rFonts w:ascii="Arial" w:cs="Arial" w:eastAsia="Arial" w:hAnsi="Arial"/>
          <w:sz w:val="17"/>
          <w:szCs w:val="17"/>
          <w:color w:val="auto"/>
        </w:rPr>
      </w:pPr>
    </w:p>
    <w:p>
      <w:pPr>
        <w:ind w:right="460" w:firstLine="458"/>
        <w:spacing w:after="0" w:line="282"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Modification</w:t>
      </w:r>
      <w:r>
        <w:rPr>
          <w:rFonts w:ascii="Arial" w:cs="Arial" w:eastAsia="Arial" w:hAnsi="Arial"/>
          <w:sz w:val="18"/>
          <w:szCs w:val="18"/>
          <w:color w:val="auto"/>
        </w:rPr>
        <w:t>. This Agreement may not be modified or amended by oral agreement, but only by an agreement in writing signed by Orion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w:t>
      </w:r>
    </w:p>
    <w:p>
      <w:pPr>
        <w:spacing w:after="0" w:line="53" w:lineRule="exact"/>
        <w:rPr>
          <w:rFonts w:ascii="Arial" w:cs="Arial" w:eastAsia="Arial" w:hAnsi="Arial"/>
          <w:sz w:val="18"/>
          <w:szCs w:val="18"/>
          <w:color w:val="auto"/>
        </w:rPr>
      </w:pPr>
    </w:p>
    <w:p>
      <w:pPr>
        <w:ind w:right="160" w:firstLine="458"/>
        <w:spacing w:after="0" w:line="282"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signed in counterparts, each of which shall be an original, with the same effect as if the signatures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hereto were upon the same instrument..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6"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EXECUTIVE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 Patricia A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6294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Patricia A.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6376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February 4,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ENERGY SYSTEMS,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/s/ Thomas A. Quadracci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6350</wp:posOffset>
            </wp:positionV>
            <wp:extent cx="1449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Thomas A. Quadracci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w:t>
      </w:r>
    </w:p>
    <w:p>
      <w:pPr>
        <w:spacing w:after="0" w:line="1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932" w:right="1440"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17" w:lineRule="exact"/>
        <w:rPr>
          <w:sz w:val="20"/>
          <w:szCs w:val="20"/>
          <w:color w:val="auto"/>
        </w:rPr>
      </w:pPr>
    </w:p>
    <w:p>
      <w:pPr>
        <w:ind w:left="560" w:hanging="241"/>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560" w:right="380" w:hanging="241"/>
        <w:spacing w:after="0" w:line="264"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60" w:right="360" w:hanging="241"/>
        <w:spacing w:after="0" w:line="308"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60" w:right="380" w:hanging="241"/>
        <w:spacing w:after="0" w:line="277"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right="280" w:hanging="241"/>
        <w:spacing w:after="0" w:line="308"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17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17" w:lineRule="exact"/>
        <w:rPr>
          <w:sz w:val="20"/>
          <w:szCs w:val="20"/>
          <w:color w:val="auto"/>
        </w:rPr>
      </w:pPr>
    </w:p>
    <w:p>
      <w:pPr>
        <w:ind w:left="560" w:hanging="241"/>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Orion Energy Systems, Inc.;</w:t>
      </w:r>
    </w:p>
    <w:p>
      <w:pPr>
        <w:spacing w:after="0" w:line="130" w:lineRule="exact"/>
        <w:rPr>
          <w:rFonts w:ascii="Arial" w:cs="Arial" w:eastAsia="Arial" w:hAnsi="Arial"/>
          <w:sz w:val="18"/>
          <w:szCs w:val="18"/>
          <w:color w:val="auto"/>
        </w:rPr>
      </w:pPr>
    </w:p>
    <w:p>
      <w:pPr>
        <w:jc w:val="both"/>
        <w:ind w:left="560" w:right="380" w:hanging="241"/>
        <w:spacing w:after="0" w:line="264"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60" w:right="360" w:hanging="241"/>
        <w:spacing w:after="0" w:line="308"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60" w:right="380" w:hanging="241"/>
        <w:spacing w:after="0" w:line="277"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20" w:right="80" w:hanging="437"/>
        <w:spacing w:after="0" w:line="264"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1120" w:right="560" w:hanging="437"/>
        <w:spacing w:after="0" w:line="342" w:lineRule="auto"/>
        <w:tabs>
          <w:tab w:leader="none" w:pos="1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437"/>
        <w:spacing w:after="0" w:line="264"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60" w:right="280" w:hanging="241"/>
        <w:spacing w:after="0" w:line="308" w:lineRule="auto"/>
        <w:tabs>
          <w:tab w:leader="none" w:pos="5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437"/>
        <w:spacing w:after="0" w:line="342" w:lineRule="auto"/>
        <w:tabs>
          <w:tab w:leader="none" w:pos="11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437"/>
        <w:spacing w:after="0" w:line="277" w:lineRule="auto"/>
        <w:tabs>
          <w:tab w:leader="none" w:pos="11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9, 2009</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December 31, 2008, as filed with the Securities and Exchange Commission on the date hereof (the “Report”), I, Neal R. Verfuerth, President and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660" w:hanging="43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February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December 31, 2008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39" w:lineRule="exact"/>
        <w:rPr>
          <w:sz w:val="20"/>
          <w:szCs w:val="20"/>
          <w:color w:val="auto"/>
        </w:rPr>
      </w:pPr>
    </w:p>
    <w:p>
      <w:pPr>
        <w:ind w:left="660" w:hanging="43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 February 9, 2009</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5"/>
    </w:lvl>
  </w:abstractNum>
  <w:abstractNum w:abstractNumId="6">
    <w:nsid w:val="436C6125"/>
    <w:multiLevelType w:val="hybridMultilevel"/>
    <w:lvl w:ilvl="0">
      <w:lvlJc w:val="left"/>
      <w:lvlText w:val="(%1)"/>
      <w:numFmt w:val="decimal"/>
      <w:start w:val="5"/>
    </w:lvl>
  </w:abstractNum>
  <w:abstractNum w:abstractNumId="7">
    <w:nsid w:val="628C895D"/>
    <w:multiLevelType w:val="hybridMultilevel"/>
    <w:lvl w:ilvl="0">
      <w:lvlJc w:val="left"/>
      <w:lvlText w:val="%1."/>
      <w:numFmt w:val="decimal"/>
      <w:start w:val="1"/>
    </w:lvl>
    <w:lvl w:ilvl="1">
      <w:lvlJc w:val="left"/>
      <w:lvlText w:val="(%2)"/>
      <w:numFmt w:val="lowerLetter"/>
      <w:start w:val="1"/>
    </w:lvl>
  </w:abstractNum>
  <w:abstractNum w:abstractNumId="8">
    <w:nsid w:val="333AB105"/>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9">
    <w:nsid w:val="721DA317"/>
    <w:multiLevelType w:val="hybridMultilevel"/>
    <w:lvl w:ilvl="0">
      <w:lvlJc w:val="left"/>
      <w:lvlText w:val="(%1)"/>
      <w:numFmt w:val="lowerRoman"/>
      <w:start w:val="2"/>
    </w:lvl>
  </w:abstractNum>
  <w:abstractNum w:abstractNumId="10">
    <w:nsid w:val="2443A858"/>
    <w:multiLevelType w:val="hybridMultilevel"/>
    <w:lvl w:ilvl="0">
      <w:lvlJc w:val="left"/>
      <w:lvlText w:val="(%1)"/>
      <w:numFmt w:val="lowerRoman"/>
      <w:start w:val="1"/>
    </w:lvl>
    <w:lvl w:ilvl="1">
      <w:lvlJc w:val="left"/>
      <w:lvlText w:val="%2)"/>
      <w:numFmt w:val="lowerLetter"/>
      <w:start w:val="1"/>
    </w:lvl>
  </w:abstractNum>
  <w:abstractNum w:abstractNumId="11">
    <w:nsid w:val="2D1D5AE9"/>
    <w:multiLevelType w:val="hybridMultilevel"/>
    <w:lvl w:ilvl="0">
      <w:lvlJc w:val="left"/>
      <w:lvlText w:val="%1"/>
      <w:numFmt w:val="lowerLetter"/>
      <w:start w:val="1"/>
    </w:lvl>
    <w:lvl w:ilvl="1">
      <w:lvlJc w:val="left"/>
      <w:lvlText w:val="%2)"/>
      <w:numFmt w:val="lowerLetter"/>
      <w:start w:val="3"/>
    </w:lvl>
  </w:abstractNum>
  <w:abstractNum w:abstractNumId="12">
    <w:nsid w:val="6763845E"/>
    <w:multiLevelType w:val="hybridMultilevel"/>
    <w:lvl w:ilvl="0">
      <w:lvlJc w:val="left"/>
      <w:lvlText w:val="%1"/>
      <w:numFmt w:val="lowerLetter"/>
      <w:start w:val="1"/>
    </w:lvl>
    <w:lvl w:ilvl="1">
      <w:lvlJc w:val="left"/>
      <w:lvlText w:val="%2)"/>
      <w:numFmt w:val="lowerLetter"/>
      <w:start w:val="2"/>
    </w:lvl>
  </w:abstractNum>
  <w:abstractNum w:abstractNumId="13">
    <w:nsid w:val="75A2A8D4"/>
    <w:multiLevelType w:val="hybridMultilevel"/>
    <w:lvl w:ilvl="0">
      <w:lvlJc w:val="left"/>
      <w:lvlText w:val="(%1)"/>
      <w:numFmt w:val="lowerLetter"/>
      <w:start w:val="6"/>
    </w:lvl>
    <w:lvl w:ilvl="1">
      <w:lvlJc w:val="left"/>
      <w:lvlText w:val="%2"/>
      <w:numFmt w:val="lowerLetter"/>
      <w:start w:val="1"/>
    </w:lvl>
  </w:abstractNum>
  <w:abstractNum w:abstractNumId="14">
    <w:nsid w:val="8EDBDAB"/>
    <w:multiLevelType w:val="hybridMultilevel"/>
    <w:lvl w:ilvl="0">
      <w:lvlJc w:val="left"/>
      <w:lvlText w:val="(%1)"/>
      <w:numFmt w:val="lowerRoman"/>
      <w:start w:val="4"/>
    </w:lvl>
    <w:lvl w:ilvl="1">
      <w:lvlJc w:val="left"/>
      <w:lvlText w:val="(%2)"/>
      <w:numFmt w:val="lowerLetter"/>
      <w:start w:val="12"/>
    </w:lvl>
    <w:lvl w:ilvl="2">
      <w:lvlJc w:val="left"/>
      <w:lvlText w:val="(%3)"/>
      <w:numFmt w:val="lowerRoman"/>
      <w:start w:val="1"/>
    </w:lvl>
  </w:abstractNum>
  <w:abstractNum w:abstractNumId="15">
    <w:nsid w:val="79838CB2"/>
    <w:multiLevelType w:val="hybridMultilevel"/>
    <w:lvl w:ilvl="0">
      <w:lvlJc w:val="left"/>
      <w:lvlText w:val="(%1)"/>
      <w:numFmt w:val="lowerLetter"/>
      <w:start w:val="1"/>
    </w:lvl>
    <w:lvl w:ilvl="1">
      <w:lvlJc w:val="left"/>
      <w:lvlText w:val="(%2)"/>
      <w:numFmt w:val="lowerRoman"/>
      <w:start w:val="1"/>
    </w:lvl>
  </w:abstractNum>
  <w:abstractNum w:abstractNumId="16">
    <w:nsid w:val="4353D0CD"/>
    <w:multiLevelType w:val="hybridMultilevel"/>
    <w:lvl w:ilvl="0">
      <w:lvlJc w:val="left"/>
      <w:lvlText w:val="%1"/>
      <w:numFmt w:val="decimal"/>
      <w:start w:val="1"/>
    </w:lvl>
    <w:lvl w:ilvl="1">
      <w:lvlJc w:val="left"/>
      <w:lvlText w:val="(%2)"/>
      <w:numFmt w:val="lowerLetter"/>
      <w:start w:val="4"/>
    </w:lvl>
  </w:abstractNum>
  <w:abstractNum w:abstractNumId="17">
    <w:nsid w:val="B03E0C6"/>
    <w:multiLevelType w:val="hybridMultilevel"/>
    <w:lvl w:ilvl="0">
      <w:lvlJc w:val="left"/>
      <w:lvlText w:val="%1."/>
      <w:numFmt w:val="decimal"/>
      <w:start w:val="4"/>
    </w:lvl>
    <w:lvl w:ilvl="1">
      <w:lvlJc w:val="left"/>
      <w:lvlText w:val="(%2)"/>
      <w:numFmt w:val="lowerLetter"/>
      <w:start w:val="1"/>
    </w:lvl>
  </w:abstractNum>
  <w:abstractNum w:abstractNumId="18">
    <w:nsid w:val="189A769B"/>
    <w:multiLevelType w:val="hybridMultilevel"/>
    <w:lvl w:ilvl="0">
      <w:lvlJc w:val="left"/>
      <w:lvlText w:val="(%1)"/>
      <w:numFmt w:val="lowerLetter"/>
      <w:start w:val="4"/>
    </w:lvl>
  </w:abstractNum>
  <w:abstractNum w:abstractNumId="19">
    <w:nsid w:val="54E49EB4"/>
    <w:multiLevelType w:val="hybridMultilevel"/>
    <w:lvl w:ilvl="0">
      <w:lvlJc w:val="left"/>
      <w:lvlText w:val="(%1)"/>
      <w:numFmt w:val="lowerLetter"/>
      <w:start w:val="1"/>
    </w:lvl>
    <w:lvl w:ilvl="1">
      <w:lvlJc w:val="left"/>
      <w:lvlText w:val="(%2)"/>
      <w:numFmt w:val="lowerRoman"/>
      <w:start w:val="1"/>
    </w:lvl>
  </w:abstractNum>
  <w:abstractNum w:abstractNumId="20">
    <w:nsid w:val="71F32454"/>
    <w:multiLevelType w:val="hybridMultilevel"/>
    <w:lvl w:ilvl="0">
      <w:lvlJc w:val="left"/>
      <w:lvlText w:val="(%1)"/>
      <w:numFmt w:val="lowerLetter"/>
      <w:start w:val="2"/>
    </w:lvl>
  </w:abstractNum>
  <w:abstractNum w:abstractNumId="21">
    <w:nsid w:val="2CA88611"/>
    <w:multiLevelType w:val="hybridMultilevel"/>
    <w:lvl w:ilvl="0">
      <w:lvlJc w:val="left"/>
      <w:lvlText w:val="(%1)"/>
      <w:numFmt w:val="lowerRoman"/>
      <w:start w:val="1"/>
    </w:lvl>
  </w:abstractNum>
  <w:abstractNum w:abstractNumId="22">
    <w:nsid w:val="836C40E"/>
    <w:multiLevelType w:val="hybridMultilevel"/>
    <w:lvl w:ilvl="0">
      <w:lvlJc w:val="left"/>
      <w:lvlText w:val="%1"/>
      <w:numFmt w:val="decimal"/>
      <w:start w:val="1"/>
    </w:lvl>
    <w:lvl w:ilvl="1">
      <w:lvlJc w:val="left"/>
      <w:lvlText w:val="(%2)"/>
      <w:numFmt w:val="lowerLetter"/>
      <w:start w:val="4"/>
    </w:lvl>
  </w:abstractNum>
  <w:abstractNum w:abstractNumId="23">
    <w:nsid w:val="2901D82"/>
    <w:multiLevelType w:val="hybridMultilevel"/>
    <w:lvl w:ilvl="0">
      <w:lvlJc w:val="left"/>
      <w:lvlText w:val="%1."/>
      <w:numFmt w:val="decimal"/>
      <w:start w:val="6"/>
    </w:lvl>
    <w:lvl w:ilvl="1">
      <w:lvlJc w:val="left"/>
      <w:lvlText w:val="%2"/>
      <w:numFmt w:val="lowerLetter"/>
      <w:start w:val="1"/>
    </w:lvl>
  </w:abstractNum>
  <w:abstractNum w:abstractNumId="24">
    <w:nsid w:val="3A95F874"/>
    <w:multiLevelType w:val="hybridMultilevel"/>
    <w:lvl w:ilvl="0">
      <w:lvlJc w:val="left"/>
      <w:lvlText w:val="(%1)"/>
      <w:numFmt w:val="lowerLetter"/>
      <w:start w:val="1"/>
    </w:lvl>
  </w:abstractNum>
  <w:abstractNum w:abstractNumId="25">
    <w:nsid w:val="8138641"/>
    <w:multiLevelType w:val="hybridMultilevel"/>
    <w:lvl w:ilvl="0">
      <w:lvlJc w:val="left"/>
      <w:lvlText w:val="(%1)"/>
      <w:numFmt w:val="lowerLetter"/>
      <w:start w:val="2"/>
    </w:lvl>
    <w:lvl w:ilvl="1">
      <w:lvlJc w:val="left"/>
      <w:lvlText w:val="(%2)"/>
      <w:numFmt w:val="lowerRoman"/>
      <w:start w:val="1"/>
    </w:lvl>
  </w:abstractNum>
  <w:abstractNum w:abstractNumId="26">
    <w:nsid w:val="1E7FF521"/>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2"/>
    </w:lvl>
  </w:abstractNum>
  <w:abstractNum w:abstractNumId="27">
    <w:nsid w:val="7C3DBD3D"/>
    <w:multiLevelType w:val="hybridMultilevel"/>
    <w:lvl w:ilvl="0">
      <w:lvlJc w:val="left"/>
      <w:lvlText w:val="(%1)"/>
      <w:numFmt w:val="lowerLetter"/>
      <w:start w:val="4"/>
    </w:lvl>
    <w:lvl w:ilvl="1">
      <w:lvlJc w:val="left"/>
      <w:lvlText w:val="%2"/>
      <w:numFmt w:val="decimal"/>
      <w:start w:val="1"/>
    </w:lvl>
    <w:lvl w:ilvl="2">
      <w:lvlJc w:val="left"/>
      <w:lvlText w:val="%3"/>
      <w:numFmt w:val="lowerRoman"/>
      <w:start w:val="1"/>
    </w:lvl>
  </w:abstractNum>
  <w:abstractNum w:abstractNumId="28">
    <w:nsid w:val="737B8DDC"/>
    <w:multiLevelType w:val="hybridMultilevel"/>
    <w:lvl w:ilvl="0">
      <w:lvlJc w:val="left"/>
      <w:lvlText w:val="%1."/>
      <w:numFmt w:val="decimal"/>
      <w:start w:val="8"/>
    </w:lvl>
  </w:abstractNum>
  <w:abstractNum w:abstractNumId="29">
    <w:nsid w:val="6CEAF087"/>
    <w:multiLevelType w:val="hybridMultilevel"/>
    <w:lvl w:ilvl="0">
      <w:lvlJc w:val="left"/>
      <w:lvlText w:val="%1."/>
      <w:numFmt w:val="decimal"/>
      <w:start w:val="12"/>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2019-12-11T03:31:58Z</dcterms:created>
  <dcterms:modified xsi:type="dcterms:W3CDTF">2019-12-11T03:31:58Z</dcterms:modified>
</cp:coreProperties>
</file>