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001-33887</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u w:val="single" w:color="auto"/>
          <w:color w:val="auto"/>
        </w:rPr>
        <w:t>Orion Energy Systems, Inc.</w:t>
      </w:r>
    </w:p>
    <w:p>
      <w:pPr>
        <w:spacing w:after="0" w:line="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020" w:type="dxa"/>
            <w:vAlign w:val="bottom"/>
            <w:gridSpan w:val="2"/>
          </w:tcPr>
          <w:p>
            <w:pPr>
              <w:jc w:val="right"/>
              <w:ind w:right="18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80" w:type="dxa"/>
            <w:vAlign w:val="bottom"/>
          </w:tcPr>
          <w:p>
            <w:pPr>
              <w:spacing w:after="0"/>
              <w:rPr>
                <w:sz w:val="19"/>
                <w:szCs w:val="19"/>
                <w:color w:val="auto"/>
              </w:rPr>
            </w:pPr>
          </w:p>
        </w:tc>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502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54220</w:t>
            </w:r>
          </w:p>
        </w:tc>
      </w:tr>
      <w:tr>
        <w:trPr>
          <w:trHeight w:val="228"/>
        </w:trPr>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0" w:type="dxa"/>
            <w:vAlign w:val="bottom"/>
          </w:tcPr>
          <w:p>
            <w:pPr>
              <w:spacing w:after="0"/>
              <w:rPr>
                <w:sz w:val="19"/>
                <w:szCs w:val="19"/>
                <w:color w:val="auto"/>
              </w:rPr>
            </w:pPr>
          </w:p>
        </w:tc>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5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02"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0"/>
          <w:szCs w:val="20"/>
          <w:color w:val="auto"/>
        </w:rPr>
      </w:pPr>
    </w:p>
    <w:p>
      <w:pPr>
        <w:sectPr>
          <w:pgSz w:w="11900" w:h="16838" w:orient="portrait"/>
          <w:cols w:equalWidth="0" w:num="4">
            <w:col w:w="2080" w:space="440"/>
            <w:col w:w="1420" w:space="320"/>
            <w:col w:w="3340" w:space="360"/>
            <w:col w:w="2259"/>
          </w:cols>
          <w:pgMar w:left="240" w:top="122" w:right="1440" w:bottom="1440" w:gutter="0" w:footer="0" w:header="0"/>
          <w:type w:val="continuous"/>
        </w:sectPr>
      </w:pPr>
    </w:p>
    <w:p>
      <w:pPr>
        <w:ind w:left="340" w:right="739"/>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23,010,653 shares of the Registrant’s common stock outstanding on November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61747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804545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0" w:type="dxa"/>
            <w:vAlign w:val="bottom"/>
            <w:gridSpan w:val="7"/>
          </w:tcPr>
          <w:p>
            <w:pPr>
              <w:jc w:val="center"/>
              <w:ind w:right="2200"/>
              <w:spacing w:after="0"/>
              <w:rPr>
                <w:sz w:val="20"/>
                <w:szCs w:val="20"/>
                <w:color w:val="auto"/>
              </w:rPr>
            </w:pPr>
            <w:r>
              <w:rPr>
                <w:rFonts w:ascii="Arial" w:cs="Arial" w:eastAsia="Arial" w:hAnsi="Arial"/>
                <w:sz w:val="18"/>
                <w:szCs w:val="18"/>
                <w:b w:val="1"/>
                <w:bCs w:val="1"/>
                <w:color w:val="auto"/>
                <w:w w:val="90"/>
              </w:rPr>
              <w:t>Orion Energy Systems, Inc.</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0" w:type="dxa"/>
            <w:vAlign w:val="bottom"/>
            <w:gridSpan w:val="7"/>
          </w:tcPr>
          <w:p>
            <w:pPr>
              <w:jc w:val="center"/>
              <w:ind w:right="2220"/>
              <w:spacing w:after="0"/>
              <w:rPr>
                <w:sz w:val="20"/>
                <w:szCs w:val="20"/>
                <w:color w:val="auto"/>
              </w:rPr>
            </w:pPr>
            <w:r>
              <w:rPr>
                <w:rFonts w:ascii="Arial" w:cs="Arial" w:eastAsia="Arial" w:hAnsi="Arial"/>
                <w:sz w:val="18"/>
                <w:szCs w:val="18"/>
                <w:b w:val="1"/>
                <w:bCs w:val="1"/>
                <w:color w:val="auto"/>
                <w:w w:val="94"/>
              </w:rPr>
              <w:t>Quarterly Report On Form 10-Q</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40" w:type="dxa"/>
            <w:vAlign w:val="bottom"/>
            <w:gridSpan w:val="8"/>
          </w:tcPr>
          <w:p>
            <w:pPr>
              <w:jc w:val="center"/>
              <w:ind w:right="1980"/>
              <w:spacing w:after="0"/>
              <w:rPr>
                <w:sz w:val="20"/>
                <w:szCs w:val="20"/>
                <w:color w:val="auto"/>
              </w:rPr>
            </w:pPr>
            <w:r>
              <w:rPr>
                <w:rFonts w:ascii="Arial" w:cs="Arial" w:eastAsia="Arial" w:hAnsi="Arial"/>
                <w:sz w:val="18"/>
                <w:szCs w:val="18"/>
                <w:b w:val="1"/>
                <w:bCs w:val="1"/>
                <w:color w:val="auto"/>
                <w:w w:val="91"/>
              </w:rPr>
              <w:t>For The Quarter Ended September 30, 2011</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0" w:type="dxa"/>
            <w:vAlign w:val="bottom"/>
            <w:gridSpan w:val="7"/>
          </w:tcPr>
          <w:p>
            <w:pPr>
              <w:jc w:val="center"/>
              <w:ind w:right="2200"/>
              <w:spacing w:after="0"/>
              <w:rPr>
                <w:sz w:val="20"/>
                <w:szCs w:val="20"/>
                <w:color w:val="auto"/>
              </w:rPr>
            </w:pPr>
            <w:r>
              <w:rPr>
                <w:rFonts w:ascii="Arial" w:cs="Arial" w:eastAsia="Arial" w:hAnsi="Arial"/>
                <w:sz w:val="18"/>
                <w:szCs w:val="18"/>
                <w:b w:val="1"/>
                <w:bCs w:val="1"/>
                <w:color w:val="auto"/>
                <w:w w:val="90"/>
              </w:rPr>
              <w:t>Table Of Contents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2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40" w:type="dxa"/>
            <w:vAlign w:val="bottom"/>
            <w:gridSpan w:val="8"/>
            <w:vMerge w:val="restart"/>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Page(s)</w:t>
            </w:r>
          </w:p>
        </w:tc>
        <w:tc>
          <w:tcPr>
            <w:tcW w:w="0" w:type="dxa"/>
            <w:vAlign w:val="bottom"/>
          </w:tcPr>
          <w:p>
            <w:pPr>
              <w:spacing w:after="0"/>
              <w:rPr>
                <w:sz w:val="1"/>
                <w:szCs w:val="1"/>
                <w:color w:val="auto"/>
              </w:rPr>
            </w:pPr>
          </w:p>
        </w:tc>
      </w:tr>
      <w:tr>
        <w:trPr>
          <w:trHeight w:val="174"/>
        </w:trPr>
        <w:tc>
          <w:tcPr>
            <w:tcW w:w="3020" w:type="dxa"/>
            <w:vAlign w:val="bottom"/>
            <w:tcBorders>
              <w:bottom w:val="single" w:sz="8" w:color="0000EE"/>
            </w:tcBorders>
            <w:gridSpan w:val="12"/>
            <w:vMerge w:val="continue"/>
          </w:tcPr>
          <w:p>
            <w:pPr>
              <w:spacing w:after="0"/>
              <w:rPr>
                <w:sz w:val="14"/>
                <w:szCs w:val="14"/>
                <w:color w:val="auto"/>
              </w:rPr>
            </w:pPr>
          </w:p>
        </w:tc>
        <w:tc>
          <w:tcPr>
            <w:tcW w:w="5640" w:type="dxa"/>
            <w:vAlign w:val="bottom"/>
            <w:gridSpan w:val="8"/>
            <w:vMerge w:val="continue"/>
          </w:tcPr>
          <w:p>
            <w:pPr>
              <w:spacing w:after="0"/>
              <w:rPr>
                <w:sz w:val="14"/>
                <w:szCs w:val="14"/>
                <w:color w:val="auto"/>
              </w:rPr>
            </w:pPr>
          </w:p>
        </w:tc>
        <w:tc>
          <w:tcPr>
            <w:tcW w:w="9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260" w:type="dxa"/>
            <w:vAlign w:val="bottom"/>
            <w:tcBorders>
              <w:bottom w:val="single" w:sz="8" w:color="0000EE"/>
            </w:tcBorders>
            <w:gridSpan w:val="13"/>
          </w:tcPr>
          <w:p>
            <w:pPr>
              <w:spacing w:after="0"/>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ITEM 1. Financial Statements (unaudited)</w:t>
              </w:r>
            </w:hyperlink>
          </w:p>
        </w:tc>
        <w:tc>
          <w:tcPr>
            <w:tcW w:w="5400" w:type="dxa"/>
            <w:vAlign w:val="bottom"/>
            <w:gridSpan w:val="7"/>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2011 and September 30, 2011</w:t>
              </w:r>
            </w:hyperlink>
          </w:p>
        </w:tc>
        <w:tc>
          <w:tcPr>
            <w:tcW w:w="2160" w:type="dxa"/>
            <w:vAlign w:val="bottom"/>
            <w:gridSpan w:val="4"/>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Operations for the Three and Six Months Ended September 30, 2010 and</w:t>
              </w:r>
            </w:hyperlink>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spacing w:after="0"/>
              <w:rPr>
                <w:sz w:val="17"/>
                <w:szCs w:val="17"/>
                <w:color w:val="auto"/>
              </w:rPr>
            </w:pPr>
          </w:p>
        </w:tc>
        <w:tc>
          <w:tcPr>
            <w:tcW w:w="560" w:type="dxa"/>
            <w:vAlign w:val="bottom"/>
            <w:tcBorders>
              <w:top w:val="single" w:sz="8" w:color="0000EE"/>
            </w:tcBorders>
            <w:gridSpan w:val="2"/>
          </w:tcPr>
          <w:p>
            <w:pPr>
              <w:ind w:left="20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2011</w:t>
              </w:r>
            </w:hyperlink>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Six Months Ended September 30, 2010 and 2011</w:t>
              </w:r>
            </w:hyperlink>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3540" w:type="dxa"/>
            <w:vAlign w:val="bottom"/>
            <w:tcBorders>
              <w:top w:val="single" w:sz="8" w:color="0000EE"/>
            </w:tcBorders>
            <w:gridSpan w:val="4"/>
          </w:tcPr>
          <w:p>
            <w:pPr>
              <w:spacing w:after="0"/>
              <w:rPr>
                <w:sz w:val="24"/>
                <w:szCs w:val="24"/>
                <w:color w:val="auto"/>
              </w:rPr>
            </w:pPr>
          </w:p>
        </w:tc>
        <w:tc>
          <w:tcPr>
            <w:tcW w:w="660" w:type="dxa"/>
            <w:vAlign w:val="bottom"/>
            <w:gridSpan w:val="2"/>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7540" w:type="dxa"/>
            <w:vAlign w:val="bottom"/>
            <w:tcBorders>
              <w:bottom w:val="single" w:sz="8" w:color="0000EE"/>
            </w:tcBorders>
            <w:gridSpan w:val="17"/>
          </w:tcPr>
          <w:p>
            <w:pPr>
              <w:spacing w:after="0"/>
              <w:rPr>
                <w:rFonts w:ascii="Arial" w:cs="Arial" w:eastAsia="Arial" w:hAnsi="Arial"/>
                <w:sz w:val="18"/>
                <w:szCs w:val="18"/>
                <w:b w:val="1"/>
                <w:bCs w:val="1"/>
                <w:color w:val="0000EE"/>
                <w:w w:val="90"/>
              </w:rPr>
            </w:pPr>
            <w:hyperlink w:anchor="page22">
              <w:r>
                <w:rPr>
                  <w:rFonts w:ascii="Arial" w:cs="Arial" w:eastAsia="Arial" w:hAnsi="Arial"/>
                  <w:sz w:val="18"/>
                  <w:szCs w:val="18"/>
                  <w:b w:val="1"/>
                  <w:bCs w:val="1"/>
                  <w:color w:val="0000EE"/>
                  <w:w w:val="90"/>
                </w:rPr>
                <w:t>ITEM 2. Management’s Discussion and Analysis of Financial Condition and Results of Operations</w:t>
              </w:r>
            </w:hyperlink>
          </w:p>
        </w:tc>
        <w:tc>
          <w:tcPr>
            <w:tcW w:w="1120" w:type="dxa"/>
            <w:vAlign w:val="bottom"/>
            <w:gridSpan w:val="3"/>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8660" w:type="dxa"/>
            <w:vAlign w:val="bottom"/>
            <w:gridSpan w:val="2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3. Quantitative and Qualitative Disclosures about Market Risk</w:t>
              </w:r>
            </w:hyperlink>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532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4. Controls and Procedures</w:t>
              </w:r>
            </w:hyperlink>
          </w:p>
        </w:tc>
        <w:tc>
          <w:tcPr>
            <w:tcW w:w="3340" w:type="dxa"/>
            <w:vAlign w:val="bottom"/>
            <w:gridSpan w:val="5"/>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2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5940" w:type="dxa"/>
            <w:vAlign w:val="bottom"/>
            <w:gridSpan w:val="9"/>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8660" w:type="dxa"/>
            <w:vAlign w:val="bottom"/>
            <w:gridSpan w:val="2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1A. Risk Factors</w:t>
              </w:r>
            </w:hyperlink>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20" w:type="dxa"/>
            <w:vAlign w:val="bottom"/>
            <w:gridSpan w:val="11"/>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2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5. Other Information</w:t>
              </w:r>
            </w:hyperlink>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13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95"/>
              </w:rPr>
            </w:pPr>
            <w:hyperlink w:anchor="page35">
              <w:r>
                <w:rPr>
                  <w:rFonts w:ascii="Arial" w:cs="Arial" w:eastAsia="Arial" w:hAnsi="Arial"/>
                  <w:sz w:val="18"/>
                  <w:szCs w:val="18"/>
                  <w:b w:val="1"/>
                  <w:bCs w:val="1"/>
                  <w:color w:val="0000EE"/>
                  <w:w w:val="95"/>
                </w:rPr>
                <w:t>ITEM 6. Exhibits</w:t>
              </w:r>
            </w:hyperlink>
          </w:p>
        </w:tc>
        <w:tc>
          <w:tcPr>
            <w:tcW w:w="800" w:type="dxa"/>
            <w:vAlign w:val="bottom"/>
            <w:tcBorders>
              <w:top w:val="single" w:sz="8" w:color="0000EE"/>
            </w:tcBorders>
            <w:gridSpan w:val="2"/>
          </w:tcPr>
          <w:p>
            <w:pPr>
              <w:spacing w:after="0"/>
              <w:rPr>
                <w:sz w:val="24"/>
                <w:szCs w:val="24"/>
                <w:color w:val="auto"/>
              </w:rPr>
            </w:pPr>
          </w:p>
        </w:tc>
        <w:tc>
          <w:tcPr>
            <w:tcW w:w="6520" w:type="dxa"/>
            <w:vAlign w:val="bottom"/>
            <w:gridSpan w:val="11"/>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8660" w:type="dxa"/>
            <w:vAlign w:val="bottom"/>
            <w:gridSpan w:val="20"/>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SIGNATURES</w:t>
              </w:r>
            </w:hyperlink>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Exhibit 31.1</w:t>
            </w:r>
          </w:p>
        </w:tc>
        <w:tc>
          <w:tcPr>
            <w:tcW w:w="7520" w:type="dxa"/>
            <w:vAlign w:val="bottom"/>
            <w:gridSpan w:val="14"/>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ind w:left="560" w:right="216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BALANCE SHEETS (in thousands, except share and per share amounts)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8"/>
              </w:rPr>
              <w:t>March 31,</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11,560</w:t>
            </w:r>
          </w:p>
        </w:tc>
        <w:tc>
          <w:tcPr>
            <w:tcW w:w="20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15,559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Accounts receivable, net of allowances of $436 and $485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27,618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21,637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1,268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r>
      <w:tr>
        <w:trPr>
          <w:trHeight w:val="223"/>
        </w:trPr>
        <w:tc>
          <w:tcPr>
            <w:tcW w:w="72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73,142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76,374</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1,677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Long-term accounts receivable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7,948</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w:t>
            </w:r>
          </w:p>
        </w:tc>
      </w:tr>
      <w:tr>
        <w:trPr>
          <w:trHeight w:val="223"/>
        </w:trPr>
        <w:tc>
          <w:tcPr>
            <w:tcW w:w="72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114,990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120,574</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12,479</w:t>
            </w:r>
          </w:p>
        </w:tc>
        <w:tc>
          <w:tcPr>
            <w:tcW w:w="20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10,384</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3,077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w:t>
            </w:r>
          </w:p>
        </w:tc>
      </w:tr>
      <w:tr>
        <w:trPr>
          <w:trHeight w:val="223"/>
        </w:trPr>
        <w:tc>
          <w:tcPr>
            <w:tcW w:w="72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18,495</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Deferred revenue, long-term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27,408</w:t>
            </w:r>
          </w:p>
        </w:tc>
        <w:tc>
          <w:tcPr>
            <w:tcW w:w="100" w:type="dxa"/>
            <w:vAlign w:val="bottom"/>
          </w:tcPr>
          <w:p>
            <w:pPr>
              <w:spacing w:after="0"/>
              <w:rPr>
                <w:sz w:val="20"/>
                <w:szCs w:val="20"/>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F)</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$0.01 par value: Shares authorized: 30,000,000 shares at March 31, 2011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September 30, 2011; no shares issued and outstanding at March 31, 2011 and September 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200" w:type="dxa"/>
            <w:vAlign w:val="bottom"/>
          </w:tcPr>
          <w:p>
            <w:pPr>
              <w:spacing w:after="0" w:line="201" w:lineRule="exact"/>
              <w:rPr>
                <w:sz w:val="20"/>
                <w:szCs w:val="20"/>
                <w:color w:val="auto"/>
              </w:rPr>
            </w:pPr>
            <w:r>
              <w:rPr>
                <w:rFonts w:ascii="Arial" w:cs="Arial" w:eastAsia="Arial" w:hAnsi="Arial"/>
                <w:sz w:val="18"/>
                <w:szCs w:val="18"/>
                <w:color w:val="auto"/>
              </w:rPr>
              <w:t>Common stock, no par value: Shares authorized: 200,000,000 at March 31, 2011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tcPr>
          <w:p>
            <w:pPr>
              <w:ind w:left="200"/>
              <w:spacing w:after="0"/>
              <w:rPr>
                <w:sz w:val="20"/>
                <w:szCs w:val="20"/>
                <w:color w:val="auto"/>
              </w:rPr>
            </w:pPr>
            <w:r>
              <w:rPr>
                <w:rFonts w:ascii="Arial" w:cs="Arial" w:eastAsia="Arial" w:hAnsi="Arial"/>
                <w:sz w:val="18"/>
                <w:szCs w:val="18"/>
                <w:color w:val="auto"/>
                <w:w w:val="99"/>
              </w:rPr>
              <w:t>September 30, 2011; shares issued: 30,312,758 and 30,403,067 at March 31, 2011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ind w:left="200"/>
              <w:spacing w:after="0"/>
              <w:rPr>
                <w:sz w:val="20"/>
                <w:szCs w:val="20"/>
                <w:color w:val="auto"/>
              </w:rPr>
            </w:pPr>
            <w:r>
              <w:rPr>
                <w:rFonts w:ascii="Arial" w:cs="Arial" w:eastAsia="Arial" w:hAnsi="Arial"/>
                <w:sz w:val="18"/>
                <w:szCs w:val="18"/>
                <w:color w:val="auto"/>
                <w:w w:val="94"/>
              </w:rPr>
              <w:t>September 30, 2011; shares outstanding: 22,893,803 and 23,010,653 at March 31, 2011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September 30, 2011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126,002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Shareholder notes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r>
      <w:tr>
        <w:trPr>
          <w:trHeight w:val="202"/>
        </w:trPr>
        <w:tc>
          <w:tcPr>
            <w:tcW w:w="7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Treasury stock: 7,418,955 and 7,392,414 common shares at March 31, 2011 and September 30,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(31,708)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(31,757)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r>
      <w:tr>
        <w:trPr>
          <w:trHeight w:val="27"/>
        </w:trPr>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93,166</w:t>
            </w:r>
          </w:p>
        </w:tc>
      </w:tr>
      <w:tr>
        <w:trPr>
          <w:trHeight w:val="223"/>
        </w:trPr>
        <w:tc>
          <w:tcPr>
            <w:tcW w:w="720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114,990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120,574</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60" w:type="dxa"/>
            <w:vAlign w:val="bottom"/>
            <w:gridSpan w:val="9"/>
          </w:tcPr>
          <w:p>
            <w:pPr>
              <w:jc w:val="center"/>
              <w:ind w:left="133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40" w:type="dxa"/>
            <w:vAlign w:val="bottom"/>
            <w:gridSpan w:val="11"/>
          </w:tcPr>
          <w:p>
            <w:pPr>
              <w:jc w:val="center"/>
              <w:ind w:left="50"/>
              <w:spacing w:after="0"/>
              <w:rPr>
                <w:sz w:val="20"/>
                <w:szCs w:val="20"/>
                <w:color w:val="auto"/>
              </w:rPr>
            </w:pPr>
            <w:r>
              <w:rPr>
                <w:rFonts w:ascii="Arial" w:cs="Arial" w:eastAsia="Arial" w:hAnsi="Arial"/>
                <w:sz w:val="18"/>
                <w:szCs w:val="18"/>
                <w:b w:val="1"/>
                <w:bCs w:val="1"/>
                <w:color w:val="auto"/>
                <w:w w:val="99"/>
              </w:rPr>
              <w:t>UNAUDITED CONDENSED CONSOLIDATED STATEMENTS OF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gridSpan w:val="7"/>
          </w:tcPr>
          <w:p>
            <w:pPr>
              <w:jc w:val="center"/>
              <w:ind w:left="16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4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760" w:type="dxa"/>
            <w:vAlign w:val="bottom"/>
            <w:gridSpan w:val="7"/>
          </w:tcPr>
          <w:p>
            <w:pPr>
              <w:ind w:left="140"/>
              <w:spacing w:after="0"/>
              <w:rPr>
                <w:sz w:val="20"/>
                <w:szCs w:val="20"/>
                <w:color w:val="auto"/>
              </w:rPr>
            </w:pPr>
            <w:r>
              <w:rPr>
                <w:rFonts w:ascii="Arial" w:cs="Arial" w:eastAsia="Arial" w:hAnsi="Arial"/>
                <w:sz w:val="18"/>
                <w:szCs w:val="18"/>
                <w:b w:val="1"/>
                <w:bCs w:val="1"/>
                <w:color w:val="auto"/>
                <w:w w:val="91"/>
              </w:rPr>
              <w:t>Six Months Ended 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15,086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18,718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30,844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40,397</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Service revenue</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15,853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32,830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42,034</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9,745</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12,059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20,053</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27,063</w:t>
            </w: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r>
      <w:tr>
        <w:trPr>
          <w:trHeight w:val="230"/>
        </w:trPr>
        <w:tc>
          <w:tcPr>
            <w:tcW w:w="340" w:type="dxa"/>
            <w:vAlign w:val="bottom"/>
          </w:tcPr>
          <w:p>
            <w:pPr>
              <w:spacing w:after="0"/>
              <w:rPr>
                <w:sz w:val="20"/>
                <w:szCs w:val="20"/>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10,243</w:t>
            </w: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21,468</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28,179</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13,855</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2,988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3,299</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7,504</w:t>
            </w: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r>
      <w:tr>
        <w:trPr>
          <w:trHeight w:val="223"/>
        </w:trPr>
        <w:tc>
          <w:tcPr>
            <w:tcW w:w="340" w:type="dxa"/>
            <w:vAlign w:val="bottom"/>
          </w:tcPr>
          <w:p>
            <w:pPr>
              <w:spacing w:after="0"/>
              <w:rPr>
                <w:sz w:val="19"/>
                <w:szCs w:val="19"/>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6,860</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14,005</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14,519</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Dividend and interest income</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24"/>
        </w:trPr>
        <w:tc>
          <w:tcPr>
            <w:tcW w:w="34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Loss before income tax</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(1,692)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23"/>
        </w:trPr>
        <w:tc>
          <w:tcPr>
            <w:tcW w:w="340" w:type="dxa"/>
            <w:vAlign w:val="bottom"/>
          </w:tcPr>
          <w:p>
            <w:pPr>
              <w:spacing w:after="0"/>
              <w:rPr>
                <w:sz w:val="19"/>
                <w:szCs w:val="19"/>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Basic net income (loss) per share attributable to</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shareholders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22,638,638</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22,989,502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22,581,188</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22,955,655</w:t>
            </w:r>
          </w:p>
        </w:tc>
      </w:tr>
      <w:tr>
        <w:trPr>
          <w:trHeight w:val="202"/>
        </w:trPr>
        <w:tc>
          <w:tcPr>
            <w:tcW w:w="34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Diluted net income (loss) per share attributable to</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shareholders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230"/>
        </w:trPr>
        <w:tc>
          <w:tcPr>
            <w:tcW w:w="3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22,901,590</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22,989,502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23,007,067</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22,955,655</w:t>
            </w: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9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30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4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99"/>
              </w:rPr>
              <w:t>UNAUDITED CONDENSED CONSOLIDATED STATEMENTS OF CASH FLOWS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tcPr>
          <w:p>
            <w:pPr>
              <w:jc w:val="center"/>
              <w:ind w:left="1970"/>
              <w:spacing w:after="0"/>
              <w:rPr>
                <w:sz w:val="20"/>
                <w:szCs w:val="20"/>
                <w:color w:val="auto"/>
              </w:rPr>
            </w:pPr>
            <w:r>
              <w:rPr>
                <w:rFonts w:ascii="Arial" w:cs="Arial" w:eastAsia="Arial" w:hAnsi="Arial"/>
                <w:sz w:val="18"/>
                <w:szCs w:val="18"/>
                <w:b w:val="1"/>
                <w:bCs w:val="1"/>
                <w:color w:val="auto"/>
                <w:w w:val="88"/>
              </w:rPr>
              <w:t>(in thousands)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100" w:type="dxa"/>
            <w:vAlign w:val="bottom"/>
            <w:gridSpan w:val="7"/>
          </w:tcPr>
          <w:p>
            <w:pPr>
              <w:ind w:left="480"/>
              <w:spacing w:after="0"/>
              <w:rPr>
                <w:sz w:val="20"/>
                <w:szCs w:val="20"/>
                <w:color w:val="auto"/>
              </w:rPr>
            </w:pPr>
            <w:r>
              <w:rPr>
                <w:rFonts w:ascii="Arial" w:cs="Arial" w:eastAsia="Arial" w:hAnsi="Arial"/>
                <w:sz w:val="18"/>
                <w:szCs w:val="18"/>
                <w:b w:val="1"/>
                <w:bCs w:val="1"/>
                <w:color w:val="auto"/>
                <w:w w:val="91"/>
              </w:rPr>
              <w:t>Six Months Ended 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Adjustments to reconcile net income (loss) to net cash used in operating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400"/>
              <w:spacing w:after="0"/>
              <w:rPr>
                <w:sz w:val="20"/>
                <w:szCs w:val="20"/>
                <w:color w:val="auto"/>
              </w:rPr>
            </w:pPr>
            <w:r>
              <w:rPr>
                <w:rFonts w:ascii="Arial" w:cs="Arial" w:eastAsia="Arial" w:hAnsi="Arial"/>
                <w:sz w:val="18"/>
                <w:szCs w:val="18"/>
                <w:color w:val="auto"/>
              </w:rPr>
              <w:t>Deferred income tax benefit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(1,374)</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 in allowance for notes and accounts receivable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(7,715)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(6,454)</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(1,957)</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 held under operating leases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Purchase of short-term investments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Additions to patents and licenses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Proceeds from sales of property, plant and equipment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assets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Payment of long-term debt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Proceeds from repayment of shareholder notes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Deferred financing costs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4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(10,040)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23,364</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6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Cash paid for income taxes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Shares issued from treasury for shareholder note receivable</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surrendered into treasury from stock option exercise</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A — DESCRIPTION OF BUSINESS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w:t>
      </w:r>
    </w:p>
    <w:p>
      <w:pPr>
        <w:spacing w:after="0" w:line="154"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In August 2009, the Company created Orion Engineered Systems, a new operating division offering additional alternative renewable energy systems. During the quarter ended December 31, 2010, the new division exceeded the thresholds for segment reporting and, accordingly, the Company introduced the presentation of operating segments in that quarter. See Note I “Segment Reporting” of these financial statements for further discussion of our reportable segments.</w:t>
      </w:r>
    </w:p>
    <w:p>
      <w:pPr>
        <w:spacing w:after="0" w:line="131"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Company’s corporate offices and manufacturing operations are located in Manitowoc, Wisconsin and an operations facility occupied by Orion Engineered Systems is located in Plymouth, Wisconsin.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Where appropriate, certain reclassifications have been made to prior years’ financial statements to conform to the current year presentation.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2012 or other interim periods.</w:t>
      </w:r>
    </w:p>
    <w:p>
      <w:pPr>
        <w:spacing w:after="0" w:line="151"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The condensed consolidated balance sheet at March 31, 2011 has been derived from the audited consolidated financial statements at that date but does not include all of the information required by GAAP for complete financial statements.</w:t>
      </w:r>
    </w:p>
    <w:p>
      <w:pPr>
        <w:spacing w:after="0" w:line="10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2011 filed with the Securities and Exchange Commission on July 22, 2011.</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amortized cost and fair value of marketable securities, with gross unrealized gains and losses, as of March 31, 2011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2011 were as follows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March 31, 2011</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Amortized</w:t>
            </w:r>
          </w:p>
        </w:tc>
        <w:tc>
          <w:tcPr>
            <w:tcW w:w="116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132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Cash and Cash</w:t>
            </w:r>
          </w:p>
        </w:tc>
        <w:tc>
          <w:tcPr>
            <w:tcW w:w="160" w:type="dxa"/>
            <w:vAlign w:val="bottom"/>
          </w:tcPr>
          <w:p>
            <w:pPr>
              <w:spacing w:after="0"/>
              <w:rPr>
                <w:sz w:val="16"/>
                <w:szCs w:val="16"/>
                <w:color w:val="auto"/>
              </w:rPr>
            </w:pPr>
          </w:p>
        </w:tc>
        <w:tc>
          <w:tcPr>
            <w:tcW w:w="9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Short Term</w:t>
            </w:r>
          </w:p>
        </w:tc>
        <w:tc>
          <w:tcPr>
            <w:tcW w:w="10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18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Investments</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r>
      <w:tr>
        <w:trPr>
          <w:trHeight w:val="27"/>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September 30, 2011</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Amortized</w:t>
            </w:r>
          </w:p>
        </w:tc>
        <w:tc>
          <w:tcPr>
            <w:tcW w:w="116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132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Cash and Cash</w:t>
            </w:r>
          </w:p>
        </w:tc>
        <w:tc>
          <w:tcPr>
            <w:tcW w:w="160" w:type="dxa"/>
            <w:vAlign w:val="bottom"/>
          </w:tcPr>
          <w:p>
            <w:pPr>
              <w:spacing w:after="0"/>
              <w:rPr>
                <w:sz w:val="16"/>
                <w:szCs w:val="16"/>
                <w:color w:val="auto"/>
              </w:rPr>
            </w:pPr>
          </w:p>
        </w:tc>
        <w:tc>
          <w:tcPr>
            <w:tcW w:w="9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Short Term</w:t>
            </w:r>
          </w:p>
        </w:tc>
        <w:tc>
          <w:tcPr>
            <w:tcW w:w="10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18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Investments</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r>
      <w:tr>
        <w:trPr>
          <w:trHeight w:val="27"/>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As of March 31, 2011 and September 30, 2011, the Company’s financial assets described in the table above were measured at fair value on a recurring basis employing quoted prices in active markets for identical assets (level 1 inputs).</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certificate of deposit is pledged as security for an equipment lease.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carrying amounts of the Company’s financial instruments, which include cash and cash equivalents, investments, 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4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majority of the Company’s accounts receivable are due from companies in the commercial, industrial and agricultural industries, as well as from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19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 considers its lease balances included in consolidated current and long-term accounts receivable from its Orion Throughput Agreement, or OTA, sales-type leases to be financing receivables. Additional disclosures on the credit quality of the Company’s OTA receivables included in accounts receivable are as follows: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Aging Analysis as of September 30, 2011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1-90 days</w:t>
            </w:r>
          </w:p>
        </w:tc>
        <w:tc>
          <w:tcPr>
            <w:tcW w:w="1580" w:type="dxa"/>
            <w:vAlign w:val="bottom"/>
            <w:gridSpan w:val="4"/>
          </w:tcPr>
          <w:p>
            <w:pPr>
              <w:ind w:left="160"/>
              <w:spacing w:after="0"/>
              <w:rPr>
                <w:sz w:val="20"/>
                <w:szCs w:val="20"/>
                <w:color w:val="auto"/>
              </w:rPr>
            </w:pPr>
            <w:r>
              <w:rPr>
                <w:rFonts w:ascii="Arial" w:cs="Arial" w:eastAsia="Arial" w:hAnsi="Arial"/>
                <w:sz w:val="18"/>
                <w:szCs w:val="18"/>
                <w:b w:val="1"/>
                <w:bCs w:val="1"/>
                <w:color w:val="auto"/>
              </w:rPr>
              <w:t>Greater than 90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ind w:left="140"/>
              <w:spacing w:after="0"/>
              <w:rPr>
                <w:sz w:val="20"/>
                <w:szCs w:val="20"/>
                <w:color w:val="auto"/>
              </w:rPr>
            </w:pPr>
            <w:r>
              <w:rPr>
                <w:rFonts w:ascii="Arial" w:cs="Arial" w:eastAsia="Arial" w:hAnsi="Arial"/>
                <w:sz w:val="18"/>
                <w:szCs w:val="18"/>
                <w:b w:val="1"/>
                <w:bCs w:val="1"/>
                <w:color w:val="auto"/>
                <w:w w:val="92"/>
              </w:rPr>
              <w:t>Total sales-type</w:t>
            </w:r>
          </w:p>
        </w:tc>
      </w:tr>
      <w:tr>
        <w:trPr>
          <w:trHeight w:val="234"/>
        </w:trPr>
        <w:tc>
          <w:tcPr>
            <w:tcW w:w="2700" w:type="dxa"/>
            <w:vAlign w:val="bottom"/>
          </w:tcPr>
          <w:p>
            <w:pPr>
              <w:spacing w:after="0"/>
              <w:rPr>
                <w:sz w:val="20"/>
                <w:szCs w:val="20"/>
                <w:color w:val="auto"/>
              </w:rPr>
            </w:pP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Not Past Due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past due</w:t>
            </w:r>
          </w:p>
        </w:tc>
        <w:tc>
          <w:tcPr>
            <w:tcW w:w="160" w:type="dxa"/>
            <w:vAlign w:val="bottom"/>
          </w:tcPr>
          <w:p>
            <w:pPr>
              <w:spacing w:after="0"/>
              <w:rPr>
                <w:sz w:val="20"/>
                <w:szCs w:val="20"/>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days past due</w:t>
            </w:r>
          </w:p>
        </w:tc>
        <w:tc>
          <w:tcPr>
            <w:tcW w:w="1440" w:type="dxa"/>
            <w:vAlign w:val="bottom"/>
            <w:gridSpan w:val="4"/>
          </w:tcPr>
          <w:p>
            <w:pPr>
              <w:ind w:left="160"/>
              <w:spacing w:after="0"/>
              <w:rPr>
                <w:sz w:val="20"/>
                <w:szCs w:val="20"/>
                <w:color w:val="auto"/>
              </w:rPr>
            </w:pPr>
            <w:r>
              <w:rPr>
                <w:rFonts w:ascii="Arial" w:cs="Arial" w:eastAsia="Arial" w:hAnsi="Arial"/>
                <w:sz w:val="18"/>
                <w:szCs w:val="18"/>
                <w:b w:val="1"/>
                <w:bCs w:val="1"/>
                <w:color w:val="auto"/>
              </w:rPr>
              <w:t>Total past due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leases</w:t>
            </w:r>
          </w:p>
        </w:tc>
      </w:tr>
      <w:tr>
        <w:trPr>
          <w:trHeight w:val="195"/>
        </w:trPr>
        <w:tc>
          <w:tcPr>
            <w:tcW w:w="2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Lease balances included in</w:t>
            </w:r>
          </w:p>
        </w:tc>
        <w:tc>
          <w:tcPr>
            <w:tcW w:w="1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consolidated accounts receivable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current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Lease balances included in</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00" w:type="dxa"/>
            <w:vAlign w:val="bottom"/>
          </w:tcPr>
          <w:p>
            <w:pPr>
              <w:ind w:left="200"/>
              <w:spacing w:after="0"/>
              <w:rPr>
                <w:sz w:val="20"/>
                <w:szCs w:val="20"/>
                <w:color w:val="auto"/>
              </w:rPr>
            </w:pPr>
            <w:r>
              <w:rPr>
                <w:rFonts w:ascii="Arial" w:cs="Arial" w:eastAsia="Arial" w:hAnsi="Arial"/>
                <w:sz w:val="18"/>
                <w:szCs w:val="18"/>
                <w:color w:val="auto"/>
                <w:w w:val="93"/>
              </w:rPr>
              <w:t>consolidated accounts receivable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 long-term</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5,442</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 gross sales-type leases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8,144</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Allowance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sales-type leases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8,137</w:t>
            </w: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Credit Losses</w:t>
      </w:r>
    </w:p>
    <w:p>
      <w:pPr>
        <w:spacing w:after="0" w:line="198"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if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 did not incur any provision write-offs or credit losses against its OTA sales-type lease receivable balances in either fiscal 2011 or for the six months ended September 30, 2011.</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2011 and September 30, 2011, the Company had inventory obsolescence reserves of $811,000 and $818,000, respectively.</w:t>
      </w:r>
    </w:p>
    <w:p>
      <w:pPr>
        <w:spacing w:after="0" w:line="15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200" w:type="dxa"/>
            <w:vAlign w:val="bottom"/>
          </w:tcPr>
          <w:p>
            <w:pPr>
              <w:ind w:left="380"/>
              <w:spacing w:after="0"/>
              <w:rPr>
                <w:sz w:val="20"/>
                <w:szCs w:val="20"/>
                <w:color w:val="auto"/>
              </w:rPr>
            </w:pPr>
            <w:r>
              <w:rPr>
                <w:rFonts w:ascii="Arial" w:cs="Arial" w:eastAsia="Arial" w:hAnsi="Arial"/>
                <w:sz w:val="18"/>
                <w:szCs w:val="18"/>
                <w:color w:val="auto"/>
              </w:rPr>
              <w:t>Inventories were comprised of the following (in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8"/>
              </w:rPr>
              <w:t>March 31,</w:t>
            </w:r>
          </w:p>
        </w:tc>
        <w:tc>
          <w:tcPr>
            <w:tcW w:w="1560" w:type="dxa"/>
            <w:vAlign w:val="bottom"/>
            <w:gridSpan w:val="4"/>
          </w:tcPr>
          <w:p>
            <w:pPr>
              <w:ind w:left="36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12,005</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17,043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19,394</w:t>
            </w:r>
          </w:p>
        </w:tc>
      </w:tr>
      <w:tr>
        <w:trPr>
          <w:trHeight w:val="223"/>
        </w:trPr>
        <w:tc>
          <w:tcPr>
            <w:tcW w:w="7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32,844</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9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Prepaid expenses and other current assets consist primarily of deferred costs related to in-process OTA projects, prepaid insurance premiums, prepaid license fees, purchase deposits, advance payments to contractors, advance commission payments and miscellaneous receivables.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7200" w:type="dxa"/>
            <w:vAlign w:val="bottom"/>
            <w:gridSpan w:val="2"/>
          </w:tcPr>
          <w:p>
            <w:pPr>
              <w:ind w:left="380"/>
              <w:spacing w:after="0"/>
              <w:rPr>
                <w:sz w:val="20"/>
                <w:szCs w:val="20"/>
                <w:color w:val="auto"/>
              </w:rPr>
            </w:pPr>
            <w:r>
              <w:rPr>
                <w:rFonts w:ascii="Arial" w:cs="Arial" w:eastAsia="Arial" w:hAnsi="Arial"/>
                <w:sz w:val="18"/>
                <w:szCs w:val="18"/>
                <w:color w:val="auto"/>
              </w:rPr>
              <w:t>Property and equipment were comprised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8"/>
              </w:rPr>
              <w:t>March 31,</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15,170</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10,613</w:t>
            </w: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leased to customers under Power Purchase Agreements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w:t>
            </w: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Plant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8,461</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42,195</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(11,962)</w:t>
            </w:r>
          </w:p>
        </w:tc>
      </w:tr>
      <w:tr>
        <w:trPr>
          <w:trHeight w:val="223"/>
        </w:trPr>
        <w:tc>
          <w:tcPr>
            <w:tcW w:w="34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Net property and equipment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30,233</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Depreciable lives by asset category are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46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10 – 15 years</w:t>
            </w: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Buildings</w:t>
            </w:r>
          </w:p>
        </w:tc>
        <w:tc>
          <w:tcPr>
            <w:tcW w:w="4660" w:type="dxa"/>
            <w:vAlign w:val="bottom"/>
          </w:tcPr>
          <w:p>
            <w:pPr>
              <w:ind w:left="2200"/>
              <w:spacing w:after="0"/>
              <w:rPr>
                <w:sz w:val="20"/>
                <w:szCs w:val="20"/>
                <w:color w:val="auto"/>
              </w:rPr>
            </w:pPr>
            <w:r>
              <w:rPr>
                <w:rFonts w:ascii="Arial" w:cs="Arial" w:eastAsia="Arial" w:hAnsi="Arial"/>
                <w:sz w:val="18"/>
                <w:szCs w:val="18"/>
                <w:color w:val="auto"/>
              </w:rPr>
              <w:t>10 – 39 years</w:t>
            </w:r>
          </w:p>
        </w:tc>
        <w:tc>
          <w:tcPr>
            <w:tcW w:w="2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660" w:type="dxa"/>
            <w:vAlign w:val="bottom"/>
            <w:shd w:val="clear" w:color="auto" w:fill="CCEEFF"/>
          </w:tcPr>
          <w:p>
            <w:pPr>
              <w:ind w:left="2200"/>
              <w:spacing w:after="0"/>
              <w:rPr>
                <w:sz w:val="20"/>
                <w:szCs w:val="20"/>
                <w:color w:val="auto"/>
              </w:rPr>
            </w:pPr>
            <w:r>
              <w:rPr>
                <w:rFonts w:ascii="Arial" w:cs="Arial" w:eastAsia="Arial" w:hAnsi="Arial"/>
                <w:sz w:val="18"/>
                <w:szCs w:val="18"/>
                <w:color w:val="auto"/>
                <w:w w:val="89"/>
              </w:rPr>
              <w:t>Shorter of asset life or life of lease</w:t>
            </w: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4660" w:type="dxa"/>
            <w:vAlign w:val="bottom"/>
          </w:tcPr>
          <w:p>
            <w:pPr>
              <w:ind w:left="2200"/>
              <w:spacing w:after="0"/>
              <w:rPr>
                <w:sz w:val="20"/>
                <w:szCs w:val="20"/>
                <w:color w:val="auto"/>
              </w:rPr>
            </w:pPr>
            <w:r>
              <w:rPr>
                <w:rFonts w:ascii="Arial" w:cs="Arial" w:eastAsia="Arial" w:hAnsi="Arial"/>
                <w:sz w:val="18"/>
                <w:szCs w:val="18"/>
                <w:color w:val="auto"/>
              </w:rPr>
              <w:t>2 – 10 years</w:t>
            </w:r>
          </w:p>
        </w:tc>
        <w:tc>
          <w:tcPr>
            <w:tcW w:w="2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Plant equipment</w:t>
            </w:r>
          </w:p>
        </w:tc>
        <w:tc>
          <w:tcPr>
            <w:tcW w:w="46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3 – 10 years</w:t>
            </w:r>
          </w:p>
        </w:tc>
        <w:tc>
          <w:tcPr>
            <w:tcW w:w="20" w:type="dxa"/>
            <w:vAlign w:val="bottom"/>
          </w:tcPr>
          <w:p>
            <w:pPr>
              <w:spacing w:after="0"/>
              <w:rPr>
                <w:sz w:val="18"/>
                <w:szCs w:val="18"/>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98" w:lineRule="exact"/>
        <w:rPr>
          <w:sz w:val="20"/>
          <w:szCs w:val="20"/>
          <w:color w:val="auto"/>
        </w:rPr>
      </w:pPr>
    </w:p>
    <w:p>
      <w:pPr>
        <w:ind w:left="340" w:right="499" w:firstLine="389"/>
        <w:spacing w:after="0" w:line="454" w:lineRule="auto"/>
        <w:rPr>
          <w:sz w:val="20"/>
          <w:szCs w:val="20"/>
          <w:color w:val="auto"/>
        </w:rPr>
      </w:pPr>
      <w:r>
        <w:rPr>
          <w:rFonts w:ascii="Arial" w:cs="Arial" w:eastAsia="Arial" w:hAnsi="Arial"/>
          <w:sz w:val="18"/>
          <w:szCs w:val="18"/>
          <w:color w:val="auto"/>
        </w:rPr>
        <w:t xml:space="preserve">Patents and licenses are amortized over their estimated useful life, ranging from 7 to 17 years, using the straight line method. </w:t>
      </w:r>
      <w:r>
        <w:rPr>
          <w:rFonts w:ascii="Arial" w:cs="Arial" w:eastAsia="Arial" w:hAnsi="Arial"/>
          <w:sz w:val="18"/>
          <w:szCs w:val="18"/>
          <w:b w:val="1"/>
          <w:bCs w:val="1"/>
          <w:i w:val="1"/>
          <w:iCs w:val="1"/>
          <w:color w:val="auto"/>
        </w:rPr>
        <w:t>Long-Term Receivables</w:t>
      </w: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 Long-term receivables from OTA contracts were $5.4 million as of September 30, 2011.</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between 8.8% and 11%. As of September 30, 2011, the following amounts were due from the third party finance company in future periods (in thousands):</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2014</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2016</w:t>
            </w:r>
          </w:p>
        </w:tc>
        <w:tc>
          <w:tcPr>
            <w:tcW w:w="3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gross long-term receivable</w:t>
            </w: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Net long-term receivable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85" w:lineRule="exact"/>
        <w:rPr>
          <w:sz w:val="20"/>
          <w:szCs w:val="20"/>
          <w:color w:val="auto"/>
        </w:rPr>
      </w:pPr>
    </w:p>
    <w:p>
      <w:pPr>
        <w:jc w:val="both"/>
        <w:ind w:left="340" w:right="179" w:firstLine="389"/>
        <w:spacing w:after="0" w:line="312" w:lineRule="auto"/>
        <w:rPr>
          <w:sz w:val="20"/>
          <w:szCs w:val="20"/>
          <w:color w:val="auto"/>
        </w:rPr>
      </w:pPr>
      <w:r>
        <w:rPr>
          <w:rFonts w:ascii="Arial" w:cs="Arial" w:eastAsia="Arial" w:hAnsi="Arial"/>
          <w:sz w:val="16"/>
          <w:szCs w:val="16"/>
          <w:color w:val="auto"/>
        </w:rPr>
        <w:t>Other long-term assets include long-term security deposits, prepaid licensing costs and deferred financing costs. Other long-term assets include $55,000 and $152,000 of deferred financing costs as of March 31, 2011 and September 30, 2011. Deferred financing costs related to debt issuances are amortized to interest expense over the life of the related debt issue (2 to 10 years).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98"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Accrued expenses include warranty accruals, accrued wages and benefits, accrued vacation, sales tax payable and other various unpaid expenses. No accrued expenses exceeded 5% of current liabilities as of either March 31, 2011, or September 30, 2011.</w:t>
      </w:r>
    </w:p>
    <w:p>
      <w:pPr>
        <w:spacing w:after="0" w:line="83"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 generally offers a limited warranty of one year on its own manufactured products in addition to those standard warranties offered by major original equipment component manufacturers. The manufacturers’ warranties cover lamps and ballasts, which are significant components in the Company’s manufactured products.</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70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Provision to product cost of revenue</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(27)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(22)</w:t>
            </w: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(76)</w:t>
            </w:r>
          </w:p>
        </w:tc>
        <w:tc>
          <w:tcPr>
            <w:tcW w:w="6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(53)</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offers a financing program, called an OTA, for a customer’s lease of the Company’s energy management systems. The OTA is structured as a sales-type capital lease and upon successful installation of the system and customer acknowledgement that the system is operating as specified, product revenue is recognized at the Company’s net investment in the lease, which typically is the net present value of the future cash flows.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offers a separate program, called a power purchase agreement, or PPA, for the Company’s renewable energy product offerings. A PPA is a supply side agreement for the generation of electricity and subsequent sale to the end user. Upon the customer’s acknowledgement that the system is operating as specified, product revenue is recognized on a monthly basis over the life of the PPA contract, typically in excess of 10 years.</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than for OTA and PPA sales, revenue is recognized when the following four criteria are met:</w:t>
      </w:r>
    </w:p>
    <w:p>
      <w:pPr>
        <w:spacing w:after="0" w:line="185" w:lineRule="exact"/>
        <w:rPr>
          <w:sz w:val="20"/>
          <w:szCs w:val="20"/>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5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For sales contracts consisting of multiple elements of revenue, such as a combination of product sales and services, the Company determines revenue by allocating the total contract revenue to each element based on their relative selling prices.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VSOE, TPE and estimated selling price is provided below).</w:t>
      </w:r>
    </w:p>
    <w:p>
      <w:pPr>
        <w:spacing w:after="0" w:line="15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nature of the Company’s multiple element arrangements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To determine the selling price in multiple-element arrangements, the Company established VSOE of the selling price for its HIF lighting and energy management system products using the price charged for a deliverable when sold separately. In addition, the Company records in service revenue the selling price for its installation and recycling services using management’s best estimate of selling price, as VSOE or TPE evidence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evidence does not exist. These services include comprehensive site assessment, site field verification, utility incentive and government subsidy management, engineering design, and project management. For these services and for installation and recycling services, management’s best estimate of selling price is determined by considering several external and internal factors including, but not limited to,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6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To determine the selling price for solar renewable product and services sold through the Company’s Engineered Systems division, the Company uses management’s best estimate of selling price giving consideration to external and internal factors including, but not limited to, pricing practices, margin objectives, competition, scope and size of individual projects, geographies in which the Company offers its products and services and internal costs. The Company has completed a limited number of renewable project sales and accordingly, does not have sufficient VSOE or TPE evidence.</w:t>
      </w:r>
    </w:p>
    <w:p>
      <w:pPr>
        <w:spacing w:after="0" w:line="14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Costs of products delivered, and services performed, that are subject to additional performance obligations or customer acceptance are deferred and recorded in prepaid expenses and other current assets on the Consolidated Balance Sheet. These deferred costs are expensed at the time the related revenue is recognized. Deferred costs amounted to $0.8 million and $2.4 million as of March 31, 2011 and September 30, 2011.</w:t>
      </w:r>
    </w:p>
    <w:p>
      <w:pPr>
        <w:spacing w:after="0" w:line="146"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is executed.</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40" w:type="dxa"/>
            <w:vAlign w:val="bottom"/>
          </w:tcPr>
          <w:p>
            <w:pPr>
              <w:ind w:left="380"/>
              <w:spacing w:after="0"/>
              <w:rPr>
                <w:sz w:val="20"/>
                <w:szCs w:val="20"/>
                <w:color w:val="auto"/>
              </w:rPr>
            </w:pPr>
            <w:r>
              <w:rPr>
                <w:rFonts w:ascii="Arial" w:cs="Arial" w:eastAsia="Arial" w:hAnsi="Arial"/>
                <w:sz w:val="18"/>
                <w:szCs w:val="18"/>
                <w:color w:val="auto"/>
              </w:rPr>
              <w:t>Deferred revenue was comprised of the following (in thousands):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4"/>
                <w:szCs w:val="2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September 30,</w:t>
            </w:r>
          </w:p>
        </w:tc>
      </w:tr>
      <w:tr>
        <w:trPr>
          <w:trHeight w:val="234"/>
        </w:trPr>
        <w:tc>
          <w:tcPr>
            <w:tcW w:w="7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3,077</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 — long term liability</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1,583</w:t>
            </w:r>
          </w:p>
        </w:tc>
      </w:tr>
      <w:tr>
        <w:trPr>
          <w:trHeight w:val="27"/>
        </w:trPr>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2,039</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4,660</w:t>
            </w: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61"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3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six months ended September 30, 2010 and 2011, there were none and $0.3 million realized tax benefits from the exercise of stock options.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9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fair value of each option grant for the three and six months ended September 30, 2010 and 2011 was determined using the assumptions in the following table: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18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89"/>
              </w:rPr>
              <w:t>Three months Ended September 30,</w:t>
            </w:r>
          </w:p>
        </w:tc>
        <w:tc>
          <w:tcPr>
            <w:tcW w:w="27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9"/>
              </w:rPr>
              <w:t>Six months Ended September 30,</w:t>
            </w:r>
          </w:p>
        </w:tc>
      </w:tr>
      <w:tr>
        <w:trPr>
          <w:trHeight w:val="210"/>
        </w:trPr>
        <w:tc>
          <w:tcPr>
            <w:tcW w:w="38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 years</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 years</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 years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 years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2.24%</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49.5%-58.4%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85"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97"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Diluted net income per common share reflects the dilution that would occur if warrants and employee stock options were exercised. In the computation of diluted net income per common share, the Company uses the “treasury stock” method for outstanding options and warrants. Diluted net loss per common share is the same as basic net loss per common share for the periods ended September 30, 2011, because the effects of potentially dilutive securities are anti-dilutive. The effect of net income (loss) per common share is calculated based upon the following shares (in thousands except share amounts):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720" w:type="dxa"/>
            <w:vAlign w:val="bottom"/>
            <w:gridSpan w:val="8"/>
          </w:tcPr>
          <w:p>
            <w:pPr>
              <w:ind w:left="140"/>
              <w:spacing w:after="0"/>
              <w:rPr>
                <w:sz w:val="20"/>
                <w:szCs w:val="20"/>
                <w:color w:val="auto"/>
              </w:rPr>
            </w:pPr>
            <w:r>
              <w:rPr>
                <w:rFonts w:ascii="Arial" w:cs="Arial" w:eastAsia="Arial" w:hAnsi="Arial"/>
                <w:sz w:val="18"/>
                <w:szCs w:val="18"/>
                <w:b w:val="1"/>
                <w:bCs w:val="1"/>
                <w:color w:val="auto"/>
                <w:w w:val="89"/>
              </w:rPr>
              <w:t>Six months Ended September 30,</w:t>
            </w:r>
          </w:p>
        </w:tc>
      </w:tr>
      <w:tr>
        <w:trPr>
          <w:trHeight w:val="210"/>
        </w:trPr>
        <w:tc>
          <w:tcPr>
            <w:tcW w:w="40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Net income (loss) (in thousands)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r>
      <w:tr>
        <w:trPr>
          <w:trHeight w:val="202"/>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22,638,638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22,989,502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22,581,188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22,955,655</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Weighted-average effect of assumed conversion of</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and warrants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262,952</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425,879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Weighted-average common shares and common</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80" w:type="dxa"/>
            <w:vAlign w:val="bottom"/>
          </w:tcPr>
          <w:p>
            <w:pPr>
              <w:ind w:left="200"/>
              <w:spacing w:after="0"/>
              <w:rPr>
                <w:sz w:val="20"/>
                <w:szCs w:val="20"/>
                <w:color w:val="auto"/>
              </w:rPr>
            </w:pPr>
            <w:r>
              <w:rPr>
                <w:rFonts w:ascii="Arial" w:cs="Arial" w:eastAsia="Arial" w:hAnsi="Arial"/>
                <w:sz w:val="18"/>
                <w:szCs w:val="18"/>
                <w:color w:val="auto"/>
              </w:rPr>
              <w:t>share equivalents outstanding</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22,901,590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22,989,502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23,007,067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22,955,655</w:t>
            </w:r>
          </w:p>
        </w:tc>
      </w:tr>
      <w:tr>
        <w:trPr>
          <w:trHeight w:val="20"/>
        </w:trPr>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bl>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indicates the number of potentially dilutive securities as of the end of each period: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706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3,638,252</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4,018,917</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Common stock warrants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76,240</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38,980</w:t>
            </w:r>
          </w:p>
        </w:tc>
      </w:tr>
      <w:tr>
        <w:trPr>
          <w:trHeight w:val="27"/>
        </w:trPr>
        <w:tc>
          <w:tcPr>
            <w:tcW w:w="70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3,714,492</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4,057,897</w:t>
            </w:r>
          </w:p>
        </w:tc>
      </w:tr>
      <w:tr>
        <w:trPr>
          <w:trHeight w:val="20"/>
        </w:trPr>
        <w:tc>
          <w:tcPr>
            <w:tcW w:w="70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9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44% and 15% of total cost of revenue for the three months ended September 30, 2010 and 2011 and 34% and 13% of total cost of revenue for the six months ended September 30, 2010 and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Company currently purchases a majority of its solar panels from one supplier for its sales of solar generating systems through its Orion Engineered Systems Division. The Company does have alternative vendor sources for its sale of PV solar generating systems. Purchases from this supplier accounted for 19% and 30% of total cost of revenue for the three months ended September 30, 2010 and 2011 and 15% and 32% of total cost of revenue for the six months ended September 30, 2010 and 2011.</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For the three and six months ended September 30, 2010 and 2011, no customer accounted for more than 10% of revenue.</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As of March 31, 2011 and September 30, 2011, one customer accounted for 16% and 11% of accounts receivable, respectively.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 xml:space="preserve">In July 2010, the FASB issued Accounting Standards Update 2010-20, </w:t>
      </w:r>
      <w:r>
        <w:rPr>
          <w:rFonts w:ascii="Arial" w:cs="Arial" w:eastAsia="Arial" w:hAnsi="Arial"/>
          <w:sz w:val="18"/>
          <w:szCs w:val="18"/>
          <w:i w:val="1"/>
          <w:iCs w:val="1"/>
          <w:color w:val="auto"/>
        </w:rPr>
        <w:t>Disclosures about the Credit Quality of 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Receivables and the Allowance for Credit Losses </w:t>
      </w:r>
      <w:r>
        <w:rPr>
          <w:rFonts w:ascii="Arial" w:cs="Arial" w:eastAsia="Arial" w:hAnsi="Arial"/>
          <w:sz w:val="18"/>
          <w:szCs w:val="18"/>
          <w:color w:val="auto"/>
        </w:rPr>
        <w:t>(ASU 2010-20). ASU 2010-20 requires further disaggregated disclosures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financial statement users’ understanding of (1) the nature of an entity’s credit risk associated with its financing receivables and (2) the entity’s assessment of that risk in estimating its allowance for credit losses as well as changes in the allowance and the reasons for those changes. The new and amended disclosures as of the end of a reporting period are effective for interim and annual reporting periods ending on or after December 15, 2010. The adoption of ASU 2010-20 did not have a significant impact on the Company’s consolidated financial statements.</w:t>
      </w:r>
    </w:p>
    <w:p>
      <w:pPr>
        <w:spacing w:after="0" w:line="14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 xml:space="preserve">In April, 2011, the FASB issued ASU No. 2011-03 </w:t>
      </w:r>
      <w:r>
        <w:rPr>
          <w:rFonts w:ascii="Arial" w:cs="Arial" w:eastAsia="Arial" w:hAnsi="Arial"/>
          <w:sz w:val="17"/>
          <w:szCs w:val="17"/>
          <w:i w:val="1"/>
          <w:iCs w:val="1"/>
          <w:color w:val="auto"/>
        </w:rPr>
        <w:t>Transfers and Servicing (Topic 860): Reconsideration of Effective Control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Repurchase Agreements </w:t>
      </w:r>
      <w:r>
        <w:rPr>
          <w:rFonts w:ascii="Arial" w:cs="Arial" w:eastAsia="Arial" w:hAnsi="Arial"/>
          <w:sz w:val="17"/>
          <w:szCs w:val="17"/>
          <w:color w:val="auto"/>
        </w:rPr>
        <w:t>(“ASU 2011-03”). ASU No. 2011-03 affects all entities that enter into agreements to transfer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both entitle and obligate the transferor to repurchase or redeem the financial assets before their maturity. The amendments in ASU 2011-03 remove from the assessment of effective control the criterion relating to the transferor’s ability to repurchase or redeem financial assets on substantially all of the agreed terms, even in the event of default by the transferee. ASU 2011-03 also eliminates the requirement to demonstrate that the transferor possesses adequate collateral to fund substantially all the cost of purchasing replacement financial assets. The guidance is effective for the Company’s reporting period ended March 31, 2012. ASU 2011-03 is required to be applied prospectively to transactions or modifications of existing transactions that occur on or after January 1, 2012. The Company does not expect that the adoption of ASU 2011-03 will have a significant impact on the Company’s consolidated financial statements.</w:t>
      </w:r>
    </w:p>
    <w:p>
      <w:pPr>
        <w:spacing w:after="0" w:line="137"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Measurements (Topic 820): Amendments to Achieve Common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and Disclosure Requirements in US GAAP and International Financial Reporting Standards (“IFRS”)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2011-04”). ASU 2011-04 represents the converged guidance of the FASB and the IASB (the “Boards”) on fair value measurements. The collective efforts of the Boards and their staffs, reflected in ASU 2011-04, have resulted in common requirements for measuring fair value and for disclosing information about fair value measurements, including a consistent meaning of the term “fair value.” The Boards have concluded the common requirements will result in greater comparability of fair value measurements presented and disclosed in financial statements prepared in accordance with GAAP and IFRSs. The amendments in this ASU are required to be applied prospectively, and are effective for interim and annual periods beginning after December 15, 2011. The Company does not expect that the adoption of ASU 2011-04 will have a significant impact on the Company’s consolidated financial statements.</w:t>
      </w:r>
    </w:p>
    <w:p>
      <w:pPr>
        <w:spacing w:after="0" w:line="140"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In June 2011, the FASB issued ASU No. 2011-05, “</w:t>
      </w:r>
      <w:r>
        <w:rPr>
          <w:rFonts w:ascii="Arial" w:cs="Arial" w:eastAsia="Arial" w:hAnsi="Arial"/>
          <w:sz w:val="18"/>
          <w:szCs w:val="18"/>
          <w:i w:val="1"/>
          <w:iCs w:val="1"/>
          <w:color w:val="auto"/>
        </w:rPr>
        <w:t>Comprehensive Income (ASC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which amends current comprehensive income guidance. This accounting update eliminates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ASU 2011-05 will be effective for public companies during the interim and annual periods beginning after December 15, 2011 with early adoption permitted. The adoption of ASU 2011-05 will not have a significant impact on the Company’s consolidated statements as it only requires a change in the format of the current presentation.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C — RELATED PARTY TRANSACTIONS</w:t>
      </w:r>
    </w:p>
    <w:p>
      <w:pPr>
        <w:spacing w:after="0" w:line="189"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During the six months ended September 30, 2010 and 2011, the Company recorded revenue of $11,000 and $0.3 million, respectively, for products and services sold to an entity for which a then current director of the Company was formerly the executive chairman. During the same six month periods, the Company purchased goods and services from the same entity in the amounts of none and $4,700, respectively. The terms and conditions of such relationship are believed to be not materially more favorable to the Company or the entity than could be obtained from an independent third party.</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During the six months ended September 30, 2010 and 2011, the Company purchased goods and services from an entity of $19,000 and $23,000, respectively, for which a director of the Company serves as a member of the board of directors. The terms and conditions of such relationship are believed to be not materially more favorable to the Company or the entity than could be obtained from an independent third party.</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D — DEBT</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Long-term debt as of March 31, 2011 and September 30, 2011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8"/>
              </w:rPr>
              <w:t>March 31,</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Customer equipment finance notes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6,028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First mortgage note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Debenture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(2,351)</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Debt Arrangements</w:t>
      </w:r>
    </w:p>
    <w:p>
      <w:pPr>
        <w:spacing w:after="0" w:line="19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In September 2011, the Company entered into a credit agreement with JP Morgan Chase Bank, N.A. (JP Morgan) that provided the Company with $5.0 million immediately available to fund completed customer contracts under the Company’s OTA finance program and an additional $5.0 million upon the Company’s achievement of meeting a trailing 12-month earnings before interest, taxes, depreciation and amortization (EBITDA) target of $8.0 million. The Company has one-year from the date of the commitment to borrow under the credit agreement. In September 2011, the Company borrowed $1.8 million. The borrowing is collateralized by the OTA-related equipment and the expected future monthly payments under the supporting 27 individual OTA customer contracts. The current borrowing under the credit agreement bears interest at LIBOR plus 4% and matures in September 2016. The credit agreement includes certain financial covenants, including funded debt to EBITDA and debt service coverage ratios. The Company was in compliance with all covenants in the credit agreement as of September 30, 2011.</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On June 30, 2010, the Company entered into a new credit agreement (Credit Agreement) with JP Morgan. The Credit Agreement replaced the former credit agreement with a different bank.</w:t>
      </w:r>
    </w:p>
    <w:p>
      <w:pPr>
        <w:spacing w:after="0" w:line="143"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The Credit Agreement provides for a revolving credit facility (Credit Facility) that matures on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of the Company and 45% of certain inventory of the Company. The Credit Agreement contains certain financial covenants, including minimum unencumbered liquidity requirements and requirements that the Company maintain a total liabilities to tangible net worth ratio not to exceed 0.50 to 1.00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also may cause JP Morgan to issue letters of credit for the Company’s account in the aggregate principal amount of up to $2.0 million, with the dollar amount of each issued letter of credit counting against the overall limit on borrowings under the Credit Facility. As of September 30, 2011, the Company had outstanding letters of credit totaling $1.7 million, primarily for securing collateral requirements under equipment operating leases. In fiscal 2011, the Company incurred $57,000 of total deferred financing costs related to the Credit Agreement which is being amortized over the two-year term of the Credit Agreement. There were no borrowings by the Company under the Credit Agreement as of March 31, 2011 or September 30, 2011. The Company was in compliance with all of its covenants under the Credit Agreement as of September 30, 2011.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Credit Agreement is secured by a first lien security interest in the Company’s accounts receivable, inventory and general intangibles, and a second lien priority in the Company’s equipment and fixtures. All OTAs, PPAs, leases, supply agreements and/or similar agreements relating to solar PV and wind turbine systems or facilities, as well as all accounts receivable and assets of the Company related to the foregoing, are excluded from these liens.</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must pay a fee of 0.25% on the average daily unused amount of the Credit Facility and a fee of 2.00% on the daily average face amount of undrawn issued letters of credit. The fee on unused amounts is waived if the Company or its affiliates maintain funds on deposit with JP Morgan or its affiliates above a specified amount. The deposit threshold requirement was met as of September 30, 2011.</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E — INCOME TAXES</w:t>
      </w:r>
    </w:p>
    <w:p>
      <w:pPr>
        <w:spacing w:after="0" w:line="189"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income tax provision for the six months ended September 30, 2011 was determined by applying an estimated annual effective tax rate of 40.3% to income before taxes. The estimated effective income tax rate was determined by applying statutory tax rates to pretax income adjusted for certain permanent book to tax differences and tax credits.</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8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10"/>
        </w:trPr>
        <w:tc>
          <w:tcPr>
            <w:tcW w:w="68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State taxes, net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Federal tax credit</w:t>
            </w: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7.9%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Permanent items</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reserve</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net</w:t>
            </w: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7"/>
        </w:trPr>
        <w:tc>
          <w:tcPr>
            <w:tcW w:w="68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w:t>
            </w:r>
          </w:p>
        </w:tc>
      </w:tr>
      <w:tr>
        <w:trPr>
          <w:trHeight w:val="20"/>
        </w:trPr>
        <w:tc>
          <w:tcPr>
            <w:tcW w:w="6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or NQSOs, over the amount recorded at grant. The amount of the benefit is based on the ultimate deduction reflected in the applicable income tax return. Benefits of $0.5 million were recorded in fiscal 2011 as a reduction in taxes payable and a credit to additional paid in capital based on the amount that was utilized during the year. Benefits of $0.3 million were recorded for the six months ended September 30, 2011.</w:t>
      </w:r>
    </w:p>
    <w:p>
      <w:pPr>
        <w:spacing w:after="0" w:line="14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During fiscal 2011, the Company converted almost all of its existing incentive stock options, or ISOs, to NQSOs. This conversion was applied retrospectively, allowing the Company to benefit by reducing $0.6 million of income tax expense during fiscal 2011 related to non-deductible ISO stock compensation expense that was previously deferred for income tax purposes. The conversion will greatly reduce the impact of stock-based compensation expense on the effective tax rate in the table above. Since July 30, 2008, all stock option grants have been issued as NQSOs.</w:t>
      </w:r>
    </w:p>
    <w:p>
      <w:pPr>
        <w:spacing w:after="0" w:line="161"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As of September 30, 2011, the Company had federal net operating loss carryforwards of approximately $7.6 million, of which $4.5 million are associated with the exercise of NQSOs that have not yet been recognized by the Company in its financial statements. The Company also has state net operating loss carryforwards of approximately $4.6 million, of which $2.5 million are associated with the exercise of NQSOs. The Company also has federal tax credit carryforwards of approximately $1.0 million and state tax credits of $0.6 million. A full valuation allowance has been set up for the state tax credits due to the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2014 — 2030.</w:t>
      </w:r>
    </w:p>
    <w:p>
      <w:pPr>
        <w:spacing w:after="0" w:line="13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In 2007,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As of September 30, 2011, the Company’s U.S. federal income tax returns for tax years 2009 to 2011 remain subject to examination. The Company has various federal income tax return positions in the process of examination for 2009 and 2010. The Company currently believes that the ultimate resolution of these matters, individually or in the aggregate, will not have a material effect on its business, financial condition, results of operations or liquidity.</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As of September 30, 2011, the balance of gross unrecognized tax benefits was approximately $0.4 million, all of which would reduce the Company’s effective tax rate if recognized. The Company does not expect this amount to change in the next 12 months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4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six months ended September 30, 2010 and 2011, the Company had the following unrecognized tax benefit activity (in thousands):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4"/>
          </w:tcPr>
          <w:p>
            <w:pPr>
              <w:ind w:left="2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18"/>
                <w:szCs w:val="18"/>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6280" w:type="dxa"/>
            <w:vAlign w:val="bottom"/>
          </w:tcPr>
          <w:p>
            <w:pPr>
              <w:spacing w:after="0"/>
              <w:rPr>
                <w:sz w:val="20"/>
                <w:szCs w:val="20"/>
                <w:color w:val="auto"/>
              </w:rPr>
            </w:pPr>
          </w:p>
        </w:tc>
        <w:tc>
          <w:tcPr>
            <w:tcW w:w="1680" w:type="dxa"/>
            <w:vAlign w:val="bottom"/>
            <w:gridSpan w:val="5"/>
          </w:tcPr>
          <w:p>
            <w:pPr>
              <w:spacing w:after="0"/>
              <w:rPr>
                <w:sz w:val="20"/>
                <w:szCs w:val="20"/>
                <w:color w:val="auto"/>
              </w:rPr>
            </w:pPr>
            <w:r>
              <w:rPr>
                <w:rFonts w:ascii="Arial" w:cs="Arial" w:eastAsia="Arial" w:hAnsi="Arial"/>
                <w:sz w:val="18"/>
                <w:szCs w:val="18"/>
                <w:b w:val="1"/>
                <w:bCs w:val="1"/>
                <w:color w:val="auto"/>
                <w:w w:val="98"/>
              </w:rPr>
              <w:t>September 30, 2010</w:t>
            </w:r>
          </w:p>
        </w:tc>
        <w:tc>
          <w:tcPr>
            <w:tcW w:w="1760" w:type="dxa"/>
            <w:vAlign w:val="bottom"/>
            <w:gridSpan w:val="4"/>
          </w:tcPr>
          <w:p>
            <w:pPr>
              <w:ind w:left="180"/>
              <w:spacing w:after="0"/>
              <w:rPr>
                <w:sz w:val="20"/>
                <w:szCs w:val="20"/>
                <w:color w:val="auto"/>
              </w:rPr>
            </w:pPr>
            <w:r>
              <w:rPr>
                <w:rFonts w:ascii="Arial" w:cs="Arial" w:eastAsia="Arial" w:hAnsi="Arial"/>
                <w:sz w:val="18"/>
                <w:szCs w:val="18"/>
                <w:b w:val="1"/>
                <w:bCs w:val="1"/>
                <w:color w:val="auto"/>
                <w:w w:val="92"/>
              </w:rPr>
              <w:t>September 30, 2011</w:t>
            </w: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beginning of period</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Unrecognized tax benefits as of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F — COMMITMENTS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leases vehicles and equipment under operating leases. Rent expense under operating leases was $0.4 million and $0.5 million for the three months ended September 30, 2010 and 2011; and $0.8 million and $1.0 million for the six months ended September 30, 2010 and 2011. The Company enters into non-cancellable purchase commitments for certain inventory items in order to secure better pricing and ensure materials on hand, as well as for capital expenditures. As of September 30, 2011, the Company had entered into $10.1 million of purchase commitments related to fiscal 2012, including $1.7 million for operating lease commitments and $8.4 million for inventory purchase commitments.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G — SHAREHOLDERS’ EQUITY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6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40"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In August 2010, the Company’s Board of Directors approved a non-compensatory employee stock purchase plan, or ESPP. The ESPP authorizes 2,500,000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Amex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The Company had the following shares issued from treasury during fiscal 2011 and for the six months ended September 30, 2011:</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Shares Issued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Issued</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Under ESPP</w:t>
            </w:r>
          </w:p>
        </w:tc>
        <w:tc>
          <w:tcPr>
            <w:tcW w:w="1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Closing Market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Under Loan</w:t>
            </w:r>
          </w:p>
        </w:tc>
        <w:tc>
          <w:tcPr>
            <w:tcW w:w="1660" w:type="dxa"/>
            <w:vAlign w:val="bottom"/>
            <w:gridSpan w:val="4"/>
          </w:tcPr>
          <w:p>
            <w:pPr>
              <w:ind w:left="160"/>
              <w:spacing w:after="0"/>
              <w:rPr>
                <w:sz w:val="20"/>
                <w:szCs w:val="20"/>
                <w:color w:val="auto"/>
              </w:rPr>
            </w:pPr>
            <w:r>
              <w:rPr>
                <w:rFonts w:ascii="Arial" w:cs="Arial" w:eastAsia="Arial" w:hAnsi="Arial"/>
                <w:sz w:val="18"/>
                <w:szCs w:val="18"/>
                <w:b w:val="1"/>
                <w:bCs w:val="1"/>
                <w:color w:val="auto"/>
              </w:rPr>
              <w:t>Dollar Value of</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7"/>
              </w:rPr>
              <w:t>Repayment of</w:t>
            </w:r>
          </w:p>
        </w:tc>
      </w:tr>
      <w:tr>
        <w:trPr>
          <w:trHeight w:val="234"/>
        </w:trPr>
        <w:tc>
          <w:tcPr>
            <w:tcW w:w="27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w:t>
            </w:r>
          </w:p>
        </w:tc>
        <w:tc>
          <w:tcPr>
            <w:tcW w:w="16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Price</w:t>
            </w:r>
          </w:p>
        </w:tc>
        <w:tc>
          <w:tcPr>
            <w:tcW w:w="3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2"/>
              </w:rPr>
              <w:t>Loans Issued</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8"/>
              </w:rPr>
              <w:t>Fiscal Year Ended March 31, 2011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65,776</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3.37</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58,655</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196,100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Quarter Ended June 30, 2011</w:t>
            </w:r>
          </w:p>
        </w:tc>
        <w:tc>
          <w:tcPr>
            <w:tcW w:w="1040" w:type="dxa"/>
            <w:vAlign w:val="bottom"/>
          </w:tcPr>
          <w:p>
            <w:pPr>
              <w:jc w:val="right"/>
              <w:spacing w:after="0"/>
              <w:rPr>
                <w:sz w:val="20"/>
                <w:szCs w:val="20"/>
                <w:color w:val="auto"/>
              </w:rPr>
            </w:pPr>
            <w:r>
              <w:rPr>
                <w:rFonts w:ascii="Arial" w:cs="Arial" w:eastAsia="Arial" w:hAnsi="Arial"/>
                <w:sz w:val="18"/>
                <w:szCs w:val="18"/>
                <w:color w:val="auto"/>
              </w:rPr>
              <w:t>9,788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rPr>
              <w:t>3.93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8,601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33,800</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1,649</w:t>
            </w: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Quarter Ended September 30,</w:t>
            </w: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2.65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29,850</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11,102</w:t>
            </w: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92,317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79"/>
              </w:rPr>
              <w:t>3.30</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259,750</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15,436</w:t>
            </w:r>
          </w:p>
        </w:tc>
        <w:tc>
          <w:tcPr>
            <w:tcW w:w="10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Loans issued to employees are reflected on the Company’s balance sheet as a contra-equity account.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In October 2011, the Company’s Board of Directors approved a share repurchase program authorizing the Company to repurchase in aggregate up to a maximum of $1.0 million of the Company’s outstanding common stock.</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H — STOCK OPTIONS AND WARRANTS</w:t>
      </w:r>
    </w:p>
    <w:p>
      <w:pPr>
        <w:spacing w:after="0" w:line="189"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The Company grants stock options under its 2003 Stock Option and 2004 Stock and Incentive Awards Plans (the Plans). Under the terms of the Plans, the Company has reserved 12,000,000 shares for issuance to key employees, consultants and directors. The Company’s board of directors approved an increase to the number of shares available under the 2004 Stock and Incentive Awards Plan of 1,500,000 shares, and such share increase was approved by the Company’s shareholders at the 2010 annual shareholders meeting and such shares are included above, other than as described below. In addition, the Company’s board of directors subsequently approved an additional increase to the number of shares available under the Plan by 1,000,000 shares contingent upon the Company’s achievement of at least 100% of each of the targeted financial metrics under its bonus program for fiscal 2012. The contingent share increase was approved by the Company’s shareholders at the 2011 annual shareholders meeting and such shares are not included in the total above.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Restricted stock awards have no vesting period and have been issued to certain non-employee directors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In fiscal 2011, the Company converted all of its existing ISO awards to NQSO awards. No consideration was given to the employees for their voluntary conversion of ISO awards.</w:t>
      </w:r>
    </w:p>
    <w:p>
      <w:pPr>
        <w:spacing w:after="0" w:line="143"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Company granted accelerated vesting stock options in May 2011 under its 2004 Stock and Incentive Awards to provide an opportunity for its employees to earn long-term equity incentive awards based on the Company’s financial performance for fiscal 2012. An aggregate of 459,041 stock options were granted on the third business day following the Company’s public release of its fiscal 2011 results at an exercise price per share of $4.19, which was the closing sale price of the Company’s Common Stock on that date. The stock options will only vest, however, if the optionee remains employed and the Company is successful in achieving at least 100% of the target levels for each of the Company’s three financial metric targets for fiscal 2012, and if the Company’s stock price equals or exceeds $5.00 per share for at least 20 trading days during any 90-day period during the options’ ten-year term.</w:t>
      </w:r>
    </w:p>
    <w:p>
      <w:pPr>
        <w:spacing w:after="0" w:line="127"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For the three and six months ended September 30, 2011, the Company granted 7,614 and 10,896 shares under the 2004 Stock and Incentive Awards Plan to certain non-employee directors who elected to receive stock awards in lieu of cash compensation. The shares were valued at $3.12 per share and $4.19 per share, the closing market prices as of the grant dates.</w:t>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94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760" w:type="dxa"/>
            <w:vAlign w:val="bottom"/>
            <w:gridSpan w:val="7"/>
          </w:tcPr>
          <w:p>
            <w:pPr>
              <w:ind w:left="140"/>
              <w:spacing w:after="0"/>
              <w:rPr>
                <w:sz w:val="20"/>
                <w:szCs w:val="20"/>
                <w:color w:val="auto"/>
              </w:rPr>
            </w:pPr>
            <w:r>
              <w:rPr>
                <w:rFonts w:ascii="Arial" w:cs="Arial" w:eastAsia="Arial" w:hAnsi="Arial"/>
                <w:sz w:val="18"/>
                <w:szCs w:val="18"/>
                <w:b w:val="1"/>
                <w:bCs w:val="1"/>
                <w:color w:val="auto"/>
                <w:w w:val="91"/>
              </w:rPr>
              <w:t>Six Months Ended September 30,</w:t>
            </w:r>
          </w:p>
        </w:tc>
      </w:tr>
      <w:tr>
        <w:trPr>
          <w:trHeight w:val="210"/>
        </w:trPr>
        <w:tc>
          <w:tcPr>
            <w:tcW w:w="40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4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173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7"/>
        </w:trPr>
        <w:tc>
          <w:tcPr>
            <w:tcW w:w="4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363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r>
      <w:tr>
        <w:trPr>
          <w:trHeight w:val="20"/>
        </w:trPr>
        <w:tc>
          <w:tcPr>
            <w:tcW w:w="4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As of September 30, 2011, compensation cost related to non-vested common stock-based compensation, excluding performance stock option awards amounted to $3.8 million over a remaining weighted average expected term of 6.9 years.</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1500"/>
              <w:spacing w:after="0"/>
              <w:rPr>
                <w:sz w:val="20"/>
                <w:szCs w:val="20"/>
                <w:color w:val="auto"/>
              </w:rPr>
            </w:pPr>
            <w:r>
              <w:rPr>
                <w:rFonts w:ascii="Arial" w:cs="Arial" w:eastAsia="Arial" w:hAnsi="Arial"/>
                <w:sz w:val="18"/>
                <w:szCs w:val="18"/>
                <w:b w:val="1"/>
                <w:bCs w:val="1"/>
                <w:color w:val="auto"/>
                <w:w w:val="91"/>
              </w:rPr>
              <w:t>Options Outstanding</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0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Available for</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0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Grant</w:t>
            </w: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of Shares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Term (in years)</w:t>
            </w: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w:t>
            </w:r>
          </w:p>
        </w:tc>
      </w:tr>
      <w:tr>
        <w:trPr>
          <w:trHeight w:val="20"/>
        </w:trPr>
        <w:tc>
          <w:tcPr>
            <w:tcW w:w="3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1,577,676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3,658,768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1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Granted stock options</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(986,356)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986,356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Granted shares</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(10,896)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546,794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(546,794)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Balance at September 30, 2011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1,127,218</w:t>
            </w:r>
          </w:p>
        </w:tc>
        <w:tc>
          <w:tcPr>
            <w:tcW w:w="3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4,018,917</w:t>
            </w:r>
          </w:p>
        </w:tc>
        <w:tc>
          <w:tcPr>
            <w:tcW w:w="10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3.97</w:t>
            </w:r>
          </w:p>
        </w:tc>
        <w:tc>
          <w:tcPr>
            <w:tcW w:w="1740" w:type="dxa"/>
            <w:vAlign w:val="bottom"/>
            <w:gridSpan w:val="3"/>
          </w:tcPr>
          <w:p>
            <w:pPr>
              <w:jc w:val="right"/>
              <w:ind w:right="380"/>
              <w:spacing w:after="0"/>
              <w:rPr>
                <w:sz w:val="20"/>
                <w:szCs w:val="20"/>
                <w:color w:val="auto"/>
              </w:rPr>
            </w:pPr>
            <w:r>
              <w:rPr>
                <w:rFonts w:ascii="Arial" w:cs="Arial" w:eastAsia="Arial" w:hAnsi="Arial"/>
                <w:sz w:val="18"/>
                <w:szCs w:val="18"/>
                <w:color w:val="auto"/>
              </w:rPr>
              <w:t>7.17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444,261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2011</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1,723,065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w:t>
            </w:r>
          </w:p>
        </w:tc>
        <w:tc>
          <w:tcPr>
            <w:tcW w:w="1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316,911</w:t>
            </w: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$2.65 as of September 30, 2011.</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 summary of the status of the Company’s outstanding non-vested stock options as of September 30, 2011 was as follows: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1,832,167</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986,356</w:t>
            </w: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(209,881)</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(312,790)</w:t>
            </w:r>
          </w:p>
        </w:tc>
      </w:tr>
      <w:tr>
        <w:trPr>
          <w:trHeight w:val="27"/>
        </w:trPr>
        <w:tc>
          <w:tcPr>
            <w:tcW w:w="8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2011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2,295,852</w:t>
            </w:r>
          </w:p>
        </w:tc>
      </w:tr>
      <w:tr>
        <w:trPr>
          <w:trHeight w:val="20"/>
        </w:trPr>
        <w:tc>
          <w:tcPr>
            <w:tcW w:w="8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2011 or during the six months ended September 30,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300" w:type="dxa"/>
            <w:vAlign w:val="bottom"/>
            <w:gridSpan w:val="3"/>
          </w:tcPr>
          <w:p>
            <w:pPr>
              <w:ind w:left="380"/>
              <w:spacing w:after="0"/>
              <w:rPr>
                <w:sz w:val="20"/>
                <w:szCs w:val="20"/>
                <w:color w:val="auto"/>
              </w:rPr>
            </w:pPr>
            <w:r>
              <w:rPr>
                <w:rFonts w:ascii="Arial" w:cs="Arial" w:eastAsia="Arial" w:hAnsi="Arial"/>
                <w:sz w:val="18"/>
                <w:szCs w:val="18"/>
                <w:color w:val="auto"/>
              </w:rPr>
              <w:t>Outstanding warrants are comprised of the following:</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3"/>
          </w:tcPr>
          <w:p>
            <w:pPr>
              <w:ind w:left="200"/>
              <w:spacing w:after="0"/>
              <w:rPr>
                <w:sz w:val="20"/>
                <w:szCs w:val="20"/>
                <w:color w:val="auto"/>
              </w:rPr>
            </w:pPr>
            <w:r>
              <w:rPr>
                <w:rFonts w:ascii="Arial" w:cs="Arial" w:eastAsia="Arial" w:hAnsi="Arial"/>
                <w:sz w:val="18"/>
                <w:szCs w:val="18"/>
                <w:color w:val="auto"/>
              </w:rPr>
              <w:t>Issued</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3"/>
          </w:tcPr>
          <w:p>
            <w:pPr>
              <w:ind w:left="200"/>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September 30, 2011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gridSpan w:val="3"/>
            <w:vMerge w:val="restart"/>
          </w:tcPr>
          <w:p>
            <w:pPr>
              <w:ind w:left="380"/>
              <w:spacing w:after="0"/>
              <w:rPr>
                <w:sz w:val="20"/>
                <w:szCs w:val="20"/>
                <w:color w:val="auto"/>
              </w:rPr>
            </w:pPr>
            <w:r>
              <w:rPr>
                <w:rFonts w:ascii="Arial" w:cs="Arial" w:eastAsia="Arial" w:hAnsi="Arial"/>
                <w:sz w:val="18"/>
                <w:szCs w:val="18"/>
                <w:color w:val="auto"/>
              </w:rPr>
              <w:t>A summary of outstanding warrants at September 30, 2011 follows: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730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Exercise Price</w:t>
            </w:r>
          </w:p>
        </w:tc>
        <w:tc>
          <w:tcPr>
            <w:tcW w:w="3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380" w:type="dxa"/>
            <w:vAlign w:val="bottom"/>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$2.25</w:t>
            </w:r>
          </w:p>
        </w:tc>
        <w:tc>
          <w:tcPr>
            <w:tcW w:w="5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Fiscal 2015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I — SEGMENT DATA</w:t>
      </w:r>
    </w:p>
    <w:p>
      <w:pPr>
        <w:spacing w:after="0" w:line="189"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During the fiscal 2011 third quarter, certain activity of the Orion Engineered Systems Division exceeded the quantitative thresholds required for segment reporting. As such, descriptions of the Company’s segments and their summary financial information are summarized below.</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Management</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Energy Management Division develops, manufactures and sells commercial high intensity fluorescent, or HIF, lighting systems and energy management systems.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Engineered Systems</w:t>
      </w:r>
    </w:p>
    <w:p>
      <w:pPr>
        <w:spacing w:after="0" w:line="19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Engineered Systems Division sells and integrates alternative renewable energy systems, such as solar and wind, and provides technical services for the Company’s sale of HIF lighting systems and energy management systems.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85"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Corporate and Other is comprised of selling, general and administrative expenses not directly allocated to the Company’s segments and adjustments to reconcile to consolidated results, which primarily include intercompany eliminations.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Revenues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Operating (Loss) Income</w:t>
            </w:r>
          </w:p>
        </w:tc>
        <w:tc>
          <w:tcPr>
            <w:tcW w:w="0" w:type="dxa"/>
            <w:vAlign w:val="bottom"/>
          </w:tcPr>
          <w:p>
            <w:pPr>
              <w:spacing w:after="0"/>
              <w:rPr>
                <w:sz w:val="1"/>
                <w:szCs w:val="1"/>
                <w:color w:val="auto"/>
              </w:rPr>
            </w:pPr>
          </w:p>
        </w:tc>
      </w:tr>
      <w:tr>
        <w:trPr>
          <w:trHeight w:val="234"/>
        </w:trPr>
        <w:tc>
          <w:tcPr>
            <w:tcW w:w="262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3640" w:type="dxa"/>
            <w:vAlign w:val="bottom"/>
            <w:gridSpan w:val="7"/>
          </w:tcPr>
          <w:p>
            <w:pPr>
              <w:ind w:left="120"/>
              <w:spacing w:after="0"/>
              <w:rPr>
                <w:sz w:val="20"/>
                <w:szCs w:val="20"/>
                <w:color w:val="auto"/>
              </w:rPr>
            </w:pPr>
            <w:r>
              <w:rPr>
                <w:rFonts w:ascii="Arial" w:cs="Arial" w:eastAsia="Arial" w:hAnsi="Arial"/>
                <w:sz w:val="18"/>
                <w:szCs w:val="18"/>
                <w:b w:val="1"/>
                <w:bCs w:val="1"/>
                <w:color w:val="auto"/>
                <w:w w:val="94"/>
              </w:rPr>
              <w:t>For the Three Months Ended September 30,</w:t>
            </w:r>
          </w:p>
        </w:tc>
        <w:tc>
          <w:tcPr>
            <w:tcW w:w="3460" w:type="dxa"/>
            <w:vAlign w:val="bottom"/>
            <w:gridSpan w:val="6"/>
          </w:tcPr>
          <w:p>
            <w:pPr>
              <w:spacing w:after="0"/>
              <w:rPr>
                <w:sz w:val="20"/>
                <w:szCs w:val="20"/>
                <w:color w:val="auto"/>
              </w:rPr>
            </w:pPr>
            <w:r>
              <w:rPr>
                <w:rFonts w:ascii="Arial" w:cs="Arial" w:eastAsia="Arial" w:hAnsi="Arial"/>
                <w:sz w:val="18"/>
                <w:szCs w:val="18"/>
                <w:b w:val="1"/>
                <w:bCs w:val="1"/>
                <w:color w:val="auto"/>
                <w:w w:val="92"/>
              </w:rPr>
              <w:t>For the Three Months Ended September 30,</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2010</w:t>
            </w: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2010</w:t>
            </w: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Segments: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Energy Management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14,371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16,686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1,301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2,574</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(2,122)</w:t>
            </w: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15,853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19,260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Revenues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Operating (Loss) Income</w:t>
            </w:r>
          </w:p>
        </w:tc>
        <w:tc>
          <w:tcPr>
            <w:tcW w:w="0" w:type="dxa"/>
            <w:vAlign w:val="bottom"/>
          </w:tcPr>
          <w:p>
            <w:pPr>
              <w:spacing w:after="0"/>
              <w:rPr>
                <w:sz w:val="1"/>
                <w:szCs w:val="1"/>
                <w:color w:val="auto"/>
              </w:rPr>
            </w:pPr>
          </w:p>
        </w:tc>
      </w:tr>
      <w:tr>
        <w:trPr>
          <w:trHeight w:val="234"/>
        </w:trPr>
        <w:tc>
          <w:tcPr>
            <w:tcW w:w="262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For the Six Months Ended September 30,</w:t>
            </w:r>
          </w:p>
        </w:tc>
        <w:tc>
          <w:tcPr>
            <w:tcW w:w="100" w:type="dxa"/>
            <w:vAlign w:val="bottom"/>
          </w:tcPr>
          <w:p>
            <w:pPr>
              <w:spacing w:after="0"/>
              <w:rPr>
                <w:sz w:val="20"/>
                <w:szCs w:val="20"/>
                <w:color w:val="auto"/>
              </w:rPr>
            </w:pPr>
          </w:p>
        </w:tc>
        <w:tc>
          <w:tcPr>
            <w:tcW w:w="336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0"/>
              </w:rPr>
              <w:t>For the Six Months Ended September 30,</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2010</w:t>
            </w: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2010</w:t>
            </w: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Segments: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Energy Management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29,769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33,128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1,592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8,906</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(3,394)</w:t>
            </w: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32,830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(2,643)</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34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20" w:type="dxa"/>
            <w:vAlign w:val="bottom"/>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w w:val="99"/>
              </w:rPr>
              <w:t>Deferred Revenue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31, 2011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30, 2011</w:t>
            </w:r>
          </w:p>
        </w:tc>
        <w:tc>
          <w:tcPr>
            <w:tcW w:w="3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March 31, 2011</w:t>
            </w: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w w:val="87"/>
              </w:rPr>
              <w:t>September 30, 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Segments:</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Energy Management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67,449</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63,574</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Engineered Systems</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14,405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14,737</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42,263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100" w:right="179" w:hanging="76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2011.</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fiscal 2011 Annual Report filed on Form 10-K for the fiscal year ended March 31, 2011 and elsewhere in this Quarterly Report.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design, manufacture, market and implement energy management systems consisting primarily of high-performance, energy efficient lighting systems, controls and related services and market and implement renewable energy systems consisting primarily of solar generating photovoltaic, or PV, systems and wind turbines. We operate in two business segments, which we refer to as our Energy Management Division and our Engineered Systems Division.</w:t>
      </w:r>
    </w:p>
    <w:p>
      <w:pPr>
        <w:spacing w:after="0" w:line="14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have sold and installed more than 2,176,000 of our HIF lighting systems in over 7,368 facilities from December 1, 2001 through September 30, 2011. We have sold our products to 137 Fortune 500 companies, many of which have installed our HIF lighting systems in multiple facilities. Our top direct customers by revenue in fiscal 2011 included Coca-Cola Enterprises Inc., U.S. Foodservice, SYSCO Corp., Ball Corporation, MillerCoors and Pepsico, Inc. and its affiliates.</w:t>
      </w:r>
    </w:p>
    <w:p>
      <w:pPr>
        <w:spacing w:after="0" w:line="146"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Our fiscal year ends on March 31. We call our prior fiscal year which ended on March 31, 2011, “fiscal 2011”. We call our current fiscal year, which will end on March 31, 2012, “fiscal 2012.” Our fiscal first quarter ended on June 30, our fiscal second quarter ended on September 30, our fiscal third quarter ends on December 31 and our fiscal fourth quarter ends on March 31.</w:t>
      </w:r>
    </w:p>
    <w:p>
      <w:pPr>
        <w:spacing w:after="0" w:line="12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Because of the recessed state of the global economy, especially as it impacted capital equipment manufacturers, our results for the first half of fiscal 2011 were impacted by lengthened customer sales cycles and sluggish customer capital spending. During the second half of fiscal 2011 and the first half of fiscal 2012, capital equipment purchases were slightly improved and we continue to remain optimistic regarding customer behaviors for the remainder of fiscal year 2012. To address these difficult economic conditions, we implemented $3.2 million of annualized cost reductions during the first quarter of fiscal 2010. These cost containment initiatives included reductions related to headcount, work hours and discretionary spending and began to show results in the second half of fiscal 2010 and the first half of fiscal 2011. During the second quarter of fiscal 2011, we identified an additional $1 million of annualized cost reductions related to decreased product costs, improved manufacturing efficiencies and reduced operating expenses. We realized these cost reductions beginning during the fiscal 2011 third quarter through reduction in general and administrative expenses and improved product margins for our HIF lighting systems.</w:t>
      </w: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Despite these recent economic challenges, we remain optimistic about our near-term and long-term financial performance. Our near-term optimism is based upon our record level of revenue in fiscal 2011 along with our return to profitability, our record level of order backlog heading into the back half of fiscal 2012, the increasing volume of unit sales in the first half of fiscal 2012 of our new products, specifically our exterior HIF fixtures, InteLite wireless dynamic controls, and our Apollo light pipes, and our cost reduction plans completed during fiscal 2011. Our long-term optimism is based upon the considerable size of the existing market opportunity for lighting retrofits, the continued development of our new products and product enhancements, the opportunity for additional revenue from sales of renewable technologies through our Orion Engineered Systems Division, the opportunity for our participation in the replacement part aftermarket and the increasing national recognition of the importance of environmental stewardship, including legislation in the State of Wisconsin passed in fiscal 2011 that recognized our solar Apollo light pipe as a renewable product offering and qualified it for incentives currently offered to other renewable technologies.</w:t>
      </w:r>
    </w:p>
    <w:p>
      <w:pPr>
        <w:spacing w:after="0" w:line="151"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August 2009, we created Orion Engineered Systems, a new operating division which has been offering our customers additional alternative renewable energy systems. In fiscal 2010, we sold and installed three solar PV electricity generating projects, completing our test analysis on two of the three in the fiscal 2010 third quarter, and executed our first cash sale and our first power purchase agreement, or PPA, as a result of the successful testing of these systems. We completed the installation and customer acceptance of the third system, a cash sale, during our fiscal 2011 first quarter. During our fiscal 2011 second quarter, we received an $8.2 million cash order for a solar PV generating system for which we recognized $6.6 million of revenue in fiscal 2011.</w:t>
      </w:r>
    </w:p>
    <w:p>
      <w:pPr>
        <w:spacing w:after="0" w:line="12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During our fiscal 2011 third quarter, revenue from our Orion Engineered Systems Division exceeded the quantitative threshold for generally accepted accounting principles, or GAAP, segment accounting. We now report our Energy Management and Engineered Systems Divisions as separate segments. Our Energy Management Division develops, manufactures and sells commercial high intensity fluorescent, or HIF, lighting systems and energy management systems. Our Engineered Systems Division sells and integrates alternative renewable energy systems and provides technical services for the Company’s sale of HIF lighting systems and energy management systems.</w:t>
      </w:r>
    </w:p>
    <w:p>
      <w:pPr>
        <w:spacing w:after="0" w:line="153"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In response to the constraints on our customers’ capital spending budgets, we have more aggressively promoted the advantages to our customers of purchasing our energy management systems through our Orion Throughput Agreement, or OTA, finance program. Our OTA financing program provides for our customer’s purchase of our energy management systems without an up-front capital outlay. The OTA contracts under this sales-type financing are either structured with a fixed term, typically 60 months, and a bargain purchase option at the end of the term, or are one year in duration and, at the completion of the initial one-year term, provide for</w:t>
      </w:r>
    </w:p>
    <w:p>
      <w:pPr>
        <w:spacing w:after="0" w:line="2" w:lineRule="exact"/>
        <w:rPr>
          <w:sz w:val="20"/>
          <w:szCs w:val="20"/>
          <w:color w:val="auto"/>
        </w:rPr>
      </w:pPr>
    </w:p>
    <w:p>
      <w:pPr>
        <w:jc w:val="both"/>
        <w:ind w:left="340" w:right="159" w:hanging="8"/>
        <w:spacing w:after="0" w:line="286" w:lineRule="auto"/>
        <w:tabs>
          <w:tab w:leader="none" w:pos="559" w:val="left"/>
        </w:tabs>
        <w:numPr>
          <w:ilvl w:val="0"/>
          <w:numId w:val="4"/>
        </w:numPr>
        <w:rPr>
          <w:rFonts w:ascii="Arial" w:cs="Arial" w:eastAsia="Arial" w:hAnsi="Arial"/>
          <w:sz w:val="16"/>
          <w:szCs w:val="16"/>
          <w:color w:val="auto"/>
        </w:rPr>
      </w:pPr>
      <w:r>
        <w:rPr>
          <w:rFonts w:ascii="Arial" w:cs="Arial" w:eastAsia="Arial" w:hAnsi="Arial"/>
          <w:sz w:val="16"/>
          <w:szCs w:val="16"/>
          <w:color w:val="auto"/>
        </w:rPr>
        <w:t>one to four automatic one-year renewals at agreed upon pricing; (ii) an early buyout for cash; or (iii) the return of the equipment at the customer’s expense. The revenue that we are entitled to receive from the sale of our energy management systems under our OTA financing program is fixed and is based on the cost of the energy management system and applicable profit margin. Our revenue from agreements entered into under this program is not dependent upon our customers’ actual energy savings. Upon completion of the installation, we may choose to sell the future cash flows and residual rights to the equipment on a non-recourse basis to an unrelated third party finance company in exchange for cash and future payments. We expect that the number of customers who choose to purchase our systems by using our OTA financing program will continue to increase in future periods. Additionally, we have provided a financing program to our alternative renewable energy system customers called a solar power purchase agreement, or PPA, as an alternative to purchasing our systems for cash. The PPA is a supply side agreement for the generation of electricity and subsequent sale to the end user. We do not intend to use our own cash balances to fund future PPA Opportunities. We have secured one external funding source to fund PPA’s and continue to look for additional external sources of funding for PPA’s on behalf of our customers.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and Expense Components</w:t>
      </w:r>
    </w:p>
    <w:p>
      <w:pPr>
        <w:spacing w:after="0" w:line="189"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to end users through 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service revenues are recognized when services are complete and customer acceptance has been received. In fiscal 2011, we increased our efforts to expand our value-added reseller channels, including through developing a partner standard operating procedural kit, providing our partners with product marketing materials and providing training to channel partners on our sales methodologies. These wholesale channels accounted for approximately 53% of our total revenue in fiscal 2011, not taking into consideration our renewable technologies revenue generated through our Orion Engineered Systems Division. During the fiscal 2012 first half, wholesale revenues accounted for approximately 61% of our total revenue, not taking into consideration our renewable technologies revenue generated through our Orion Engineered Systems Division, compared to 53% for the first half of fiscal 2011. We are changing the manner in which we sell our solar PV systems. Instead of reselling the solar PV equipment obtained from a solar PV equipment manufacturer, we are encouraging our customers to purchase their solar PV systems directly from the manufacturer, while we provide the value-added installation and integration services. This change in approach is expected to result in reduced revenue from solar orders, but is expected to result in improved gross margins as discussed below.</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Additionally, we offer our OTA sales-type financing program under which we finance the customer’s purchase of our energy management systems. We recognize revenue from OTA contracts at the net present value of the future cash flows at the completion date of the installation of the energy management systems and the customers acknowledgement that the system is operating as specified.</w:t>
      </w:r>
    </w:p>
    <w:p>
      <w:pPr>
        <w:spacing w:after="0" w:line="160"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In fiscal 2011, we recognized $10.7 million of revenue from 127 completed OTA contracts. For the three months ended September 30, 2011, we recognized $3.6 million of revenue from 29 completed contracts. For the six months ended September 30, 2011, we recognized $6.5 million of revenue from 82 completed contracts. In the future, we expect an increase in the volume of OTA contracts as our customers take advantage of the value proposition without incurring any up-front capital cost.</w:t>
      </w:r>
    </w:p>
    <w:p>
      <w:pPr>
        <w:spacing w:after="0" w:line="131"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2011, we recognized $0.4 million of revenue from completed PPAs. In the first half of fiscal 2012, we recognized $0.4 million of revenue from completed PPAs. As of September 30, 2011, we had signed one customer to two separate PPAs representing future potential discounted revenue streams of $3.5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September 30, 2011 (in thousands):</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2013</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2015</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2016</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Beyond</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r>
      <w:tr>
        <w:trPr>
          <w:trHeight w:val="27"/>
        </w:trPr>
        <w:tc>
          <w:tcPr>
            <w:tcW w:w="8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expected future discounted revenue from PPAs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w:t>
            </w:r>
          </w:p>
        </w:tc>
      </w:tr>
      <w:tr>
        <w:trPr>
          <w:trHeight w:val="20"/>
        </w:trPr>
        <w:tc>
          <w:tcPr>
            <w:tcW w:w="8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Other than for OTA and PPA revenue, we recognize revenue on product only sales at the time of shipment. For projects consisting of multiple elements of revenue, such as a combination of product sales and services, we recognize revenue by allocating the total contract revenue to each element based on their relative selling prices. We determine the selling price of products based upon the price charged when these products are sold separately. For services, we determine the selling price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5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38% and 28% of our total revenue for the first half of fiscal 2012 and fiscal 2011, respectively. No customer accounted for more than 10% of our total revenue in the first half of fiscal 2012 or fiscal 2011.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4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Our level of total revenue for any given period is dependent upon a number of factors, including (i) the demand for our products and systems, including our OTA and PPA programs, and any new products, applications and service that we may introduce through our Orion Engineered Systems Division; (ii) changes in capital investment levels by our customers and prospects, (iii) the number and timing of large retrofit and multi-facility retrofit, or “roll-out,” projects; (iv) the level of our wholesale sales; (v) our ability to realize revenue from our services; (vi) market conditions; (vii) our execution of our sales process; (viii) our ability to compete in a highly competitive market and our ability to respond successfully to market competition; (ix) the selling price of our products and services; and (x) customer sales and budget cycles. As a result, our total revenue may be subject to quarterly variations and our total revenue for any particular fiscal quarter may not be indicative of future results.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received for our lighting and solar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where 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September 30, 2011, we had a backlog of firm purchase orders of approximately $23.6 million, which included $16.5 million of solar PV orders, compared to $11.6 million as of June 30, 2011, which included $4.2 million of solar PV orders. We generally expect this level of firm purchase order backlog related to HIF lighting systems to be converted into revenue within the following quarter and our firm purchase order backlog related to solar PV systems to be recognized within the following two quarters. Principally as a result of the continued lengthening of our customer’s purchasing decisions because of current recessed economic conditions and related factors and the continued shortening of our installation cycles, a comparison of backlog from period to period is not necessarily meaningful and may not be indicative of actual revenue recognized in future periods.</w:t>
      </w:r>
    </w:p>
    <w:p>
      <w:pPr>
        <w:spacing w:after="0" w:line="146"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total cost of revenue consists of costs for: (i) raw materials, including sheet, coiled and specialty reflective</w:t>
      </w:r>
      <w:r>
        <w:rPr>
          <w:rFonts w:ascii="Arial" w:cs="Arial" w:eastAsia="Arial" w:hAnsi="Arial"/>
          <w:sz w:val="16"/>
          <w:szCs w:val="16"/>
          <w:i w:val="1"/>
          <w:iCs w:val="1"/>
          <w:color w:val="auto"/>
        </w:rPr>
        <w:t xml:space="preserve"> </w:t>
      </w:r>
      <w:r>
        <w:rPr>
          <w:rFonts w:ascii="Arial" w:cs="Arial" w:eastAsia="Arial" w:hAnsi="Arial"/>
          <w:sz w:val="16"/>
          <w:szCs w:val="16"/>
          <w:color w:val="auto"/>
        </w:rPr>
        <w:t>aluminum; (ii) electrical 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13% of our total cost of revenue for the first half of fiscal 2012 and were 34% of our total cost of revenue for the first half of fiscal 2011. Our cost of revenue from OTA projects is recorded upon customer acceptance and acknowledgement that the system is operating as specified. Our production labor force is non-union and, as a result, our production labor costs have been relatively stable. We have been expanding our network of qualified third-party installers to realize efficiencies in the installation process.</w:t>
      </w:r>
    </w:p>
    <w:p>
      <w:pPr>
        <w:spacing w:after="0" w:line="131"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gross profit has been, and will continue to be, affected by the relative levels of our total revenue and our total</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revenue, and as a result, our gross profit may be subject to quarterly variation. Our gross profit as a percentage of total revenue, or gross margin, is affected by a number of factors, including: (i) our level of solar PV sales which generally have substantially lower relative gross margins than our traditional energy management systems; (ii) our mix of large retrofit and multi-facility roll-out projects with national accounts; (iii) the level of our wholesale and partner sales (which generally have historically resulted in lower relative gross margins, but higher relative net margins, than our sales to direct customers); (iv) our realization rate on our billable services;</w:t>
      </w:r>
    </w:p>
    <w:p>
      <w:pPr>
        <w:spacing w:after="0" w:line="5" w:lineRule="exact"/>
        <w:rPr>
          <w:sz w:val="20"/>
          <w:szCs w:val="20"/>
          <w:color w:val="auto"/>
        </w:rPr>
      </w:pPr>
    </w:p>
    <w:p>
      <w:pPr>
        <w:jc w:val="both"/>
        <w:ind w:left="340" w:right="159" w:hanging="8"/>
        <w:spacing w:after="0" w:line="290" w:lineRule="auto"/>
        <w:tabs>
          <w:tab w:leader="none" w:pos="608"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project pricing; (vi) our level of warranty claims; (vii) our level of utilization of our manufacturing facilities and production equipment and related absorption of our manufacturing overhead costs; (viii) our level of efficiencies in our manufacturing operations; and (ix) our level of efficiencies from our subcontracted installation service providers. We are changing the manner in which we sell our solar PV systems. Instead of reselling the solar PV equipment obtained from a solar PV equipment manufacturer, we are encouraging our customers to purchase their solar PV systems directly from the manufacturer, while we provide the value-added installation and integration services. This change in approach is expected to result in increased solar PV gross margins.</w:t>
      </w:r>
    </w:p>
    <w:p>
      <w:pPr>
        <w:spacing w:after="0" w:line="12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(iii) research and development expenses. Personnel related costs are our largest operating expense. In fiscal 2012, we are increasing personnel in our sales areas for telemarketing and direct sales employees as we believe that future opportunities within our business remain strong.</w:t>
      </w:r>
    </w:p>
    <w:p>
      <w:pPr>
        <w:spacing w:after="0" w:line="160"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w:t>
      </w:r>
    </w:p>
    <w:p>
      <w:pPr>
        <w:ind w:left="680" w:hanging="348"/>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professional services fees; (v) technology related costs and amortization; (vi) bad debt and asset impairment charges; and</w:t>
      </w:r>
    </w:p>
    <w:p>
      <w:pPr>
        <w:spacing w:after="0" w:line="20" w:lineRule="exact"/>
        <w:rPr>
          <w:rFonts w:ascii="Arial" w:cs="Arial" w:eastAsia="Arial" w:hAnsi="Arial"/>
          <w:sz w:val="17"/>
          <w:szCs w:val="17"/>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corporate-related travel.</w:t>
      </w:r>
    </w:p>
    <w:p>
      <w:pPr>
        <w:spacing w:after="0" w:line="170"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w:t>
      </w:r>
    </w:p>
    <w:p>
      <w:pPr>
        <w:ind w:left="340" w:right="159" w:hanging="8"/>
        <w:spacing w:after="0" w:line="261" w:lineRule="auto"/>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travel, lodging and other out-of-pocket expenses associated with our selling efforts; (iv) marketing programs; (v) pre-sales costs; and (vi) other related overhead.</w:t>
      </w:r>
    </w:p>
    <w:p>
      <w:pPr>
        <w:spacing w:after="0" w:line="200" w:lineRule="exact"/>
        <w:rPr>
          <w:sz w:val="20"/>
          <w:szCs w:val="20"/>
          <w:color w:val="auto"/>
        </w:rPr>
      </w:pPr>
    </w:p>
    <w:p>
      <w:pPr>
        <w:spacing w:after="0" w:line="34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44"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In fiscal 2011 and continuing in the first half of fiscal 2012, we invested in marketing efforts to our direct end customers and to our channel partners through increasing advertising, marketing collateral materials and participating in national industry and customer trade shows. We expense all pre-sale costs incurred in connection with our sales process prior to obtaining a purchase order. These pre-sale costs may reduce our net income in a given period prior to recognizing any corresponding revenue. We also intend to continue investing in our research and development of new and enhanced energy management products and services.</w:t>
      </w:r>
    </w:p>
    <w:p>
      <w:pPr>
        <w:spacing w:after="0" w:line="11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We recognize compensation expense for the fair value of our stock option awards granted over their related vesting period. We recognized $0.7 million in the first half of fiscal 2012 and $0.6 million in the first half of fiscal 2011. As a result of prior option grants, we expect to recognize an additional $3.8 million of stock-based compensation over a weighted average period of approximately seven years, including $0.7 million in the last six months of fiscal 2012.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2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obligations, including the amortization of previously incurred financing costs. We amortize deferred financing costs to interest expense over the life of the related debt instrument, ranging from two to ten years.</w:t>
      </w:r>
    </w:p>
    <w:p>
      <w:pPr>
        <w:spacing w:after="0" w:line="154"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We report interest income earned on our cash and cash equivalents and short term investments. We also report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earned from our financed OTA contracts.</w:t>
      </w:r>
    </w:p>
    <w:p>
      <w:pPr>
        <w:spacing w:after="0" w:line="130"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September 30, 2011, we had net operating loss carryforwards of approximately $7.6 million for federal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and $4.6 million for state tax purposes. Included in these loss carryforwards were $4.5 million for federal and $2.5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$1.0 million and state credit carryforwards of approximately $0.6 million. A full valuation allowance has been set up for the state tax credits. We believe it is more likely than not that we will realize the benefits of most of these assets and we have reserved for an allowance due to our state apportioned income and the potential expiration of the state tax credits due to the carryforward period. These federal and state net operating losses and credit carryforwards are available, subject to the discussion in the following paragraph, to offset future taxable income and, if not utilized, will begin to expire in varying amounts between 2014 and 2030.</w:t>
      </w:r>
    </w:p>
    <w:p>
      <w:pPr>
        <w:spacing w:after="0" w:line="142"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For fiscal year 2008, utilization of our federal loss carryforwards was limited to $3.0 million. There was no limitation that occurred for fiscal 2010 or fiscal 2011. For fiscal 2012, we do not anticipate a limitation on the use of our net operating loss carryforwards.</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w w:val="97"/>
              </w:rPr>
              <w:t>Six Months Ended September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42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428"/>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5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428"/>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428"/>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gridSpan w:val="2"/>
            <w:vMerge w:val="restart"/>
          </w:tcPr>
          <w:p>
            <w:pPr>
              <w:spacing w:after="0"/>
              <w:rPr>
                <w:sz w:val="10"/>
                <w:szCs w:val="10"/>
                <w:color w:val="auto"/>
              </w:rPr>
            </w:pPr>
          </w:p>
        </w:tc>
        <w:tc>
          <w:tcPr>
            <w:tcW w:w="5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vMerge w:val="restart"/>
          </w:tcPr>
          <w:p>
            <w:pPr>
              <w:spacing w:after="0"/>
              <w:rPr>
                <w:sz w:val="10"/>
                <w:szCs w:val="10"/>
                <w:color w:val="auto"/>
              </w:rPr>
            </w:pPr>
          </w:p>
        </w:tc>
        <w:tc>
          <w:tcPr>
            <w:tcW w:w="54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9"/>
              </w:rPr>
              <w:t>Revenue</w:t>
            </w: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Revenue</w:t>
            </w: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gridSpan w:val="3"/>
            <w:vMerge w:val="continue"/>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Product revenue</w:t>
            </w:r>
          </w:p>
        </w:tc>
        <w:tc>
          <w:tcPr>
            <w:tcW w:w="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w w:val="93"/>
              </w:rPr>
              <w:t>15,086</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95.2%</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w w:val="93"/>
              </w:rPr>
              <w:t>18,718</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97.2%</w:t>
            </w:r>
          </w:p>
        </w:tc>
        <w:tc>
          <w:tcPr>
            <w:tcW w:w="8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w w:val="93"/>
              </w:rPr>
              <w:t>30,844</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94.0%</w:t>
            </w:r>
          </w:p>
        </w:tc>
        <w:tc>
          <w:tcPr>
            <w:tcW w:w="1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93"/>
              </w:rPr>
              <w:t>40,397</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96.1%</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Service revenue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767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(29.3)%</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1,986</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1,637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15,853</w:t>
            </w:r>
          </w:p>
        </w:tc>
        <w:tc>
          <w:tcPr>
            <w:tcW w:w="240" w:type="dxa"/>
            <w:vAlign w:val="bottom"/>
            <w:gridSpan w:val="2"/>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19,260</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32,830</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3"/>
              </w:rPr>
              <w:t>42,034</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Cost of product revenue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9,745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61.5%</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12,059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62.6%</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23.7%</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20,053</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w w:val="93"/>
              </w:rPr>
              <w:t>27,063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64.4%</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service revenue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1,415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1,116</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4"/>
                <w:szCs w:val="14"/>
                <w:color w:val="auto"/>
              </w:rPr>
              <w:t>Total cost of revenue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10,243</w:t>
            </w:r>
          </w:p>
        </w:tc>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64.6%</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12,441</w:t>
            </w:r>
          </w:p>
        </w:tc>
        <w:tc>
          <w:tcPr>
            <w:tcW w:w="240" w:type="dxa"/>
            <w:vAlign w:val="bottom"/>
            <w:vMerge w:val="continue"/>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64.6%</w:t>
            </w:r>
          </w:p>
        </w:tc>
        <w:tc>
          <w:tcPr>
            <w:tcW w:w="8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21,468</w:t>
            </w:r>
          </w:p>
        </w:tc>
        <w:tc>
          <w:tcPr>
            <w:tcW w:w="240" w:type="dxa"/>
            <w:vAlign w:val="bottom"/>
            <w:vMerge w:val="continue"/>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28,179</w:t>
            </w:r>
          </w:p>
        </w:tc>
        <w:tc>
          <w:tcPr>
            <w:tcW w:w="240" w:type="dxa"/>
            <w:vAlign w:val="bottom"/>
            <w:vMerge w:val="continue"/>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67.0%</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5,610</w:t>
            </w:r>
          </w:p>
        </w:tc>
        <w:tc>
          <w:tcPr>
            <w:tcW w:w="240" w:type="dxa"/>
            <w:vAlign w:val="bottom"/>
            <w:gridSpan w:val="2"/>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6,819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11,362</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3"/>
              </w:rPr>
              <w:t>13,855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General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00"/>
              <w:spacing w:after="0" w:line="149" w:lineRule="exact"/>
              <w:rPr>
                <w:sz w:val="20"/>
                <w:szCs w:val="20"/>
                <w:color w:val="auto"/>
              </w:rPr>
            </w:pPr>
            <w:r>
              <w:rPr>
                <w:rFonts w:ascii="Arial" w:cs="Arial" w:eastAsia="Arial" w:hAnsi="Arial"/>
                <w:sz w:val="14"/>
                <w:szCs w:val="14"/>
                <w:color w:val="auto"/>
              </w:rPr>
              <w:t>administrative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200"/>
              <w:spacing w:after="0"/>
              <w:rPr>
                <w:sz w:val="20"/>
                <w:szCs w:val="20"/>
                <w:color w:val="auto"/>
              </w:rPr>
            </w:pPr>
            <w:r>
              <w:rPr>
                <w:rFonts w:ascii="Arial" w:cs="Arial" w:eastAsia="Arial" w:hAnsi="Arial"/>
                <w:sz w:val="14"/>
                <w:szCs w:val="14"/>
                <w:color w:val="auto"/>
              </w:rPr>
              <w:t>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2,988</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2,724</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14.1%</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5,933</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8"/>
              <w:spacing w:after="0"/>
              <w:rPr>
                <w:sz w:val="20"/>
                <w:szCs w:val="20"/>
                <w:color w:val="auto"/>
              </w:rPr>
            </w:pPr>
            <w:r>
              <w:rPr>
                <w:rFonts w:ascii="Arial" w:cs="Arial" w:eastAsia="Arial" w:hAnsi="Arial"/>
                <w:sz w:val="14"/>
                <w:szCs w:val="14"/>
                <w:color w:val="auto"/>
              </w:rPr>
              <w:t>5,800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13.8%</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expenses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3,299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3,736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6,889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7,504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Research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00"/>
              <w:spacing w:after="0" w:line="149" w:lineRule="exact"/>
              <w:rPr>
                <w:sz w:val="20"/>
                <w:szCs w:val="20"/>
                <w:color w:val="auto"/>
              </w:rPr>
            </w:pPr>
            <w:r>
              <w:rPr>
                <w:rFonts w:ascii="Arial" w:cs="Arial" w:eastAsia="Arial" w:hAnsi="Arial"/>
                <w:sz w:val="14"/>
                <w:szCs w:val="14"/>
                <w:color w:val="auto"/>
              </w:rPr>
              <w:t>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200"/>
              <w:spacing w:after="0"/>
              <w:rPr>
                <w:sz w:val="20"/>
                <w:szCs w:val="20"/>
                <w:color w:val="auto"/>
              </w:rPr>
            </w:pPr>
            <w:r>
              <w:rPr>
                <w:rFonts w:ascii="Arial" w:cs="Arial" w:eastAsia="Arial" w:hAnsi="Arial"/>
                <w:sz w:val="14"/>
                <w:szCs w:val="14"/>
                <w:color w:val="auto"/>
              </w:rPr>
              <w:t>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573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593</w:t>
            </w:r>
          </w:p>
        </w:tc>
        <w:tc>
          <w:tcPr>
            <w:tcW w:w="2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3.1%</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1,183</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8"/>
              <w:spacing w:after="0"/>
              <w:rPr>
                <w:sz w:val="20"/>
                <w:szCs w:val="20"/>
                <w:color w:val="auto"/>
              </w:rPr>
            </w:pPr>
            <w:r>
              <w:rPr>
                <w:rFonts w:ascii="Arial" w:cs="Arial" w:eastAsia="Arial" w:hAnsi="Arial"/>
                <w:sz w:val="14"/>
                <w:szCs w:val="14"/>
                <w:color w:val="auto"/>
              </w:rPr>
              <w:t>1,215</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2.9%</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(1,250)</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(234)</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81.3%</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(2,643)</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(664)</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172.7%</w:t>
            </w: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237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Dividend and interest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368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4"/>
                <w:szCs w:val="14"/>
                <w:color w:val="auto"/>
              </w:rPr>
              <w:t>Loss before income tax</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0"/>
              </w:rPr>
              <w:t>(1,152)</w:t>
            </w:r>
          </w:p>
        </w:tc>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(170)</w:t>
            </w:r>
          </w:p>
        </w:tc>
        <w:tc>
          <w:tcPr>
            <w:tcW w:w="240" w:type="dxa"/>
            <w:vAlign w:val="bottom"/>
            <w:vMerge w:val="continue"/>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(0.9)%</w:t>
            </w:r>
          </w:p>
        </w:tc>
        <w:tc>
          <w:tcPr>
            <w:tcW w:w="8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85.2%</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0"/>
              </w:rPr>
              <w:t>(2,521)</w:t>
            </w:r>
          </w:p>
        </w:tc>
        <w:tc>
          <w:tcPr>
            <w:tcW w:w="240" w:type="dxa"/>
            <w:vAlign w:val="bottom"/>
            <w:vMerge w:val="continue"/>
          </w:tcPr>
          <w:p>
            <w:pPr>
              <w:spacing w:after="0"/>
              <w:rPr>
                <w:sz w:val="13"/>
                <w:szCs w:val="13"/>
                <w:color w:val="auto"/>
              </w:rPr>
            </w:pPr>
          </w:p>
        </w:tc>
        <w:tc>
          <w:tcPr>
            <w:tcW w:w="8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(533)</w:t>
            </w:r>
          </w:p>
        </w:tc>
        <w:tc>
          <w:tcPr>
            <w:tcW w:w="240" w:type="dxa"/>
            <w:vAlign w:val="bottom"/>
            <w:vMerge w:val="continue"/>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(1.3)%</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(1,692)</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(2,525)</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(215)</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8"/>
              <w:spacing w:after="0"/>
              <w:rPr>
                <w:sz w:val="20"/>
                <w:szCs w:val="20"/>
                <w:color w:val="auto"/>
              </w:rPr>
            </w:pPr>
            <w:r>
              <w:rPr>
                <w:rFonts w:ascii="Arial" w:cs="Arial" w:eastAsia="Arial" w:hAnsi="Arial"/>
                <w:sz w:val="14"/>
                <w:szCs w:val="14"/>
                <w:color w:val="auto"/>
                <w:w w:val="84"/>
              </w:rPr>
              <w:t>)</w:t>
            </w: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540</w:t>
            </w:r>
          </w:p>
        </w:tc>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3.4%</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(99)</w:t>
            </w:r>
          </w:p>
        </w:tc>
        <w:tc>
          <w:tcPr>
            <w:tcW w:w="240" w:type="dxa"/>
            <w:vAlign w:val="bottom"/>
            <w:vMerge w:val="continue"/>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(0.5)%</w:t>
            </w: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(118.3)%</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240" w:type="dxa"/>
            <w:vAlign w:val="bottom"/>
            <w:vMerge w:val="continue"/>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0.0%</w:t>
            </w:r>
          </w:p>
        </w:tc>
        <w:tc>
          <w:tcPr>
            <w:tcW w:w="80" w:type="dxa"/>
            <w:vAlign w:val="bottom"/>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(318</w:t>
            </w:r>
          </w:p>
        </w:tc>
        <w:tc>
          <w:tcPr>
            <w:tcW w:w="240" w:type="dxa"/>
            <w:vAlign w:val="bottom"/>
            <w:vMerge w:val="continue"/>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(0.8)%</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(8,050.0)%</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increased from $15.1 million for the fiscal 2011 second quarter to $18.7 million for the fiscal 2012</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an increase of $3.6 million, or 24%. The increase in product revenue was a result of increased sales of our HIF lighting systems and renewable energy systems. Service revenue decreased from $0.8 million for the fiscal 2011 second quarter to $0.5 million for the fiscal 2012 second quarter, a decrease of $0.3 million, or 38%. The decrease in service revenues was a result of the continued percentage increase of our total revenues generated by our wholesale channels, where our services are not provided. Total revenue from renewable energy systems was $2.0 million for the fiscal 2012 second quarter compared to none for the fiscal 2011 second quarter. Product revenue increased from $30.8 million for the fiscal 2011 first half to $40.4 million for the fiscal 2012 first half, an increase of $9.6 million, or 31%. Total revenue from renewable energy systems was $7.4 million for the fiscal 2012 first half compared to $0.4 million for the fiscal 2011 first half, an increase of $7.0 million, or 1,750%. Service revenue decreased from $2.0 million for the fiscal 2011 first half to $1.6 million for the fiscal 2012 first half, a decrease of $0.4 million, or 20%. The decrease in service revenue was a result of the continued percentage increase of total revenue to our wholesale channels where services are not provided.</w:t>
      </w:r>
    </w:p>
    <w:p>
      <w:pPr>
        <w:spacing w:after="0" w:line="139"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increased from $9.7 million for the fiscal 2011 second quarter to</w:t>
      </w:r>
      <w:r>
        <w:rPr>
          <w:rFonts w:ascii="Arial" w:cs="Arial" w:eastAsia="Arial" w:hAnsi="Arial"/>
          <w:sz w:val="16"/>
          <w:szCs w:val="16"/>
          <w:i w:val="1"/>
          <w:iCs w:val="1"/>
          <w:color w:val="auto"/>
        </w:rPr>
        <w:t xml:space="preserve"> </w:t>
      </w:r>
      <w:r>
        <w:rPr>
          <w:rFonts w:ascii="Arial" w:cs="Arial" w:eastAsia="Arial" w:hAnsi="Arial"/>
          <w:sz w:val="16"/>
          <w:szCs w:val="16"/>
          <w:color w:val="auto"/>
        </w:rPr>
        <w:t>$12.1 million for the fiscal 2012 second quarter, an increase of $2.4 million, or 25%. Our cost of service revenue decreased from $0.5 million for the fiscal 2011 second quarter to $0.4 million for the fiscal 2012 second quarter, a decrease of $0.1 million, or 20%. Total gross margin was 35.4% for the fiscal 2011 second quarter and fiscal 2012 second quarters, respectively. Total cost of product revenue increased from $20.1 million for the fiscal 2011 first half to $27.1 million for the fiscal 2012 first half, an increase of $7.0 million, or 35%. Our cost of service revenue decreased from $1.4 million for the fiscal 2011 first half to $1.1 million for the fiscal 2012 first half, a decrease of $0.3 million, or 21%. Total gross margin decreased from 34.6% for the fiscal 2011 first half to 33.0% for the fiscal 2012 first half. For the fiscal 2012 first half, our gross margin declined due to a higher mix of renewable product and service revenues from our Orion Engineered Systems Division. Our gross margin on renewable revenues was 14.7% during the fiscal 2012 first half. Gross margin from our HIF integrated systems revenue for the fiscal 2012 first half was 36.9%.</w:t>
      </w:r>
    </w:p>
    <w:p>
      <w:pPr>
        <w:spacing w:after="0" w:line="142"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decreased from $3.0 million for the fiscal 2011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to $2.7 million for the fiscal 2012 second quarter, a decrease of $0.3 million, or 10%. Our general and administrative expenses decreased from $5.9 million for the fiscal 2011 first half to $5.8 million for the fiscal 2012 first half, a decrease of $0.1 million, or 2%. The decrease was a result of reduced headcounts in management and information technologies offset by increased expenses for depreciation and software license costs for our new enterprise resource planning, or ERP, system.</w:t>
      </w:r>
    </w:p>
    <w:p>
      <w:pPr>
        <w:spacing w:after="0" w:line="11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from $3.3 million for the fiscal 2011 second quarter to</w:t>
      </w:r>
      <w:r>
        <w:rPr>
          <w:rFonts w:ascii="Arial" w:cs="Arial" w:eastAsia="Arial" w:hAnsi="Arial"/>
          <w:sz w:val="18"/>
          <w:szCs w:val="18"/>
          <w:i w:val="1"/>
          <w:iCs w:val="1"/>
          <w:color w:val="auto"/>
        </w:rPr>
        <w:t xml:space="preserve"> </w:t>
      </w:r>
      <w:r>
        <w:rPr>
          <w:rFonts w:ascii="Arial" w:cs="Arial" w:eastAsia="Arial" w:hAnsi="Arial"/>
          <w:sz w:val="18"/>
          <w:szCs w:val="18"/>
          <w:color w:val="auto"/>
        </w:rPr>
        <w:t>$3.7 million for the fiscal 2012 second quarter, an increase of $0.4 million, or 12%. Our sales and marketing expenses increased from $6.9 million for the fiscal 2011 first half to $7.5 million for the fiscal 2012 first half, an increase of $0.6 million, or 9%. The increase was a result of increased costs for headcount additions to our direct sales force and for our newly formed telemarketing department, higher commission expense on our increased revenue and increased depreciation for our new customer relationship management, or CRM, system. Total sales and marketing employee headcount was 79 and 93 at September 30, 2010 and September 30, 2011, respectively.</w:t>
      </w:r>
    </w:p>
    <w:p>
      <w:pPr>
        <w:spacing w:after="0" w:line="14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of $0.6 million for the fiscal 2012 second quarter were</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to our research and development expenses for our fiscal 2011 second quarter. Our research and development expenses of $1.2 million for the fiscal 2012 first half were similar to our research and development expenses for our fiscal 2011 first half. Expenses incurred in the fiscal 2012 first half related to compensation costs for the development and support of our new products, depreciation expenses for lab and research equipment and sample, and testing costs related to our dynamic control devices and our light emitting diode, or LED, product initiatives.</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219"/>
          </w:cols>
          <w:pgMar w:left="240" w:top="419" w:right="1440" w:bottom="0" w:gutter="0" w:footer="0" w:header="0"/>
          <w:type w:val="continuous"/>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firstLine="389"/>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increased from $55,000 for the fiscal 2011 second quarter to $150,000 for the fiscal 2012</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an increase of $95,000, or 173%. Our interest expense increased from $0.1 million for the fiscal 2011 first half to $0.2 million for the fiscal 2012 first half, an increase of $0.1 million or 100%. The increase in our interest expense was due to additional financings completed during the second half of fiscal 2011 and the first half of fiscal 2012 for the purpose of financing our OTA projects.</w:t>
      </w:r>
    </w:p>
    <w:p>
      <w:pPr>
        <w:spacing w:after="0" w:line="161" w:lineRule="exact"/>
        <w:rPr>
          <w:sz w:val="20"/>
          <w:szCs w:val="20"/>
          <w:color w:val="auto"/>
        </w:rPr>
      </w:pPr>
    </w:p>
    <w:p>
      <w:pPr>
        <w:jc w:val="both"/>
        <w:ind w:left="340" w:right="1360" w:firstLine="389"/>
        <w:spacing w:after="0" w:line="279"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increased from $153,000 for the fiscal 2011 second quarter to $214,000 for the fiscal 2012</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an increase of $61,000 or 40%. Interest income increased from $0.2 million for the fiscal 2011 first half to $0.4 million for the fiscal 2012 first half, an increase of $0.2 million, or 100%. Interest income increased due to an increase in the number and dollar amount of completed OTA contracts and the related interest income under the financing terms.</w:t>
      </w:r>
    </w:p>
    <w:p>
      <w:pPr>
        <w:spacing w:after="0" w:line="131" w:lineRule="exact"/>
        <w:rPr>
          <w:sz w:val="20"/>
          <w:szCs w:val="20"/>
          <w:color w:val="auto"/>
        </w:rPr>
      </w:pPr>
    </w:p>
    <w:p>
      <w:pPr>
        <w:jc w:val="both"/>
        <w:ind w:left="340" w:right="1360" w:firstLine="389"/>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income tax benefit decreased from a benefit of $1.7 million for the fiscal 2011 second quarter to an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 of $0.1 million for the fiscal 2012 second quarter, a decrease of $1.6 million, or 94%. Our income tax benefit decreased from a benefit of $2.5 million for the fiscal 2011 first half to an income tax benefit of $0.2 million for the fiscal 2012 first half, a decrease of $2.3 million, or 92%. Our effective income tax rate for the fiscal 2011 first half was 100.2%, compared to 40.3% for the fiscal 2012 first half. The change in effective rate was due to the conversion of our incentive stock options, or ISOs, to non-qualified stock options, or NQSOs, completed during the fourth quarter of fiscal 2011, a decrease from the prior year for non-deductible expenses and an increase in fiscal 2011 for the state valuation reserve. The conversion of our ISOs to NQSOs eliminated the volatility in our effective tax rates at lower pre-tax earnings levels and should result in an effective tax rate in the 40% range for future periods.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Energy Management Segment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our Energy Management segment operating results: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4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vMerge w:val="restart"/>
          </w:tcPr>
          <w:p>
            <w:pPr>
              <w:spacing w:after="0"/>
              <w:rPr>
                <w:sz w:val="20"/>
                <w:szCs w:val="20"/>
                <w:color w:val="auto"/>
              </w:rPr>
            </w:pPr>
          </w:p>
        </w:tc>
        <w:tc>
          <w:tcPr>
            <w:tcW w:w="3700" w:type="dxa"/>
            <w:vAlign w:val="bottom"/>
            <w:gridSpan w:val="6"/>
          </w:tcPr>
          <w:p>
            <w:pPr>
              <w:spacing w:after="0"/>
              <w:rPr>
                <w:sz w:val="20"/>
                <w:szCs w:val="20"/>
                <w:color w:val="auto"/>
              </w:rPr>
            </w:pPr>
            <w:r>
              <w:rPr>
                <w:rFonts w:ascii="Arial" w:cs="Arial" w:eastAsia="Arial" w:hAnsi="Arial"/>
                <w:sz w:val="18"/>
                <w:szCs w:val="18"/>
                <w:b w:val="1"/>
                <w:bCs w:val="1"/>
                <w:color w:val="auto"/>
                <w:w w:val="98"/>
              </w:rPr>
              <w:t>For the Three Months Ended September 30,</w:t>
            </w:r>
          </w:p>
        </w:tc>
        <w:tc>
          <w:tcPr>
            <w:tcW w:w="3340" w:type="dxa"/>
            <w:vAlign w:val="bottom"/>
            <w:gridSpan w:val="7"/>
          </w:tcPr>
          <w:p>
            <w:pPr>
              <w:spacing w:after="0"/>
              <w:rPr>
                <w:sz w:val="20"/>
                <w:szCs w:val="20"/>
                <w:color w:val="auto"/>
              </w:rPr>
            </w:pPr>
            <w:r>
              <w:rPr>
                <w:rFonts w:ascii="Arial" w:cs="Arial" w:eastAsia="Arial" w:hAnsi="Arial"/>
                <w:sz w:val="18"/>
                <w:szCs w:val="18"/>
                <w:b w:val="1"/>
                <w:bCs w:val="1"/>
                <w:color w:val="auto"/>
                <w:w w:val="94"/>
              </w:rPr>
              <w:t>For the Six Months Ended September 30,</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16,686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29,769</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33,128</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1,301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1,415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1,592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380" w:firstLine="389"/>
        <w:spacing w:after="0" w:line="259" w:lineRule="auto"/>
        <w:rPr>
          <w:sz w:val="20"/>
          <w:szCs w:val="20"/>
          <w:color w:val="auto"/>
        </w:rPr>
      </w:pPr>
      <w:r>
        <w:rPr>
          <w:rFonts w:ascii="Arial" w:cs="Arial" w:eastAsia="Arial" w:hAnsi="Arial"/>
          <w:sz w:val="18"/>
          <w:szCs w:val="18"/>
          <w:color w:val="auto"/>
        </w:rPr>
        <w:t>Energy Management segment revenue increased $2.3 million, or 16%, from $14.4 million for the fiscal 2011 first quarter to $16.7 million for the fiscal 2012 first quarter. Energy Management segment revenue increased $3.4 million, or 11%, from $29.8 million for the fiscal 2011 first half to $33.1 million for the fiscal 2012 first half. The increase was due to increased sales of our HIF lighting systems to our wholesale customers.</w:t>
      </w:r>
    </w:p>
    <w:p>
      <w:pPr>
        <w:spacing w:after="0" w:line="146" w:lineRule="exact"/>
        <w:rPr>
          <w:sz w:val="20"/>
          <w:szCs w:val="20"/>
          <w:color w:val="auto"/>
        </w:rPr>
      </w:pPr>
    </w:p>
    <w:p>
      <w:pPr>
        <w:jc w:val="both"/>
        <w:ind w:left="340" w:right="1360" w:firstLine="389"/>
        <w:spacing w:after="0" w:line="259" w:lineRule="auto"/>
        <w:rPr>
          <w:sz w:val="20"/>
          <w:szCs w:val="20"/>
          <w:color w:val="auto"/>
        </w:rPr>
      </w:pPr>
      <w:r>
        <w:rPr>
          <w:rFonts w:ascii="Arial" w:cs="Arial" w:eastAsia="Arial" w:hAnsi="Arial"/>
          <w:sz w:val="18"/>
          <w:szCs w:val="18"/>
          <w:color w:val="auto"/>
        </w:rPr>
        <w:t>Energy Management segment operating income increased $0.1 million, or 8%, from $1.3 million for the fiscal 2011 first quarter to $1.4 million for the fiscal 2012 first quarter. Energy Management segment operating income increased $0.6 million, or 38%, from $1.6 million for the fiscal 2011 first half to $2.2 million for the fiscal 2012 first half. The increase in operating income was a result of additional revenue and improved gross margins on our HIF lighting systems.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Engineered Systems Segment</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our Engineered Systems segment operating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34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vMerge w:val="restart"/>
          </w:tcPr>
          <w:p>
            <w:pPr>
              <w:spacing w:after="0"/>
              <w:rPr>
                <w:sz w:val="20"/>
                <w:szCs w:val="20"/>
                <w:color w:val="auto"/>
              </w:rPr>
            </w:pPr>
          </w:p>
        </w:tc>
        <w:tc>
          <w:tcPr>
            <w:tcW w:w="3720" w:type="dxa"/>
            <w:vAlign w:val="bottom"/>
            <w:gridSpan w:val="7"/>
          </w:tcPr>
          <w:p>
            <w:pPr>
              <w:ind w:left="20"/>
              <w:spacing w:after="0"/>
              <w:rPr>
                <w:sz w:val="20"/>
                <w:szCs w:val="20"/>
                <w:color w:val="auto"/>
              </w:rPr>
            </w:pPr>
            <w:r>
              <w:rPr>
                <w:rFonts w:ascii="Arial" w:cs="Arial" w:eastAsia="Arial" w:hAnsi="Arial"/>
                <w:sz w:val="18"/>
                <w:szCs w:val="18"/>
                <w:b w:val="1"/>
                <w:bCs w:val="1"/>
                <w:color w:val="auto"/>
                <w:w w:val="98"/>
              </w:rPr>
              <w:t>For the Three Months Ended September 30,</w:t>
            </w:r>
          </w:p>
        </w:tc>
        <w:tc>
          <w:tcPr>
            <w:tcW w:w="80" w:type="dxa"/>
            <w:vAlign w:val="bottom"/>
          </w:tcPr>
          <w:p>
            <w:pPr>
              <w:spacing w:after="0"/>
              <w:rPr>
                <w:sz w:val="20"/>
                <w:szCs w:val="20"/>
                <w:color w:val="auto"/>
              </w:rPr>
            </w:pPr>
          </w:p>
        </w:tc>
        <w:tc>
          <w:tcPr>
            <w:tcW w:w="344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w w:val="90"/>
              </w:rPr>
              <w:t>For the Six Months Ended September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34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1,482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2,574</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3,061</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(429)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( 449)</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(841)</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89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Engineered Systems segment revenue increased $1.1 million, or 73%, from $1.5 million for the fiscal 2011 first quarter to $2.6 million for the fiscal 2012 first quarter. Engineered Systems segment revenue increased $5.8 million, or 187%, from $3.1 million for the fiscal 2011 first half to $8.9 million for the fiscal 2012 first half. The increase was due to increased sales of solar renewable technologies. During the first half of fiscal 2011, our Engineered Systems segment efforts were focused on continuing to build sales pipeline and determination of the market for these renewable technologies within our customer base.</w:t>
      </w:r>
    </w:p>
    <w:p>
      <w:pPr>
        <w:spacing w:after="0" w:line="146"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Engineered Systems segment operating loss of $0.4 million for the fiscal 2011 first quarter was similar to Engineered Systems segment operating income for the fiscal 2012 first quarter. Energy Management segment operating loss decreased $0.5 million, or 63%, from $0.8 million for the fiscal 2011 first half to $0.4 million for the fiscal 2012 first half. The reduction in operating loss was a result of the increased revenue volume and resulting contribution margin from sales of solar renewable energy systems.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We had approximately $15.6 million in cash and cash equivalents and $1.0 million in short-term investments as of September 30, 2011, compared to $11.6 million and $1.0 million at March 31, 2011. Our cash equivalents are invested in money market accounts with maturities of less than 90 days and an average yield of 0.2%. Our short-term investment account consists of a bank certificate of deposit in the amount of $1.0 million with an expiration date of December 2011 and a yield of 0.50%. Additionally, as of September 30, 2011, we had $13.3 million of borrowing availability under our revolving credit agreement. We also had $3.2 million of availability on our recently completed OTA credit agreement, which can be utilized for the sole purpose of funding customer OTA projects. During the first half of fiscal 2012, we borrowed $4.6 million to finance our OTA projects. We have now secured multiple debt sources for our OTA finance contracts and believe that our sources of OTA funding are sufficient to meet near-term OTA finance program requirements. In October 2011, our board of directors approved a $1.0 million share repurchase plan. We believe that our existing cash and cash equivalents, our anticipated cash flows from operating activities and our borrowing capacity under our revolving credit facility and our OTA credit facility will be sufficient to meet our anticipated cash needs for at least the next 12 months, dependent upon our growth opportunities with our cash and finance customers.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summarizes our cash flows for the six months ended September 30, 2010 and 2011 (in thousands):</w:t>
      </w:r>
    </w:p>
    <w:p>
      <w:pPr>
        <w:spacing w:after="0" w:line="23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960"/>
        <w:spacing w:after="0"/>
        <w:tabs>
          <w:tab w:leader="none" w:pos="928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-130810</wp:posOffset>
            </wp:positionV>
            <wp:extent cx="14751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activities</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(8,633)</w:t>
            </w: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1,924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(4,033)</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(2,133)</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provided by operating activities for the fiscal 2012 first half was $1.9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consisted of net cash provided from changes in operating assets and liabilities of $0.2 million and a net loss adjusted for non-cash expense items of $1.7 million. Cash provided by changes in operating assets and liabilities consisted of a decrease of $4.0 million in total accounts receivable due to customer payments received during the quarter and a $2.6 million increase in deferred revenue due to customer deposit payments received. Cash used from changes in operating assets and liabilities included a $3.3 million increase in inventory for purchases of solar panel inventory and increases in our work-in-process and lighting fixture inventories for orders that are expected to ship during the fiscal 2012 third quarter, a $1.4 million increase in prepaid and other expenses related to deferred costs from projects still in implementation and a $2.1 million decrease in accounts payable due to vendor payments.</w:t>
      </w:r>
    </w:p>
    <w:p>
      <w:pPr>
        <w:spacing w:after="0" w:line="126"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Cash used in operating activities for the fiscal 2011 first half was $8.6 million and consisted of net cash of $9.5 million used for changes in operating assets and liabilities offset by a net loss adjusted for non-cash expense items of $0.9 million. Cash used for changes in operating assets and liabilities consisted of an increase in accounts receivables due to the increase of our OTA program and the long-term nature of the contracts and an increase of $7.7 million for inventory purchases, including $3.8 million for purchases of wireless control inventories based upon our Phase 2 initiatives, a $1.9 million increase in solar panel inventories in anticipation of the receipt of customer purchase orders and a $3.1 million increase in ballast component inventories due to concerns over supply availability and component shortages. Cash provided by changes in operating assets and liabilities included a $1.5 million increase in accounts payable related to payment terms on inventory purchases and a $0.8 million increase in deferred revenue related to an investment tax grant received for a solar asset owned under our power purchase agreement, or PPA, finance program.</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For the fiscal 2012 first half, cash used in investing activities was $2.1 million.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a net $2.0 million for capital improvements related to our information technology systems, manufacturing and tooling improvements and facility investments and $0.1 million for investment in patent activities.</w:t>
      </w:r>
    </w:p>
    <w:p>
      <w:pPr>
        <w:spacing w:after="0" w:line="154"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For the fiscal 2011 first half, cash used in investing activities was $4.0 million. This included $2.0 million for capital improvements related to our information technology systems, renewable technologies, manufacturing and tooling improvements and facility investments, $1.6 million invested in equipment related to our PPA finance programs, $0.3 million for long-term investments and $0.1 million for patent investments.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fiscal 2012 first half, cash flows provided by financing activities were</w:t>
      </w:r>
      <w:r>
        <w:rPr>
          <w:rFonts w:ascii="Arial" w:cs="Arial" w:eastAsia="Arial" w:hAnsi="Arial"/>
          <w:sz w:val="18"/>
          <w:szCs w:val="18"/>
          <w:i w:val="1"/>
          <w:iCs w:val="1"/>
          <w:color w:val="auto"/>
        </w:rPr>
        <w:t xml:space="preserve"> </w:t>
      </w:r>
      <w:r>
        <w:rPr>
          <w:rFonts w:ascii="Arial" w:cs="Arial" w:eastAsia="Arial" w:hAnsi="Arial"/>
          <w:sz w:val="18"/>
          <w:szCs w:val="18"/>
          <w:color w:val="auto"/>
        </w:rPr>
        <w:t>$4.2 million. This included $4.6 million in new debt borrowings to fund OTAs, $0.3 million for excess tax benefits from stock-based compensation and $0.1 million received from stock option and warrant exercises. Cash flows used in financing activities included $0.7 million for repayment of long-term debt and $0.1 million for debt closing costs.</w:t>
      </w:r>
    </w:p>
    <w:p>
      <w:pPr>
        <w:spacing w:after="0" w:line="146"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For the fiscal 2011 first half, cash flows provided by financing activities was $2.6 million. This included $2.7 million in new debt borrowings to fund OTA and capital projects and $0.3 million received from stock option exercises. Cash flows used in financing activities included $0.3 million for repayment of long-term debt and $0.1 million for costs related to our new credit agreement.</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5"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Our net working capital as of September 30, 2011 was $57.9 million, consisting of $76.4 million in current assets and $18.5 million in current liabilities. Our net working capital as of March 31, 2011 was $56.9 million, consisting of $73.1 million in current assets and $16.2 million in current liabilities. Our current accounts receivables decreased from fiscal 2011 year-end by $6.0 million as a result of the collection of payments from customers. Our inventories increased from our fiscal 2011 year-end by $3.3 million due to a $1.8 million increase in solar panel inventories in anticipation of the receipt of customer purchase orders, a $0.7 million increase in our work-in process inventories for product orders to be delivered in our fiscal 2012 third quarter, a $0.1 million increase in raw materials and a $0.7 million increase in finished goods for orders expected to ship in our fiscal 2012 back half.</w:t>
      </w:r>
    </w:p>
    <w:p>
      <w:pPr>
        <w:spacing w:after="0" w:line="152"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During fiscal 2011, we increased our inventory levels of key electronic components, specifically electronic ballasts, to avoid potential shortages and customer service issues as a result of lengthening supply lead times and product availability issues. We continue to monitor supply side concerns within the electronic component market and believe that our current inventory levels are sufficient to protect us against the risk of being unable to deliver product as specified by our customers’ requirements. Recently, we were made aware of concerns over shortages of rare earth minerals used in the production of fluorescent lamps. We have increased our purchase commitments related to these components to ensure that we will have product availability to meet customer demands. We are continually monitoring supply side concerns through conversations with our key vendors and currently believe that supply availability concerns appear to have moderated, but have not diminished to the point where we anticipate reducing safety stock to the levels that existed prior to the electrical components supply issues.</w:t>
      </w:r>
    </w:p>
    <w:p>
      <w:pPr>
        <w:spacing w:after="0" w:line="155"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Indebtedness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On June 30, 2010, we entered into a new credit agreement (Credit Agreement) with JP Morgan Chase Bank, N.A. (JP Morgan).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Credit Agreement replaced our former credit agreement.</w:t>
      </w:r>
    </w:p>
    <w:p>
      <w:pPr>
        <w:spacing w:after="0" w:line="170" w:lineRule="exact"/>
        <w:rPr>
          <w:sz w:val="20"/>
          <w:szCs w:val="20"/>
          <w:color w:val="auto"/>
        </w:rPr>
      </w:pPr>
    </w:p>
    <w:p>
      <w:pPr>
        <w:jc w:val="both"/>
        <w:ind w:left="340" w:right="179" w:firstLine="389"/>
        <w:spacing w:after="0" w:line="290" w:lineRule="auto"/>
        <w:rPr>
          <w:sz w:val="20"/>
          <w:szCs w:val="20"/>
          <w:color w:val="auto"/>
        </w:rPr>
      </w:pPr>
      <w:r>
        <w:rPr>
          <w:rFonts w:ascii="Arial" w:cs="Arial" w:eastAsia="Arial" w:hAnsi="Arial"/>
          <w:sz w:val="16"/>
          <w:szCs w:val="16"/>
          <w:color w:val="auto"/>
        </w:rPr>
        <w:t>The Credit Agreement provides for a revolving credit facility (Credit Facility) that matures on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of the Company and 45% of certain inventory of the Company. The Credit Agreement contains certain financial covenants, including minimum unencumbered liquidity requirements and requirements that we maintain a total liabilities to tangible net worth ratio not to exceed 0.50 to 1.00 as of the last day of any fiscal quarter.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its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stock, redeem or repurchase shares of its stock or pledge assets. We also may cause JP Morgan to issue letters of credit for the Company’s account in the aggregate principal amount of up to $2.0 million, with the dollar amount of each issued letter of credit counting against the overall limit on borrowings under the Credit Facility. As of September 30, 2011, we had had outstanding letters of credit totaling $1.7 million, primarily for securing collateral requirements under equipment operating leases. In fiscal 2011, we incurred $57,000 of total deferred financing costs related to the Credit Agreement which is being amortized over the two-year term of the Credit Agreement. We had no outstanding borrowings under the Credit Agreement as of March 31, 2011 or September 30, 2011. We were in compliance with all of its covenants under the Credit Agreement as of September 30, 2011.</w:t>
      </w:r>
    </w:p>
    <w:p>
      <w:pPr>
        <w:spacing w:after="0" w:line="15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Credit Agreement is secured by a first lien security interest in our accounts receivable, inventory and general intangibles, and a second lien priority in our equipment and fixtures. All OTAs, PPAs, leases, supply agreements and/or similar agreements relating to solar PV and wind turbine systems or facilities, as well as all of our accounts receivable and assets related to the foregoing, are excluded from these liens.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must pay a fee of 0.25% on the average daily unused amount of the Credit Facility and a fee of 2.00% on the daily average face amount of undrawn issued letters of credit. The fee on unused amounts is waived if we or our affiliates maintain funds on deposit with JP Morgan or its affiliates above a specified amount. We satisfied the deposit requirement to waive the unused fee as of September 30, 2011.</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OTA Credit Agreement</w:t>
      </w:r>
    </w:p>
    <w:p>
      <w:pPr>
        <w:spacing w:after="0" w:line="198"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In September 2011, we entered into a credit agreement with JP Morgan that provided us with $5.0 million immediately available to fund completed customer contracts under our OTA finance program and an additional $5.0 million upon our achievement of meeting a trailing 12-month earnings before interest, taxes, depreciation and amortization (EBITDA) target of $8.0 million. We have one-year from the date of the commitment to borrow under the credit agreement. In September 2011, we borrowed $1.8 million. The borrowing is collateralized by the OTA-related equipment and the expected future monthly payments under the supporting 27 individual OTA customer contracts. The current borrowing under the credit agreement bears interest at LIBOR plus 4% and matures in September 2016. The credit agreement includes certain financial covenants, including funded debt to EBITDA and debt service coverage ratios. We were in compliance with all covenants in the credit agreement as of September 30, 2011.</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8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Capital expenditures totaled $2.0 million during the fiscal 2012 first half due to investments in information technologies and other tooling and equipment for new products, as well as cost improvements in our manufacturing facility. We expect to incur a total of $1.0 to $1.4 million in capital expenditures during the remainder of fiscal 2012, excluding capital to support our OTA contracts. Our capital spending plans predominantly consist of further cost improvements in our manufacturing facility, improvements to our building and headquarters, new product development and investment in information technology systems. We consider the investment in our information systems critical to our long-term success and our ability to ensure a strong control environment over financial reporting and operations. We expect to finance these capital expenditures primarily through our existing cash, equipment secured loans and leases, to the extent needed, long-term debt financing, or by using our available capacity under our credit facility.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is a summary of our long-term contractual obligations as of September 30, 2011 (dollars in thousands):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Less than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More than 5</w:t>
            </w:r>
          </w:p>
        </w:tc>
      </w:tr>
      <w:tr>
        <w:trPr>
          <w:trHeight w:val="234"/>
        </w:trPr>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1-3 Years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3-5 Years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1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9,281</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Cash interest payments on debt</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1,546</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8,499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w:t>
            </w: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7"/>
              </w:rPr>
              <w:t>Purchase order and cap-ex commitments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740" w:type="dxa"/>
            <w:vAlign w:val="bottom"/>
          </w:tcPr>
          <w:p>
            <w:pPr>
              <w:ind w:left="200"/>
              <w:spacing w:after="0"/>
              <w:rPr>
                <w:sz w:val="20"/>
                <w:szCs w:val="20"/>
                <w:color w:val="auto"/>
              </w:rPr>
            </w:pPr>
            <w:r>
              <w:rPr>
                <w:rFonts w:ascii="Arial" w:cs="Arial" w:eastAsia="Arial" w:hAnsi="Arial"/>
                <w:sz w:val="18"/>
                <w:szCs w:val="18"/>
                <w:color w:val="auto"/>
              </w:rPr>
              <w:t>(1)</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16,028</w:t>
            </w: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8,386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7,642</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35,354</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12,948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4,327</w:t>
            </w:r>
          </w:p>
        </w:tc>
      </w:tr>
      <w:tr>
        <w:trPr>
          <w:trHeight w:val="20"/>
        </w:trPr>
        <w:tc>
          <w:tcPr>
            <w:tcW w:w="1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75" w:lineRule="exact"/>
        <w:rPr>
          <w:sz w:val="20"/>
          <w:szCs w:val="20"/>
          <w:color w:val="auto"/>
        </w:rPr>
      </w:pPr>
    </w:p>
    <w:p>
      <w:pPr>
        <w:ind w:left="720" w:right="159" w:hanging="388"/>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non-cancellable purchase order commitments in the amount of $16.0 million for certain inventory items entered into in order to secure better pricing and ensure materials on hand.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no off-balance sheet arrangements.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2011. There have been no material changes in any of our accounting policies since March 31, 2011.</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Our exposure to market risk was discussed in the “Quantitative and Qualitative Disclosures About Market Risk” section contained in our Annual Report on Form 10-K for the year ended March 31, 2011. There have been no material changes to such exposures since March 31, 2011.</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such term is defined in Rules 13a-15(e) and 15d-15(e) under the Securities Exchange Act of 1934, or the Exchange Act, as of the end of the quarter ended September 30, 2011 pursuant to Rule 13a-15(b) of the Exchange Act. Based upon their evaluation, our Chief Executive Officer and our Chief Financial Officer concluded that our disclosure controls and procedures were effective as of the end of the quarter ended September 30, 2011.</w:t>
      </w:r>
    </w:p>
    <w:p>
      <w:pPr>
        <w:spacing w:after="0" w:line="151"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quarter ended September 30, 2011 that has materially affected, or is reasonably likely to materially affect, our internal control over financial reporting.</w:t>
      </w:r>
    </w:p>
    <w:p>
      <w:pPr>
        <w:spacing w:after="0" w:line="10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2011, which we filed with the SEC on July 22, 2011. During the three months ended September 30, 2011, there were no material changes to the risk factors that were disclosed in Part I — Item 1A under the heading “Risk Factors” in our Annual Report on Form 10-K for the fiscal year ended March 31,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Statistical Data</w:t>
      </w:r>
    </w:p>
    <w:p>
      <w:pPr>
        <w:spacing w:after="0" w:line="18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The following table presents certain statistical data, cumulative from December 1, 2001 through September 30, 2011,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Cumulative From</w:t>
            </w:r>
          </w:p>
        </w:tc>
      </w:tr>
      <w:tr>
        <w:trPr>
          <w:trHeight w:val="216"/>
        </w:trPr>
        <w:tc>
          <w:tcPr>
            <w:tcW w:w="17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December 1, 2001</w:t>
            </w:r>
          </w:p>
        </w:tc>
      </w:tr>
      <w:tr>
        <w:trPr>
          <w:trHeight w:val="234"/>
        </w:trPr>
        <w:tc>
          <w:tcPr>
            <w:tcW w:w="17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Through September 30, 2011</w:t>
            </w:r>
          </w:p>
        </w:tc>
      </w:tr>
      <w:tr>
        <w:trPr>
          <w:trHeight w:val="210"/>
        </w:trPr>
        <w:tc>
          <w:tcPr>
            <w:tcW w:w="17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 thousands, unaudited)</w:t>
            </w:r>
          </w:p>
        </w:tc>
        <w:tc>
          <w:tcPr>
            <w:tcW w:w="10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Total units sold (including HIF lighting systems)</w:t>
            </w:r>
          </w:p>
        </w:tc>
        <w:tc>
          <w:tcPr>
            <w:tcW w:w="120" w:type="dxa"/>
            <w:vAlign w:val="bottom"/>
          </w:tcPr>
          <w:p>
            <w:pPr>
              <w:spacing w:after="0"/>
              <w:rPr>
                <w:sz w:val="18"/>
                <w:szCs w:val="18"/>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2,904</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Customer kilowatt hours saved(2)(3)</w:t>
            </w:r>
          </w:p>
        </w:tc>
        <w:tc>
          <w:tcPr>
            <w:tcW w:w="120" w:type="dxa"/>
            <w:vAlign w:val="bottom"/>
          </w:tcPr>
          <w:p>
            <w:pPr>
              <w:spacing w:after="0"/>
              <w:rPr>
                <w:sz w:val="18"/>
                <w:szCs w:val="18"/>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17,970,668</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1,383,741</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120" w:type="dxa"/>
            <w:vAlign w:val="bottom"/>
          </w:tcPr>
          <w:p>
            <w:pPr>
              <w:spacing w:after="0"/>
              <w:rPr>
                <w:sz w:val="18"/>
                <w:szCs w:val="18"/>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11,677</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1,119,001</w:t>
            </w:r>
          </w:p>
        </w:tc>
      </w:tr>
      <w:tr>
        <w:trPr>
          <w:trHeight w:val="176"/>
        </w:trPr>
        <w:tc>
          <w:tcPr>
            <w:tcW w:w="1740" w:type="dxa"/>
            <w:vAlign w:val="bottom"/>
            <w:tcBorders>
              <w:bottom w:val="single" w:sz="8" w:color="auto"/>
            </w:tcBorders>
          </w:tcPr>
          <w:p>
            <w:pPr>
              <w:spacing w:after="0"/>
              <w:rPr>
                <w:sz w:val="15"/>
                <w:szCs w:val="15"/>
                <w:color w:val="auto"/>
              </w:rPr>
            </w:pPr>
          </w:p>
        </w:tc>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5"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“HIF lighting systems” includes all HIF units sold under the brand name “Compact Modular” and its predecessor, “Illuminator.”</w:t>
      </w:r>
    </w:p>
    <w:p>
      <w:pPr>
        <w:spacing w:after="0" w:line="99" w:lineRule="exact"/>
        <w:rPr>
          <w:rFonts w:ascii="Arial" w:cs="Arial" w:eastAsia="Arial" w:hAnsi="Arial"/>
          <w:sz w:val="16"/>
          <w:szCs w:val="16"/>
          <w:color w:val="auto"/>
        </w:rPr>
      </w:pPr>
    </w:p>
    <w:p>
      <w:pPr>
        <w:jc w:val="both"/>
        <w:ind w:left="720" w:right="159" w:hanging="388"/>
        <w:spacing w:after="0" w:line="269"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2.9 million units).</w:t>
      </w:r>
    </w:p>
    <w:p>
      <w:pPr>
        <w:spacing w:after="0" w:line="34" w:lineRule="exact"/>
        <w:rPr>
          <w:rFonts w:ascii="Arial" w:cs="Arial" w:eastAsia="Arial" w:hAnsi="Arial"/>
          <w:sz w:val="17"/>
          <w:szCs w:val="17"/>
          <w:color w:val="auto"/>
        </w:rPr>
      </w:pPr>
    </w:p>
    <w:p>
      <w:pPr>
        <w:ind w:left="720" w:right="179" w:hanging="388"/>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demand (kW) reduction for each fixture and assuming that each such unit has averaged 7,500 annual operating hours since its installation.</w:t>
      </w:r>
    </w:p>
    <w:p>
      <w:pPr>
        <w:spacing w:after="0" w:line="21" w:lineRule="exact"/>
        <w:rPr>
          <w:rFonts w:ascii="Arial" w:cs="Arial" w:eastAsia="Arial" w:hAnsi="Arial"/>
          <w:sz w:val="18"/>
          <w:szCs w:val="18"/>
          <w:color w:val="auto"/>
        </w:rPr>
      </w:pPr>
    </w:p>
    <w:p>
      <w:pPr>
        <w:jc w:val="both"/>
        <w:ind w:left="720" w:right="159" w:hanging="388"/>
        <w:spacing w:after="0" w:line="311"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calculate our customers’ electricity costs saved by multiplying the cumulative total customer kilowatt hours saved indicated in the table by $0.077 per kilowatt hour. The national average rate for 2010, which is the most current full year for which this information is available, was $0.0988 per kilowatt hour according to the United States Energy Information Administration.</w:t>
      </w:r>
    </w:p>
    <w:p>
      <w:pPr>
        <w:jc w:val="both"/>
        <w:ind w:left="720" w:right="159" w:hanging="388"/>
        <w:spacing w:after="0" w:line="25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38" w:lineRule="exact"/>
        <w:rPr>
          <w:rFonts w:ascii="Arial" w:cs="Arial" w:eastAsia="Arial" w:hAnsi="Arial"/>
          <w:sz w:val="18"/>
          <w:szCs w:val="18"/>
          <w:color w:val="auto"/>
        </w:rPr>
      </w:pPr>
    </w:p>
    <w:p>
      <w:pPr>
        <w:jc w:val="both"/>
        <w:ind w:left="720" w:right="159" w:hanging="388"/>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2.90 million total units sold, which contain a total of approximately 14.5 million lamps. Each lamp illuminates approximately 75 square feet. The majority of our installed fixtures contain six lamps and typically illuminate approximately 450 square feet.</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20" w:type="dxa"/>
            <w:vAlign w:val="bottom"/>
          </w:tcPr>
          <w:p>
            <w:pPr>
              <w:spacing w:after="0"/>
              <w:rPr>
                <w:sz w:val="17"/>
                <w:szCs w:val="17"/>
                <w:color w:val="auto"/>
              </w:rPr>
            </w:pPr>
          </w:p>
        </w:tc>
        <w:tc>
          <w:tcPr>
            <w:tcW w:w="9340" w:type="dxa"/>
            <w:vAlign w:val="bottom"/>
          </w:tcPr>
          <w:p>
            <w:pPr>
              <w:spacing w:after="0"/>
              <w:rPr>
                <w:sz w:val="17"/>
                <w:szCs w:val="17"/>
                <w:color w:val="auto"/>
              </w:rPr>
            </w:pPr>
          </w:p>
        </w:tc>
      </w:tr>
      <w:tr>
        <w:trPr>
          <w:trHeight w:val="534"/>
        </w:trPr>
        <w:tc>
          <w:tcPr>
            <w:tcW w:w="208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6. EXHIBITS</w:t>
            </w:r>
          </w:p>
        </w:tc>
        <w:tc>
          <w:tcPr>
            <w:tcW w:w="9340" w:type="dxa"/>
            <w:vAlign w:val="bottom"/>
          </w:tcPr>
          <w:p>
            <w:pPr>
              <w:spacing w:after="0"/>
              <w:rPr>
                <w:sz w:val="24"/>
                <w:szCs w:val="24"/>
                <w:color w:val="auto"/>
              </w:rPr>
            </w:pPr>
          </w:p>
        </w:tc>
      </w:tr>
      <w:tr>
        <w:trPr>
          <w:trHeight w:val="405"/>
        </w:trPr>
        <w:tc>
          <w:tcPr>
            <w:tcW w:w="2080" w:type="dxa"/>
            <w:vAlign w:val="bottom"/>
            <w:gridSpan w:val="2"/>
          </w:tcPr>
          <w:p>
            <w:pPr>
              <w:ind w:left="340"/>
              <w:spacing w:after="0"/>
              <w:rPr>
                <w:sz w:val="20"/>
                <w:szCs w:val="20"/>
                <w:color w:val="auto"/>
              </w:rPr>
            </w:pPr>
            <w:r>
              <w:rPr>
                <w:rFonts w:ascii="Arial" w:cs="Arial" w:eastAsia="Arial" w:hAnsi="Arial"/>
                <w:sz w:val="18"/>
                <w:szCs w:val="18"/>
                <w:b w:val="1"/>
                <w:bCs w:val="1"/>
                <w:color w:val="auto"/>
              </w:rPr>
              <w:t>(a) Exhibits</w:t>
            </w:r>
          </w:p>
        </w:tc>
        <w:tc>
          <w:tcPr>
            <w:tcW w:w="9340" w:type="dxa"/>
            <w:vAlign w:val="bottom"/>
          </w:tcPr>
          <w:p>
            <w:pPr>
              <w:spacing w:after="0"/>
              <w:rPr>
                <w:sz w:val="24"/>
                <w:szCs w:val="24"/>
                <w:color w:val="auto"/>
              </w:rPr>
            </w:pPr>
          </w:p>
        </w:tc>
      </w:tr>
      <w:tr>
        <w:trPr>
          <w:trHeight w:val="418"/>
        </w:trPr>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31.1</w:t>
            </w:r>
          </w:p>
        </w:tc>
        <w:tc>
          <w:tcPr>
            <w:tcW w:w="934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of Orion Energy Systems, Inc. pursuant to Rule 13a-14(a) or</w:t>
            </w:r>
          </w:p>
        </w:tc>
      </w:tr>
      <w:tr>
        <w:trPr>
          <w:trHeight w:val="230"/>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Rule 15d-14(a) promulgated under the Securities Exchange Act of 1934, as amended.</w:t>
            </w:r>
          </w:p>
        </w:tc>
      </w:tr>
      <w:tr>
        <w:trPr>
          <w:trHeight w:val="418"/>
        </w:trPr>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31.2</w:t>
            </w:r>
          </w:p>
        </w:tc>
        <w:tc>
          <w:tcPr>
            <w:tcW w:w="93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of Orion Energy Systems, Inc. pursuant to Rule 13a-14(a) or</w:t>
            </w:r>
          </w:p>
        </w:tc>
      </w:tr>
      <w:tr>
        <w:trPr>
          <w:trHeight w:val="230"/>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Rule 15d-14(a) promulgated under the Securities Exchange Act of 1934, as amended.</w:t>
            </w:r>
          </w:p>
        </w:tc>
      </w:tr>
      <w:tr>
        <w:trPr>
          <w:trHeight w:val="418"/>
        </w:trPr>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32.1</w:t>
            </w:r>
          </w:p>
        </w:tc>
        <w:tc>
          <w:tcPr>
            <w:tcW w:w="934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of Orion Energy Systems, Inc. pursuant to Rule 13a-14(b)</w:t>
            </w:r>
          </w:p>
        </w:tc>
      </w:tr>
      <w:tr>
        <w:trPr>
          <w:trHeight w:val="216"/>
        </w:trPr>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promulgated under the Securities Exchange Act of 1934, as amended, and 18 U.S.C. Section 1350, as</w:t>
            </w:r>
          </w:p>
        </w:tc>
      </w:tr>
      <w:tr>
        <w:trPr>
          <w:trHeight w:val="230"/>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18"/>
        </w:trPr>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32.2</w:t>
            </w:r>
          </w:p>
        </w:tc>
        <w:tc>
          <w:tcPr>
            <w:tcW w:w="93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of Orion Energy Systems, Inc. pursuant to Rule 13a-14(b)</w:t>
            </w:r>
          </w:p>
        </w:tc>
      </w:tr>
      <w:tr>
        <w:trPr>
          <w:trHeight w:val="216"/>
        </w:trPr>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promulgated under the Securities Exchange Act of 1934, as amended, and 18 U.S.C. Section 1350, as</w:t>
            </w:r>
          </w:p>
        </w:tc>
      </w:tr>
      <w:tr>
        <w:trPr>
          <w:trHeight w:val="230"/>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32"/>
        </w:trPr>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101.INS</w:t>
            </w:r>
          </w:p>
        </w:tc>
        <w:tc>
          <w:tcPr>
            <w:tcW w:w="93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101.SCH</w:t>
            </w:r>
          </w:p>
        </w:tc>
        <w:tc>
          <w:tcPr>
            <w:tcW w:w="9340" w:type="dxa"/>
            <w:vAlign w:val="bottom"/>
          </w:tcPr>
          <w:p>
            <w:pPr>
              <w:ind w:left="100"/>
              <w:spacing w:after="0"/>
              <w:rPr>
                <w:sz w:val="20"/>
                <w:szCs w:val="20"/>
                <w:color w:val="auto"/>
              </w:rPr>
            </w:pPr>
            <w:r>
              <w:rPr>
                <w:rFonts w:ascii="Arial" w:cs="Arial" w:eastAsia="Arial" w:hAnsi="Arial"/>
                <w:sz w:val="18"/>
                <w:szCs w:val="18"/>
                <w:color w:val="auto"/>
              </w:rPr>
              <w:t>Taxonomy extension schema document</w:t>
            </w:r>
          </w:p>
        </w:tc>
      </w:tr>
      <w:tr>
        <w:trPr>
          <w:trHeight w:val="432"/>
        </w:trPr>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101.CAL</w:t>
            </w:r>
          </w:p>
        </w:tc>
        <w:tc>
          <w:tcPr>
            <w:tcW w:w="9340" w:type="dxa"/>
            <w:vAlign w:val="bottom"/>
          </w:tcPr>
          <w:p>
            <w:pPr>
              <w:ind w:left="100"/>
              <w:spacing w:after="0"/>
              <w:rPr>
                <w:sz w:val="20"/>
                <w:szCs w:val="20"/>
                <w:color w:val="auto"/>
              </w:rPr>
            </w:pPr>
            <w:r>
              <w:rPr>
                <w:rFonts w:ascii="Arial" w:cs="Arial" w:eastAsia="Arial" w:hAnsi="Arial"/>
                <w:sz w:val="18"/>
                <w:szCs w:val="18"/>
                <w:color w:val="auto"/>
              </w:rPr>
              <w:t>Taxonomy extension calculation linkbase document</w:t>
            </w:r>
          </w:p>
        </w:tc>
      </w:tr>
      <w:tr>
        <w:trPr>
          <w:trHeight w:val="432"/>
        </w:trPr>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101.LAB</w:t>
            </w:r>
          </w:p>
        </w:tc>
        <w:tc>
          <w:tcPr>
            <w:tcW w:w="9340" w:type="dxa"/>
            <w:vAlign w:val="bottom"/>
          </w:tcPr>
          <w:p>
            <w:pPr>
              <w:ind w:left="100"/>
              <w:spacing w:after="0"/>
              <w:rPr>
                <w:sz w:val="20"/>
                <w:szCs w:val="20"/>
                <w:color w:val="auto"/>
              </w:rPr>
            </w:pPr>
            <w:r>
              <w:rPr>
                <w:rFonts w:ascii="Arial" w:cs="Arial" w:eastAsia="Arial" w:hAnsi="Arial"/>
                <w:sz w:val="18"/>
                <w:szCs w:val="18"/>
                <w:color w:val="auto"/>
              </w:rPr>
              <w:t>Taxonomy extension label linkbase document</w:t>
            </w:r>
          </w:p>
        </w:tc>
      </w:tr>
      <w:tr>
        <w:trPr>
          <w:trHeight w:val="432"/>
        </w:trPr>
        <w:tc>
          <w:tcPr>
            <w:tcW w:w="2080" w:type="dxa"/>
            <w:vAlign w:val="bottom"/>
            <w:gridSpan w:val="2"/>
          </w:tcPr>
          <w:p>
            <w:pPr>
              <w:jc w:val="right"/>
              <w:ind w:right="640"/>
              <w:spacing w:after="0"/>
              <w:rPr>
                <w:sz w:val="20"/>
                <w:szCs w:val="20"/>
                <w:color w:val="auto"/>
              </w:rPr>
            </w:pPr>
            <w:r>
              <w:rPr>
                <w:rFonts w:ascii="Arial" w:cs="Arial" w:eastAsia="Arial" w:hAnsi="Arial"/>
                <w:sz w:val="18"/>
                <w:szCs w:val="18"/>
                <w:color w:val="auto"/>
              </w:rPr>
              <w:t>101.PRE</w:t>
            </w:r>
          </w:p>
        </w:tc>
        <w:tc>
          <w:tcPr>
            <w:tcW w:w="9340" w:type="dxa"/>
            <w:vAlign w:val="bottom"/>
          </w:tcPr>
          <w:p>
            <w:pPr>
              <w:ind w:left="100"/>
              <w:spacing w:after="0"/>
              <w:rPr>
                <w:sz w:val="20"/>
                <w:szCs w:val="20"/>
                <w:color w:val="auto"/>
              </w:rPr>
            </w:pPr>
            <w:r>
              <w:rPr>
                <w:rFonts w:ascii="Arial" w:cs="Arial" w:eastAsia="Arial" w:hAnsi="Arial"/>
                <w:sz w:val="18"/>
                <w:szCs w:val="18"/>
                <w:color w:val="auto"/>
              </w:rPr>
              <w:t>Taxonomy extension presentation linkbase document</w:t>
            </w:r>
          </w:p>
        </w:tc>
      </w:tr>
      <w:tr>
        <w:trPr>
          <w:trHeight w:val="783"/>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40" w:type="dxa"/>
            <w:vAlign w:val="bottom"/>
          </w:tcPr>
          <w:p>
            <w:pPr>
              <w:ind w:left="3020"/>
              <w:spacing w:after="0"/>
              <w:rPr>
                <w:sz w:val="20"/>
                <w:szCs w:val="20"/>
                <w:color w:val="auto"/>
              </w:rPr>
            </w:pPr>
            <w:r>
              <w:rPr>
                <w:rFonts w:ascii="Arial" w:cs="Arial" w:eastAsia="Arial" w:hAnsi="Arial"/>
                <w:sz w:val="18"/>
                <w:szCs w:val="18"/>
                <w:color w:val="auto"/>
              </w:rPr>
              <w:t>33</w:t>
            </w:r>
          </w:p>
        </w:tc>
      </w:tr>
      <w:tr>
        <w:trPr>
          <w:trHeight w:val="226"/>
        </w:trPr>
        <w:tc>
          <w:tcPr>
            <w:tcW w:w="13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9, 2011.</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Scott R. Jensen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-130810</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 and Authorized Signatory)</w:t>
      </w:r>
    </w:p>
    <w:p>
      <w:pPr>
        <w:spacing w:after="0" w:line="200" w:lineRule="exact"/>
        <w:rPr>
          <w:sz w:val="20"/>
          <w:szCs w:val="20"/>
          <w:color w:val="auto"/>
        </w:rPr>
      </w:pPr>
    </w:p>
    <w:p>
      <w:pPr>
        <w:spacing w:after="0" w:line="3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jc w:val="right"/>
              <w:ind w:right="460"/>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93"/>
        </w:trPr>
        <w:tc>
          <w:tcPr>
            <w:tcW w:w="13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September 30, 2011</w:t>
            </w:r>
          </w:p>
        </w:tc>
      </w:tr>
      <w:tr>
        <w:trPr>
          <w:trHeight w:val="20"/>
        </w:trPr>
        <w:tc>
          <w:tcPr>
            <w:tcW w:w="1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38"/>
        </w:trPr>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31.1</w:t>
            </w: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w w:val="92"/>
              </w:rPr>
              <w:t>Certification of Chief Executive Officer of Orion Energy Systems, Inc. pursuant to Rule 13a-14(a) or</w:t>
            </w: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rPr>
              <w:t>Rule 15d-14(a) promulgated under the Securities Exchange Act of 1934, as amended.</w:t>
            </w:r>
          </w:p>
        </w:tc>
      </w:tr>
      <w:tr>
        <w:trPr>
          <w:trHeight w:val="418"/>
        </w:trPr>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31.2</w:t>
            </w: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w w:val="93"/>
              </w:rPr>
              <w:t>Certification of Chief Financial Officer of Orion Energy Systems, Inc. pursuant to Rule 13a-14(a) or</w:t>
            </w: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rPr>
              <w:t>Rule 15d-14(a) promulgated under the Securities Exchange Act of 1934, as amended.</w:t>
            </w:r>
          </w:p>
        </w:tc>
      </w:tr>
      <w:tr>
        <w:trPr>
          <w:trHeight w:val="418"/>
        </w:trPr>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32.1</w:t>
            </w: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w w:val="95"/>
              </w:rPr>
              <w:t>Certification of Chief Executive Officer of Orion Energy Systems, Inc. pursuant to Rule 13a-14(b)</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w w:val="89"/>
              </w:rPr>
              <w:t>promulgated under the Securities Exchange Act of 1934, as amended, and 18 U.S.C. Section 1350, as</w:t>
            </w: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18"/>
        </w:trPr>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32.2</w:t>
            </w: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w w:val="95"/>
              </w:rPr>
              <w:t>Certification of Chief Financial Officer of Orion Energy Systems, Inc. pursuant to Rule 13a-14(b)</w:t>
            </w: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w w:val="89"/>
              </w:rPr>
              <w:t>promulgated under the Securities Exchange Act of 1934, as amended, and 18 U.S.C. Section 1350, as</w:t>
            </w: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32"/>
        </w:trPr>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101.INS</w:t>
            </w: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101.SCH</w:t>
            </w: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rPr>
              <w:t>Taxonomy extension schema document</w:t>
            </w:r>
          </w:p>
        </w:tc>
      </w:tr>
      <w:tr>
        <w:trPr>
          <w:trHeight w:val="432"/>
        </w:trPr>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101.CAL</w:t>
            </w: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rPr>
              <w:t>Taxonomy extension calculation linkbase document</w:t>
            </w:r>
          </w:p>
        </w:tc>
      </w:tr>
      <w:tr>
        <w:trPr>
          <w:trHeight w:val="432"/>
        </w:trPr>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101.LAB</w:t>
            </w: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rPr>
              <w:t>Taxonomy extension label linkbase document</w:t>
            </w:r>
          </w:p>
        </w:tc>
      </w:tr>
      <w:tr>
        <w:trPr>
          <w:trHeight w:val="432"/>
        </w:trPr>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101.PRE</w:t>
            </w:r>
          </w:p>
        </w:tc>
        <w:tc>
          <w:tcPr>
            <w:tcW w:w="7680" w:type="dxa"/>
            <w:vAlign w:val="bottom"/>
            <w:gridSpan w:val="3"/>
          </w:tcPr>
          <w:p>
            <w:pPr>
              <w:ind w:left="360"/>
              <w:spacing w:after="0"/>
              <w:rPr>
                <w:sz w:val="20"/>
                <w:szCs w:val="20"/>
                <w:color w:val="auto"/>
              </w:rPr>
            </w:pPr>
            <w:r>
              <w:rPr>
                <w:rFonts w:ascii="Arial" w:cs="Arial" w:eastAsia="Arial" w:hAnsi="Arial"/>
                <w:sz w:val="18"/>
                <w:szCs w:val="18"/>
                <w:color w:val="auto"/>
              </w:rPr>
              <w:t>Taxonomy extension presentation linkbase document</w:t>
            </w:r>
          </w:p>
        </w:tc>
      </w:tr>
      <w:tr>
        <w:trPr>
          <w:trHeight w:val="797"/>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40" w:type="dxa"/>
            <w:vAlign w:val="bottom"/>
            <w:gridSpan w:val="2"/>
          </w:tcPr>
          <w:p>
            <w:pPr>
              <w:ind w:left="3280"/>
              <w:spacing w:after="0"/>
              <w:rPr>
                <w:sz w:val="20"/>
                <w:szCs w:val="20"/>
                <w:color w:val="auto"/>
              </w:rPr>
            </w:pPr>
            <w:r>
              <w:rPr>
                <w:rFonts w:ascii="Arial" w:cs="Arial" w:eastAsia="Arial" w:hAnsi="Arial"/>
                <w:sz w:val="18"/>
                <w:szCs w:val="18"/>
                <w:color w:val="auto"/>
              </w:rPr>
              <w:t>35</w:t>
            </w:r>
          </w:p>
        </w:tc>
        <w:tc>
          <w:tcPr>
            <w:tcW w:w="1640" w:type="dxa"/>
            <w:vAlign w:val="bottom"/>
          </w:tcPr>
          <w:p>
            <w:pPr>
              <w:spacing w:after="0"/>
              <w:rPr>
                <w:sz w:val="24"/>
                <w:szCs w:val="24"/>
                <w:color w:val="auto"/>
              </w:rPr>
            </w:pPr>
          </w:p>
        </w:tc>
      </w:tr>
    </w:tbl>
    <w:p>
      <w:pPr>
        <w:sectPr>
          <w:pgSz w:w="11900" w:h="16838" w:orient="portrait"/>
          <w:cols w:equalWidth="0" w:num="1">
            <w:col w:w="10219"/>
          </w:cols>
          <w:pgMar w:left="240" w:top="405" w:right="1440" w:bottom="1440" w:gutter="0" w:footer="0" w:header="0"/>
        </w:sectPr>
      </w:pPr>
    </w:p>
    <w:bookmarkStart w:id="37" w:name="page38"/>
    <w:bookmarkEnd w:id="37"/>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i w:val="1"/>
          <w:iCs w:val="1"/>
          <w:color w:val="auto"/>
        </w:rPr>
        <w:t>Certification</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I, Neal R. Verfuerth, certify that:</w:t>
      </w:r>
    </w:p>
    <w:p>
      <w:pPr>
        <w:spacing w:after="0" w:line="185" w:lineRule="exact"/>
        <w:rPr>
          <w:sz w:val="20"/>
          <w:szCs w:val="20"/>
          <w:color w:val="auto"/>
        </w:rPr>
      </w:pPr>
    </w:p>
    <w:p>
      <w:pPr>
        <w:ind w:left="188" w:hanging="188"/>
        <w:spacing w:after="0"/>
        <w:tabs>
          <w:tab w:leader="none" w:pos="1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84" w:lineRule="exact"/>
        <w:rPr>
          <w:rFonts w:ascii="Arial" w:cs="Arial" w:eastAsia="Arial" w:hAnsi="Arial"/>
          <w:sz w:val="18"/>
          <w:szCs w:val="18"/>
          <w:color w:val="auto"/>
        </w:rPr>
      </w:pPr>
    </w:p>
    <w:p>
      <w:pPr>
        <w:ind w:left="8" w:right="459" w:hanging="8"/>
        <w:spacing w:after="0" w:line="264" w:lineRule="auto"/>
        <w:tabs>
          <w:tab w:leader="none" w:pos="1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8" w:right="359" w:hanging="8"/>
        <w:spacing w:after="0" w:line="264" w:lineRule="auto"/>
        <w:tabs>
          <w:tab w:leader="none" w:pos="1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left="8" w:right="199" w:hanging="8"/>
        <w:spacing w:after="0" w:line="264" w:lineRule="auto"/>
        <w:tabs>
          <w:tab w:leader="none" w:pos="1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left="8" w:right="299"/>
        <w:spacing w:after="0" w:line="286" w:lineRule="auto"/>
        <w:rPr>
          <w:sz w:val="20"/>
          <w:szCs w:val="20"/>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sz w:val="20"/>
          <w:szCs w:val="20"/>
          <w:color w:val="auto"/>
        </w:rPr>
      </w:pPr>
    </w:p>
    <w:p>
      <w:pPr>
        <w:ind w:left="8" w:right="179"/>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sz w:val="20"/>
          <w:szCs w:val="20"/>
          <w:color w:val="auto"/>
        </w:rPr>
      </w:pPr>
    </w:p>
    <w:p>
      <w:pPr>
        <w:jc w:val="both"/>
        <w:ind w:left="8" w:right="199"/>
        <w:spacing w:after="0" w:line="264"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sz w:val="20"/>
          <w:szCs w:val="20"/>
          <w:color w:val="auto"/>
        </w:rPr>
      </w:pPr>
    </w:p>
    <w:p>
      <w:pPr>
        <w:ind w:left="8" w:right="379"/>
        <w:spacing w:after="0" w:line="286" w:lineRule="auto"/>
        <w:rPr>
          <w:sz w:val="20"/>
          <w:szCs w:val="20"/>
          <w:color w:val="auto"/>
        </w:rPr>
      </w:pPr>
      <w:r>
        <w:rPr>
          <w:rFonts w:ascii="Arial" w:cs="Arial" w:eastAsia="Arial" w:hAnsi="Arial"/>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sz w:val="20"/>
          <w:szCs w:val="20"/>
          <w:color w:val="auto"/>
        </w:rPr>
      </w:pPr>
    </w:p>
    <w:p>
      <w:pPr>
        <w:ind w:left="8" w:right="319" w:hanging="8"/>
        <w:spacing w:after="0" w:line="264" w:lineRule="auto"/>
        <w:tabs>
          <w:tab w:leader="none" w:pos="1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left="8" w:right="239"/>
        <w:spacing w:after="0" w:line="342" w:lineRule="auto"/>
        <w:rPr>
          <w:sz w:val="20"/>
          <w:szCs w:val="20"/>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sz w:val="20"/>
          <w:szCs w:val="20"/>
          <w:color w:val="auto"/>
        </w:rPr>
      </w:pPr>
    </w:p>
    <w:p>
      <w:pPr>
        <w:ind w:left="8" w:right="499"/>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9, 2011</w:t>
      </w:r>
    </w:p>
    <w:p>
      <w:pPr>
        <w:spacing w:after="0" w:line="225"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-130810</wp:posOffset>
            </wp:positionV>
            <wp:extent cx="22809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87"/>
          </w:cols>
          <w:pgMar w:left="572" w:top="121" w:right="1440" w:bottom="1440" w:gutter="0" w:footer="0" w:header="0"/>
        </w:sectPr>
      </w:pPr>
    </w:p>
    <w:bookmarkStart w:id="38" w:name="page39"/>
    <w:bookmarkEnd w:id="38"/>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i w:val="1"/>
          <w:iCs w:val="1"/>
          <w:color w:val="auto"/>
        </w:rPr>
        <w:t>Certification</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Scott R. Jensen, certify that:</w:t>
      </w:r>
    </w:p>
    <w:p>
      <w:pPr>
        <w:spacing w:after="0" w:line="185" w:lineRule="exact"/>
        <w:rPr>
          <w:sz w:val="20"/>
          <w:szCs w:val="20"/>
          <w:color w:val="auto"/>
        </w:rPr>
      </w:pPr>
    </w:p>
    <w:p>
      <w:pPr>
        <w:ind w:left="188" w:hanging="188"/>
        <w:spacing w:after="0"/>
        <w:tabs>
          <w:tab w:leader="none" w:pos="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84" w:lineRule="exact"/>
        <w:rPr>
          <w:rFonts w:ascii="Arial" w:cs="Arial" w:eastAsia="Arial" w:hAnsi="Arial"/>
          <w:sz w:val="18"/>
          <w:szCs w:val="18"/>
          <w:color w:val="auto"/>
        </w:rPr>
      </w:pPr>
    </w:p>
    <w:p>
      <w:pPr>
        <w:ind w:left="8" w:right="459" w:hanging="8"/>
        <w:spacing w:after="0" w:line="264" w:lineRule="auto"/>
        <w:tabs>
          <w:tab w:leader="none" w:pos="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8" w:right="359" w:hanging="8"/>
        <w:spacing w:after="0" w:line="264" w:lineRule="auto"/>
        <w:tabs>
          <w:tab w:leader="none" w:pos="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left="8" w:right="199" w:hanging="8"/>
        <w:spacing w:after="0" w:line="264" w:lineRule="auto"/>
        <w:tabs>
          <w:tab w:leader="none" w:pos="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left="8" w:right="299"/>
        <w:spacing w:after="0" w:line="286" w:lineRule="auto"/>
        <w:rPr>
          <w:sz w:val="20"/>
          <w:szCs w:val="20"/>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sz w:val="20"/>
          <w:szCs w:val="20"/>
          <w:color w:val="auto"/>
        </w:rPr>
      </w:pPr>
    </w:p>
    <w:p>
      <w:pPr>
        <w:ind w:left="8" w:right="179"/>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sz w:val="20"/>
          <w:szCs w:val="20"/>
          <w:color w:val="auto"/>
        </w:rPr>
      </w:pPr>
    </w:p>
    <w:p>
      <w:pPr>
        <w:jc w:val="both"/>
        <w:ind w:left="8" w:right="199"/>
        <w:spacing w:after="0" w:line="264"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sz w:val="20"/>
          <w:szCs w:val="20"/>
          <w:color w:val="auto"/>
        </w:rPr>
      </w:pPr>
    </w:p>
    <w:p>
      <w:pPr>
        <w:ind w:left="8" w:right="379"/>
        <w:spacing w:after="0" w:line="286" w:lineRule="auto"/>
        <w:rPr>
          <w:sz w:val="20"/>
          <w:szCs w:val="20"/>
          <w:color w:val="auto"/>
        </w:rPr>
      </w:pPr>
      <w:r>
        <w:rPr>
          <w:rFonts w:ascii="Arial" w:cs="Arial" w:eastAsia="Arial" w:hAnsi="Arial"/>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sz w:val="20"/>
          <w:szCs w:val="20"/>
          <w:color w:val="auto"/>
        </w:rPr>
      </w:pPr>
    </w:p>
    <w:p>
      <w:pPr>
        <w:ind w:left="8" w:right="319" w:hanging="8"/>
        <w:spacing w:after="0" w:line="264" w:lineRule="auto"/>
        <w:tabs>
          <w:tab w:leader="none" w:pos="1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left="8" w:right="239"/>
        <w:spacing w:after="0" w:line="342" w:lineRule="auto"/>
        <w:rPr>
          <w:sz w:val="20"/>
          <w:szCs w:val="20"/>
          <w:color w:val="auto"/>
        </w:rPr>
      </w:pPr>
      <w:r>
        <w:rPr>
          <w:rFonts w:ascii="Arial" w:cs="Arial" w:eastAsia="Arial" w:hAnsi="Arial"/>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sz w:val="20"/>
          <w:szCs w:val="20"/>
          <w:color w:val="auto"/>
        </w:rPr>
      </w:pPr>
    </w:p>
    <w:p>
      <w:pPr>
        <w:ind w:left="8" w:right="499"/>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9, 2011</w:t>
      </w:r>
    </w:p>
    <w:p>
      <w:pPr>
        <w:spacing w:after="0" w:line="225"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-130810</wp:posOffset>
            </wp:positionV>
            <wp:extent cx="22809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87"/>
          </w:cols>
          <w:pgMar w:left="572" w:top="121" w:right="1440" w:bottom="1440" w:gutter="0" w:footer="0" w:header="0"/>
        </w:sectPr>
      </w:pPr>
    </w:p>
    <w:bookmarkStart w:id="39" w:name="page40"/>
    <w:bookmarkEnd w:id="39"/>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CEO Pursuant To</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2011, as filed with the Securities and Exchange Commission on the date hereof (the “Report”), I, Neal R. Verfuerth, Chief Executive Officer of the Company, certify, pursuant to 18 U.S.C. 1350, as adopted pursuant to Section 906 of the Sarbanes-Oxley Act of 2002, that, based on my knowledge:</w:t>
      </w:r>
    </w:p>
    <w:p>
      <w:pPr>
        <w:spacing w:after="0" w:line="146" w:lineRule="exact"/>
        <w:rPr>
          <w:sz w:val="20"/>
          <w:szCs w:val="20"/>
          <w:color w:val="auto"/>
        </w:rPr>
      </w:pPr>
    </w:p>
    <w:p>
      <w:pPr>
        <w:ind w:left="740" w:hanging="370"/>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9"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Date: November 9, 2011</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1" w:right="1440" w:bottom="1440" w:gutter="0" w:footer="0" w:header="0"/>
        </w:sectPr>
      </w:pPr>
    </w:p>
    <w:bookmarkStart w:id="40" w:name="page41"/>
    <w:bookmarkEnd w:id="40"/>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CFO Pursuant To</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2011,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46" w:lineRule="exact"/>
        <w:rPr>
          <w:sz w:val="20"/>
          <w:szCs w:val="20"/>
          <w:color w:val="auto"/>
        </w:rPr>
      </w:pPr>
    </w:p>
    <w:p>
      <w:pPr>
        <w:ind w:left="740" w:hanging="370"/>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9"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Date: November 9, 2011</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1)"/>
      <w:numFmt w:val="lowerRoman"/>
      <w:start w:val="5"/>
    </w:lvl>
  </w:abstractNum>
  <w:abstractNum w:abstractNumId="5">
    <w:nsid w:val="1F16E9E8"/>
    <w:multiLevelType w:val="hybridMultilevel"/>
    <w:lvl w:ilvl="0">
      <w:lvlJc w:val="left"/>
      <w:lvlText w:val="(%1)"/>
      <w:numFmt w:val="lowerRoman"/>
      <w:start w:val="4"/>
    </w:lvl>
  </w:abstractNum>
  <w:abstractNum w:abstractNumId="6">
    <w:nsid w:val="1190CDE7"/>
    <w:multiLevelType w:val="hybridMultilevel"/>
    <w:lvl w:ilvl="0">
      <w:lvlJc w:val="left"/>
      <w:lvlText w:val="(%1)"/>
      <w:numFmt w:val="lowerRoman"/>
      <w:start w:val="7"/>
    </w:lvl>
  </w:abstractNum>
  <w:abstractNum w:abstractNumId="7">
    <w:nsid w:val="66EF438D"/>
    <w:multiLevelType w:val="hybridMultilevel"/>
    <w:lvl w:ilvl="0">
      <w:lvlJc w:val="left"/>
      <w:lvlText w:val="(%1)"/>
      <w:numFmt w:val="lowerRoman"/>
      <w:start w:val="3"/>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2019-12-11T07:07:34Z</dcterms:created>
  <dcterms:modified xsi:type="dcterms:W3CDTF">2019-12-11T07:07:34Z</dcterms:modified>
</cp:coreProperties>
</file>