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150495</wp:posOffset>
            </wp:positionV>
            <wp:extent cx="1062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FORM 8-K</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167005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60" w:lineRule="exact"/>
        <w:rPr>
          <w:sz w:val="24"/>
          <w:szCs w:val="24"/>
          <w:color w:val="auto"/>
        </w:rPr>
      </w:pPr>
    </w:p>
    <w:p>
      <w:pPr>
        <w:ind w:left="2260"/>
        <w:spacing w:after="0"/>
        <w:tabs>
          <w:tab w:leader="none" w:pos="71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June 4, 2026</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u w:val="single" w:color="auto"/>
          <w:color w:val="auto"/>
        </w:rPr>
        <w:t>ORION ENERGY SYSTEMS,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54"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Wisconsin</w:t>
            </w:r>
          </w:p>
        </w:tc>
        <w:tc>
          <w:tcPr>
            <w:tcW w:w="1320" w:type="dxa"/>
            <w:vAlign w:val="bottom"/>
          </w:tcPr>
          <w:p>
            <w:pPr>
              <w:spacing w:after="0"/>
              <w:rPr>
                <w:sz w:val="17"/>
                <w:szCs w:val="17"/>
                <w:color w:val="auto"/>
              </w:rPr>
            </w:pPr>
          </w:p>
        </w:tc>
        <w:tc>
          <w:tcPr>
            <w:tcW w:w="1700" w:type="dxa"/>
            <w:vAlign w:val="bottom"/>
            <w:gridSpan w:val="3"/>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01-33887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3"/>
          </w:tcPr>
          <w:p>
            <w:pPr>
              <w:jc w:val="center"/>
              <w:ind w:left="582"/>
              <w:spacing w:after="0"/>
              <w:rPr>
                <w:sz w:val="20"/>
                <w:szCs w:val="20"/>
                <w:color w:val="auto"/>
              </w:rPr>
            </w:pPr>
            <w:r>
              <w:rPr>
                <w:rFonts w:ascii="Times New Roman" w:cs="Times New Roman" w:eastAsia="Times New Roman" w:hAnsi="Times New Roman"/>
                <w:sz w:val="18"/>
                <w:szCs w:val="18"/>
                <w:color w:val="auto"/>
                <w:w w:val="98"/>
              </w:rPr>
              <w:t>39-1847269</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2120" w:type="dxa"/>
            <w:vAlign w:val="bottom"/>
            <w:gridSpan w:val="3"/>
          </w:tcPr>
          <w:p>
            <w:pPr>
              <w:jc w:val="center"/>
              <w:ind w:right="1300"/>
              <w:spacing w:after="0" w:line="147" w:lineRule="exact"/>
              <w:rPr>
                <w:sz w:val="20"/>
                <w:szCs w:val="20"/>
                <w:color w:val="auto"/>
              </w:rPr>
            </w:pPr>
            <w:r>
              <w:rPr>
                <w:rFonts w:ascii="Times New Roman" w:cs="Times New Roman" w:eastAsia="Times New Roman" w:hAnsi="Times New Roman"/>
                <w:sz w:val="14"/>
                <w:szCs w:val="14"/>
                <w:color w:val="auto"/>
              </w:rPr>
              <w:t>(State or other</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80" w:type="dxa"/>
            <w:vAlign w:val="bottom"/>
            <w:gridSpan w:val="6"/>
          </w:tcPr>
          <w:p>
            <w:pPr>
              <w:jc w:val="center"/>
              <w:ind w:right="1860"/>
              <w:spacing w:after="0" w:line="147" w:lineRule="exact"/>
              <w:rPr>
                <w:sz w:val="20"/>
                <w:szCs w:val="20"/>
                <w:color w:val="auto"/>
              </w:rPr>
            </w:pPr>
            <w:r>
              <w:rPr>
                <w:rFonts w:ascii="Times New Roman" w:cs="Times New Roman" w:eastAsia="Times New Roman" w:hAnsi="Times New Roman"/>
                <w:sz w:val="14"/>
                <w:szCs w:val="14"/>
                <w:color w:val="auto"/>
              </w:rPr>
              <w:t>(Commission File</w:t>
            </w:r>
          </w:p>
        </w:tc>
        <w:tc>
          <w:tcPr>
            <w:tcW w:w="1720" w:type="dxa"/>
            <w:vAlign w:val="bottom"/>
            <w:gridSpan w:val="3"/>
          </w:tcPr>
          <w:p>
            <w:pPr>
              <w:jc w:val="center"/>
              <w:ind w:left="582"/>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48"/>
        </w:trPr>
        <w:tc>
          <w:tcPr>
            <w:tcW w:w="2120" w:type="dxa"/>
            <w:vAlign w:val="bottom"/>
            <w:gridSpan w:val="3"/>
          </w:tcPr>
          <w:p>
            <w:pPr>
              <w:jc w:val="center"/>
              <w:ind w:right="1280"/>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80" w:type="dxa"/>
            <w:vAlign w:val="bottom"/>
            <w:gridSpan w:val="5"/>
          </w:tcPr>
          <w:p>
            <w:pPr>
              <w:jc w:val="center"/>
              <w:ind w:right="2160"/>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1720" w:type="dxa"/>
            <w:vAlign w:val="bottom"/>
            <w:gridSpan w:val="3"/>
          </w:tcPr>
          <w:p>
            <w:pPr>
              <w:jc w:val="center"/>
              <w:ind w:left="582"/>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188"/>
        </w:trPr>
        <w:tc>
          <w:tcPr>
            <w:tcW w:w="21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rPr>
              <w:t>incorporation)</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2210 Woodland Drive, Manitowoc, Wisconsin, 54220</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(920) 892-9340</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7"/>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4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151765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260" w:type="dxa"/>
            <w:vAlign w:val="bottom"/>
          </w:tcPr>
          <w:p>
            <w:pPr>
              <w:spacing w:after="0"/>
              <w:rPr>
                <w:sz w:val="15"/>
                <w:szCs w:val="15"/>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4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60" w:type="dxa"/>
            <w:vAlign w:val="bottom"/>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OESX</w:t>
            </w:r>
          </w:p>
        </w:tc>
        <w:tc>
          <w:tcPr>
            <w:tcW w:w="260" w:type="dxa"/>
            <w:vAlign w:val="bottom"/>
          </w:tcPr>
          <w:p>
            <w:pPr>
              <w:spacing w:after="0"/>
              <w:rPr>
                <w:sz w:val="10"/>
                <w:szCs w:val="10"/>
                <w:color w:val="auto"/>
              </w:rPr>
            </w:pPr>
          </w:p>
        </w:tc>
        <w:tc>
          <w:tcPr>
            <w:tcW w:w="38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6620"/>
        <w:spacing w:after="0" w:line="161" w:lineRule="exact"/>
        <w:tabs>
          <w:tab w:leader="none" w:pos="83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4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20"/>
          <w:szCs w:val="20"/>
          <w:b w:val="1"/>
          <w:bCs w:val="1"/>
          <w:u w:val="single" w:color="auto"/>
          <w:color w:val="auto"/>
        </w:rPr>
        <w:t>Item 2.02</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9"/>
          <w:szCs w:val="19"/>
          <w:b w:val="1"/>
          <w:bCs w:val="1"/>
          <w:u w:val="single" w:color="auto"/>
          <w:color w:val="auto"/>
        </w:rPr>
        <w:t>Results of Operations and Financial Condition.</w:t>
      </w:r>
    </w:p>
    <w:p>
      <w:pPr>
        <w:spacing w:after="0" w:line="22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9"/>
          <w:szCs w:val="19"/>
          <w:color w:val="auto"/>
        </w:rPr>
        <w:t>On June 4, 2026, Orion Energy Systems, Inc. (the “Company”) issued a press release announcing its quarterly financial results for its fiscal 2026 quarter ended March 31, 2026. A copy of the press release is furnished as Exhibit 99.1 to this Current Report on Form 8-K.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u w:val="single" w:color="auto"/>
          <w:color w:val="auto"/>
        </w:rPr>
        <w:t>Item 9.01(d)</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 and Exhibits.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Exhibit 99.1</w:t>
            </w: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 99.1 Press Release of Orion Energy Systems, Inc. dated June 4, 2026</w:t>
            </w:r>
          </w:p>
        </w:tc>
      </w:tr>
      <w:tr>
        <w:trPr>
          <w:trHeight w:val="20"/>
        </w:trPr>
        <w:tc>
          <w:tcPr>
            <w:tcW w:w="2240" w:type="dxa"/>
            <w:vAlign w:val="bottom"/>
            <w:tcBorders>
              <w:right w:val="single" w:sz="8" w:color="0000EE"/>
            </w:tcBorders>
          </w:tcPr>
          <w:p>
            <w:pPr>
              <w:spacing w:after="0" w:line="20" w:lineRule="exact"/>
              <w:rPr>
                <w:sz w:val="1"/>
                <w:szCs w:val="1"/>
                <w:color w:val="auto"/>
              </w:rPr>
            </w:pPr>
          </w:p>
        </w:tc>
        <w:tc>
          <w:tcPr>
            <w:tcW w:w="55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1"/>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Exhibit 104</w:t>
            </w:r>
          </w:p>
        </w:tc>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0" w:right="5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4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26" w:lineRule="exact"/>
        <w:rPr>
          <w:sz w:val="20"/>
          <w:szCs w:val="20"/>
          <w:color w:val="auto"/>
        </w:rPr>
      </w:pPr>
    </w:p>
    <w:p>
      <w:pPr>
        <w:ind w:left="5820" w:right="3800" w:hanging="5787"/>
        <w:spacing w:after="0" w:line="252" w:lineRule="auto"/>
        <w:tabs>
          <w:tab w:leader="none" w:pos="5800" w:val="left"/>
        </w:tabs>
        <w:rPr>
          <w:sz w:val="20"/>
          <w:szCs w:val="20"/>
          <w:color w:val="auto"/>
        </w:rPr>
      </w:pPr>
      <w:r>
        <w:rPr>
          <w:rFonts w:ascii="Times New Roman" w:cs="Times New Roman" w:eastAsia="Times New Roman" w:hAnsi="Times New Roman"/>
          <w:sz w:val="20"/>
          <w:szCs w:val="20"/>
          <w:color w:val="auto"/>
        </w:rPr>
        <w:t>Date: June 4, 2026</w:t>
      </w:r>
      <w:r>
        <w:rPr>
          <w:sz w:val="20"/>
          <w:szCs w:val="20"/>
          <w:color w:val="auto"/>
        </w:rPr>
        <w:tab/>
      </w:r>
      <w:r>
        <w:rPr>
          <w:rFonts w:ascii="Times New Roman" w:cs="Times New Roman" w:eastAsia="Times New Roman" w:hAnsi="Times New Roman"/>
          <w:sz w:val="19"/>
          <w:szCs w:val="19"/>
          <w:color w:val="auto"/>
        </w:rPr>
        <w:t>By: /s/ J. Per Brodin J. Per Brodin</w:t>
      </w:r>
    </w:p>
    <w:p>
      <w:pPr>
        <w:ind w:left="58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 w:name="page4"/>
    <w:bookmarkEnd w:id="3"/>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160274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02740" cy="360045"/>
                    </a:xfrm>
                    <a:prstGeom prst="rect">
                      <a:avLst/>
                    </a:prstGeom>
                    <a:noFill/>
                  </pic:spPr>
                </pic:pic>
              </a:graphicData>
            </a:graphic>
          </wp:anchor>
        </w:drawing>
      </w:r>
    </w:p>
    <w:p>
      <w:pPr>
        <w:jc w:val="center"/>
        <w:spacing w:after="0" w:line="285" w:lineRule="auto"/>
        <w:rPr>
          <w:sz w:val="20"/>
          <w:szCs w:val="20"/>
          <w:color w:val="auto"/>
        </w:rPr>
      </w:pPr>
      <w:r>
        <w:rPr>
          <w:rFonts w:ascii="Arial" w:cs="Arial" w:eastAsia="Arial" w:hAnsi="Arial"/>
          <w:sz w:val="22"/>
          <w:szCs w:val="22"/>
          <w:b w:val="1"/>
          <w:bCs w:val="1"/>
          <w:color w:val="auto"/>
        </w:rPr>
        <w:t>Orion Reports FY 2026 Revenue of $86M and Adjusted EBITDA of $2.2M After Continued Growth in Q4; Reiterates FY 2027 Expectation of $95M-$97M in Revenue and Positive Adjusted EBITDA</w:t>
      </w:r>
    </w:p>
    <w:p>
      <w:pPr>
        <w:spacing w:after="0" w:line="184" w:lineRule="exact"/>
        <w:rPr>
          <w:sz w:val="20"/>
          <w:szCs w:val="20"/>
          <w:color w:val="auto"/>
        </w:rPr>
      </w:pPr>
    </w:p>
    <w:p>
      <w:pPr>
        <w:jc w:val="both"/>
        <w:ind w:left="20" w:right="40" w:hanging="9"/>
        <w:spacing w:after="0" w:line="254" w:lineRule="auto"/>
        <w:rPr>
          <w:sz w:val="20"/>
          <w:szCs w:val="20"/>
          <w:color w:val="auto"/>
        </w:rPr>
      </w:pPr>
      <w:r>
        <w:rPr>
          <w:rFonts w:ascii="Arial" w:cs="Arial" w:eastAsia="Arial" w:hAnsi="Arial"/>
          <w:sz w:val="19"/>
          <w:szCs w:val="19"/>
          <w:b w:val="1"/>
          <w:bCs w:val="1"/>
          <w:color w:val="auto"/>
        </w:rPr>
        <w:t xml:space="preserve">Manitowoc, WI – June 4, 2026 – Orion Energy Systems, Inc. </w:t>
      </w:r>
      <w:r>
        <w:rPr>
          <w:rFonts w:ascii="Arial" w:cs="Arial" w:eastAsia="Arial" w:hAnsi="Arial"/>
          <w:sz w:val="19"/>
          <w:szCs w:val="19"/>
          <w:color w:val="auto"/>
        </w:rPr>
        <w:t>(NASDAQ: OESX) (Orion Lighting), a provider of energy-efficient LED</w:t>
      </w:r>
      <w:r>
        <w:rPr>
          <w:rFonts w:ascii="Arial" w:cs="Arial" w:eastAsia="Arial" w:hAnsi="Arial"/>
          <w:sz w:val="19"/>
          <w:szCs w:val="19"/>
          <w:b w:val="1"/>
          <w:bCs w:val="1"/>
          <w:color w:val="auto"/>
        </w:rPr>
        <w:t xml:space="preserve"> </w:t>
      </w:r>
      <w:r>
        <w:rPr>
          <w:rFonts w:ascii="Arial" w:cs="Arial" w:eastAsia="Arial" w:hAnsi="Arial"/>
          <w:sz w:val="19"/>
          <w:szCs w:val="19"/>
          <w:color w:val="auto"/>
        </w:rPr>
        <w:t>lighting, electric vehicle (EV) charging stations and maintenance services solutions, today reported improved results for its fiscal 2026 fourth quarter (Q4’26) and full fiscal year 2026 (FY’26)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-311150</wp:posOffset>
            </wp:positionV>
            <wp:extent cx="747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164" w:lineRule="exact"/>
        <w:rPr>
          <w:sz w:val="20"/>
          <w:szCs w:val="20"/>
          <w:color w:val="auto"/>
        </w:rPr>
      </w:pPr>
    </w:p>
    <w:p>
      <w:pPr>
        <w:ind w:left="20" w:hanging="9"/>
        <w:spacing w:after="0" w:line="248" w:lineRule="auto"/>
        <w:rPr>
          <w:sz w:val="20"/>
          <w:szCs w:val="20"/>
          <w:color w:val="auto"/>
        </w:rPr>
      </w:pPr>
      <w:r>
        <w:rPr>
          <w:rFonts w:ascii="Arial" w:cs="Arial" w:eastAsia="Arial" w:hAnsi="Arial"/>
          <w:sz w:val="19"/>
          <w:szCs w:val="19"/>
          <w:color w:val="auto"/>
        </w:rPr>
        <w:t>Orion’s Q4’26 revenue was $25.7M versus $20.9M in Q4’25 — a 23% increase — while Q4’26 gross margin was up by 950 basis points year-over-year, at 37.0% versus 27.5% in Q4’25. The Company improved its net loss in Q4’26 to $1.5M, compared to a net loss of $2.9M in Q4’25. The Company achieved Q4’26 adjusted EBITDA of $0.8M — marking its sixth consecutive quarter of positive adjusted EBITDA – compared to adjusted EBITDA of $0.2M in Q4’25.</w:t>
      </w:r>
    </w:p>
    <w:p>
      <w:pPr>
        <w:spacing w:after="0" w:line="177" w:lineRule="exact"/>
        <w:rPr>
          <w:sz w:val="20"/>
          <w:szCs w:val="20"/>
          <w:color w:val="auto"/>
        </w:rPr>
      </w:pPr>
    </w:p>
    <w:p>
      <w:pPr>
        <w:ind w:left="20" w:right="40" w:hanging="9"/>
        <w:spacing w:after="0" w:line="254" w:lineRule="auto"/>
        <w:rPr>
          <w:sz w:val="20"/>
          <w:szCs w:val="20"/>
          <w:color w:val="auto"/>
        </w:rPr>
      </w:pPr>
      <w:r>
        <w:rPr>
          <w:rFonts w:ascii="Arial" w:cs="Arial" w:eastAsia="Arial" w:hAnsi="Arial"/>
          <w:sz w:val="19"/>
          <w:szCs w:val="19"/>
          <w:color w:val="auto"/>
        </w:rPr>
        <w:t>For the full fiscal year of FY’26, Orion’s revenue was $86.3M versus $79.7M in FY’25, while FY’26 gross margin was 32.5% vs. 25.4% in FY’25. The Company improved its net loss in FY’26 to $3.2M, compared to a net loss of $11.8M in FY’25. The Company achieved FY’26 adjusted EBITDA of $2.2M, compared to an adjusted EBITDA loss of $(2.9M) in FY’25.</w:t>
      </w:r>
    </w:p>
    <w:p>
      <w:pPr>
        <w:spacing w:after="0" w:line="176" w:lineRule="exact"/>
        <w:rPr>
          <w:sz w:val="20"/>
          <w:szCs w:val="20"/>
          <w:color w:val="auto"/>
        </w:rPr>
      </w:pPr>
    </w:p>
    <w:p>
      <w:pPr>
        <w:jc w:val="both"/>
        <w:ind w:left="20" w:right="300" w:hanging="9"/>
        <w:spacing w:after="0" w:line="260" w:lineRule="auto"/>
        <w:rPr>
          <w:sz w:val="20"/>
          <w:szCs w:val="20"/>
          <w:color w:val="auto"/>
        </w:rPr>
      </w:pPr>
      <w:r>
        <w:rPr>
          <w:rFonts w:ascii="Arial" w:cs="Arial" w:eastAsia="Arial" w:hAnsi="Arial"/>
          <w:sz w:val="19"/>
          <w:szCs w:val="19"/>
          <w:color w:val="auto"/>
        </w:rPr>
        <w:t>Each quarter of FY’26 delivered gross margins above 30%, a level of performance not previously seen. This is a result of Orion’s structural reset, which it expects to be continually beneficial moving forward. Similarly, revenue — which came in at the high end of our FY’26 public guidance range — continues to grow as we enter FY’27.</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Company continues to execute on its plan and build momentum in the current fiscal year. Starting FY’27 with a backlog of $30M</w:t>
      </w:r>
    </w:p>
    <w:p>
      <w:pPr>
        <w:spacing w:after="0" w:line="16" w:lineRule="exact"/>
        <w:rPr>
          <w:sz w:val="20"/>
          <w:szCs w:val="20"/>
          <w:color w:val="auto"/>
        </w:rPr>
      </w:pPr>
    </w:p>
    <w:p>
      <w:pPr>
        <w:ind w:left="20" w:right="560"/>
        <w:spacing w:after="0" w:line="251" w:lineRule="auto"/>
        <w:rPr>
          <w:sz w:val="20"/>
          <w:szCs w:val="20"/>
          <w:color w:val="auto"/>
        </w:rPr>
      </w:pPr>
      <w:r>
        <w:rPr>
          <w:rFonts w:ascii="Arial" w:cs="Arial" w:eastAsia="Arial" w:hAnsi="Arial"/>
          <w:sz w:val="19"/>
          <w:szCs w:val="19"/>
          <w:color w:val="auto"/>
        </w:rPr>
        <w:t>— a year-over-year increase of $13M, Orion reiterated its expectations of positive adjusted EBITDA on revenue of between $95 million and $97 million in FY’27, which began April 1, 2026, up 12% over FY’26.</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The Company said that its increasing expectations for the current fiscal year were validated by a number of factors. The ongoing improvement in the quality and size of its backlog is a result of continued project demand and growing opportunities within many of the Company’s revenue segments.</w:t>
      </w:r>
    </w:p>
    <w:p>
      <w:pPr>
        <w:spacing w:after="0" w:line="17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results we are reporting today — highlighted by our sixth straight quarter of positive adjusted EBITDA — validate an observation I have made previously: Orion is demonstrably on a profitable growth path,” said Orion’s Chief Executive Officer, Sally Washlow, who recently completed her first year as CEO. “Our FY’26 results and FY’27 expectations speak clearly to the success of a continuously improving sales funnel, organic growth from large customers, a resilient and adaptable proprietary supply chain and highly disciplined cost containment. We expect FY’27 to demonstrate that Orion is emerging robustly from a turnaround to a sustainable growth company.”</w:t>
      </w:r>
    </w:p>
    <w:p>
      <w:pPr>
        <w:spacing w:after="0" w:line="185" w:lineRule="exact"/>
        <w:rPr>
          <w:sz w:val="20"/>
          <w:szCs w:val="20"/>
          <w:color w:val="auto"/>
        </w:rPr>
      </w:pPr>
    </w:p>
    <w:p>
      <w:pPr>
        <w:ind w:left="20" w:right="40" w:hanging="9"/>
        <w:spacing w:after="0" w:line="245" w:lineRule="auto"/>
        <w:rPr>
          <w:sz w:val="20"/>
          <w:szCs w:val="20"/>
          <w:color w:val="auto"/>
        </w:rPr>
      </w:pPr>
      <w:r>
        <w:rPr>
          <w:rFonts w:ascii="Arial" w:cs="Arial" w:eastAsia="Arial" w:hAnsi="Arial"/>
          <w:sz w:val="19"/>
          <w:szCs w:val="19"/>
          <w:color w:val="auto"/>
        </w:rPr>
        <w:t>Orion is providing adjusted EBITDA guidance only on a non-GAAP basis and does not provide a reconciliation of its forward-looking adjusted EBITDA non-GAAP guidance to the most directly comparable GAAP measure due to the inherent difficulty in forecasting and quantifying certain amounts that are necessary for such reconciliation, the amounts of which, based on historical experience, could be significant. For additional information regarding Orion’s non-GAAP measures, see the related explanation presented under “Non-GAAP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Orion is scheduled to discuss these results in an investor call today at 10:00 a.m. ET (details below).</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Webcast and Call Details</w:t>
      </w:r>
    </w:p>
    <w:p>
      <w:pPr>
        <w:spacing w:after="0" w:line="13" w:lineRule="exact"/>
        <w:rPr>
          <w:sz w:val="20"/>
          <w:szCs w:val="20"/>
          <w:color w:val="auto"/>
        </w:rPr>
      </w:pPr>
    </w:p>
    <w:p>
      <w:pPr>
        <w:spacing w:after="0"/>
        <w:tabs>
          <w:tab w:leader="none" w:pos="1240" w:val="left"/>
        </w:tabs>
        <w:rPr>
          <w:sz w:val="20"/>
          <w:szCs w:val="20"/>
          <w:color w:val="auto"/>
        </w:rPr>
      </w:pPr>
      <w:r>
        <w:rPr>
          <w:rFonts w:ascii="Arial" w:cs="Arial" w:eastAsia="Arial" w:hAnsi="Arial"/>
          <w:sz w:val="19"/>
          <w:szCs w:val="19"/>
          <w:color w:val="auto"/>
        </w:rPr>
        <w:t>Date / Time:</w:t>
        <w:tab/>
        <w:t>Thursday, June 4, at 10:00 a.m. ET</w:t>
      </w:r>
    </w:p>
    <w:p>
      <w:pPr>
        <w:spacing w:after="0"/>
        <w:tabs>
          <w:tab w:leader="none" w:pos="2080" w:val="left"/>
        </w:tabs>
        <w:rPr>
          <w:sz w:val="20"/>
          <w:szCs w:val="20"/>
          <w:color w:val="auto"/>
        </w:rPr>
      </w:pPr>
      <w:r>
        <w:rPr>
          <w:rFonts w:ascii="Arial" w:cs="Arial" w:eastAsia="Arial" w:hAnsi="Arial"/>
          <w:sz w:val="19"/>
          <w:szCs w:val="19"/>
          <w:color w:val="auto"/>
        </w:rPr>
        <w:t>Live Call Registration:</w:t>
      </w:r>
      <w:r>
        <w:rPr>
          <w:sz w:val="20"/>
          <w:szCs w:val="20"/>
          <w:color w:val="auto"/>
        </w:rPr>
        <w:tab/>
      </w:r>
      <w:r>
        <w:rPr>
          <w:rFonts w:ascii="Arial" w:cs="Arial" w:eastAsia="Arial" w:hAnsi="Arial"/>
          <w:sz w:val="18"/>
          <w:szCs w:val="18"/>
          <w:color w:val="auto"/>
        </w:rPr>
        <w:t>https://register-conf.media-server.com/register/BI83b6ae45a1654d28babfa53b6617f6cc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1338580</wp:posOffset>
            </wp:positionH>
            <wp:positionV relativeFrom="paragraph">
              <wp:posOffset>-20955</wp:posOffset>
            </wp:positionV>
            <wp:extent cx="46564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564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160"/>
        <w:spacing w:after="0" w:line="254" w:lineRule="auto"/>
        <w:rPr>
          <w:sz w:val="20"/>
          <w:szCs w:val="20"/>
          <w:color w:val="auto"/>
        </w:rPr>
      </w:pPr>
      <w:r>
        <w:rPr>
          <w:rFonts w:ascii="Arial" w:cs="Arial" w:eastAsia="Arial" w:hAnsi="Arial"/>
          <w:sz w:val="19"/>
          <w:szCs w:val="19"/>
          <w:color w:val="auto"/>
        </w:rPr>
        <w:t>Live call participants must pre-register using the URL above to receive the dial-in information. Anyone can re-register if they lose the dial-in or PIN #.</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Webcast &amp; Replay: https://edge.media-server.com/mmc/p/zmyzetzn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-20955</wp:posOffset>
            </wp:positionV>
            <wp:extent cx="2554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Q4'26 and FY'26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131445</wp:posOffset>
            </wp:positionV>
            <wp:extent cx="7054850" cy="3184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3184525"/>
                    </a:xfrm>
                    <a:prstGeom prst="rect">
                      <a:avLst/>
                    </a:prstGeom>
                    <a:noFill/>
                  </pic:spPr>
                </pic:pic>
              </a:graphicData>
            </a:graphic>
          </wp:anchor>
        </w:drawing>
      </w:r>
    </w:p>
    <w:p>
      <w:pPr>
        <w:spacing w:after="0" w:line="184" w:lineRule="exact"/>
        <w:rPr>
          <w:sz w:val="20"/>
          <w:szCs w:val="20"/>
          <w:color w:val="auto"/>
        </w:rPr>
      </w:pPr>
    </w:p>
    <w:tbl>
      <w:tblPr>
        <w:tblLayout w:type="fixed"/>
        <w:tblInd w:w="90" w:type="dxa"/>
        <w:tblCellMar>
          <w:top w:w="0" w:type="dxa"/>
          <w:left w:w="0" w:type="dxa"/>
          <w:bottom w:w="0" w:type="dxa"/>
          <w:right w:w="0" w:type="dxa"/>
        </w:tblCellMar>
      </w:tblPr>
      <w:tr>
        <w:trPr>
          <w:trHeight w:val="311"/>
        </w:trPr>
        <w:tc>
          <w:tcPr>
            <w:tcW w:w="31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38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20"/>
                <w:szCs w:val="20"/>
                <w:b w:val="1"/>
                <w:bCs w:val="1"/>
                <w:color w:val="auto"/>
              </w:rPr>
              <w:t>Q4'26 Summary</w:t>
            </w:r>
          </w:p>
        </w:tc>
        <w:tc>
          <w:tcPr>
            <w:tcW w:w="180" w:type="dxa"/>
            <w:vAlign w:val="bottom"/>
          </w:tcPr>
          <w:p>
            <w:pPr>
              <w:spacing w:after="0"/>
              <w:rPr>
                <w:sz w:val="24"/>
                <w:szCs w:val="24"/>
                <w:color w:val="auto"/>
              </w:rPr>
            </w:pPr>
          </w:p>
        </w:tc>
        <w:tc>
          <w:tcPr>
            <w:tcW w:w="2620" w:type="dxa"/>
            <w:vAlign w:val="bottom"/>
            <w:tcBorders>
              <w:bottom w:val="single" w:sz="8" w:color="auto"/>
            </w:tcBorders>
            <w:gridSpan w:val="3"/>
          </w:tcPr>
          <w:p>
            <w:pPr>
              <w:ind w:left="560"/>
              <w:spacing w:after="0"/>
              <w:rPr>
                <w:sz w:val="20"/>
                <w:szCs w:val="20"/>
                <w:color w:val="auto"/>
              </w:rPr>
            </w:pPr>
            <w:r>
              <w:rPr>
                <w:rFonts w:ascii="Arial" w:cs="Arial" w:eastAsia="Arial" w:hAnsi="Arial"/>
                <w:sz w:val="20"/>
                <w:szCs w:val="20"/>
                <w:b w:val="1"/>
                <w:bCs w:val="1"/>
                <w:color w:val="auto"/>
              </w:rPr>
              <w:t>FY'26 Summary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Borders>
              <w:bottom w:val="single" w:sz="8" w:color="auto"/>
            </w:tcBorders>
            <w:gridSpan w:val="3"/>
          </w:tcPr>
          <w:p>
            <w:pPr>
              <w:ind w:left="340"/>
              <w:spacing w:after="0"/>
              <w:rPr>
                <w:sz w:val="20"/>
                <w:szCs w:val="20"/>
                <w:color w:val="auto"/>
              </w:rPr>
            </w:pPr>
            <w:r>
              <w:rPr>
                <w:rFonts w:ascii="Arial" w:cs="Arial" w:eastAsia="Arial" w:hAnsi="Arial"/>
                <w:sz w:val="20"/>
                <w:szCs w:val="20"/>
                <w:b w:val="1"/>
                <w:bCs w:val="1"/>
                <w:color w:val="auto"/>
              </w:rPr>
              <w:t>Prior Three Quarters</w:t>
            </w:r>
          </w:p>
        </w:tc>
      </w:tr>
      <w:tr>
        <w:trPr>
          <w:trHeight w:val="259"/>
        </w:trPr>
        <w:tc>
          <w:tcPr>
            <w:tcW w:w="3100" w:type="dxa"/>
            <w:vAlign w:val="bottom"/>
          </w:tcPr>
          <w:p>
            <w:pPr>
              <w:spacing w:after="0"/>
              <w:rPr>
                <w:sz w:val="20"/>
                <w:szCs w:val="20"/>
                <w:color w:val="auto"/>
              </w:rPr>
            </w:pPr>
            <w:r>
              <w:rPr>
                <w:rFonts w:ascii="Arial" w:cs="Arial" w:eastAsia="Arial" w:hAnsi="Arial"/>
                <w:sz w:val="16"/>
                <w:szCs w:val="16"/>
                <w:color w:val="auto"/>
              </w:rPr>
              <w:t>$ in millions except per share figures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7"/>
              </w:rPr>
              <w:t>Q4'26</w:t>
            </w:r>
          </w:p>
        </w:tc>
        <w:tc>
          <w:tcPr>
            <w:tcW w:w="780" w:type="dxa"/>
            <w:vAlign w:val="bottom"/>
          </w:tcPr>
          <w:p>
            <w:pPr>
              <w:jc w:val="center"/>
              <w:spacing w:after="0"/>
              <w:rPr>
                <w:sz w:val="20"/>
                <w:szCs w:val="20"/>
                <w:color w:val="auto"/>
              </w:rPr>
            </w:pPr>
            <w:r>
              <w:rPr>
                <w:rFonts w:ascii="Arial" w:cs="Arial" w:eastAsia="Arial" w:hAnsi="Arial"/>
                <w:sz w:val="16"/>
                <w:szCs w:val="16"/>
                <w:color w:val="auto"/>
              </w:rPr>
              <w:t>Q4'25</w:t>
            </w:r>
          </w:p>
        </w:tc>
        <w:tc>
          <w:tcPr>
            <w:tcW w:w="840" w:type="dxa"/>
            <w:vAlign w:val="bottom"/>
          </w:tcPr>
          <w:p>
            <w:pPr>
              <w:ind w:left="140"/>
              <w:spacing w:after="0"/>
              <w:rPr>
                <w:sz w:val="20"/>
                <w:szCs w:val="20"/>
                <w:color w:val="auto"/>
              </w:rPr>
            </w:pPr>
            <w:r>
              <w:rPr>
                <w:rFonts w:ascii="Arial" w:cs="Arial" w:eastAsia="Arial" w:hAnsi="Arial"/>
                <w:sz w:val="16"/>
                <w:szCs w:val="16"/>
                <w:color w:val="auto"/>
              </w:rPr>
              <w:t>Change</w:t>
            </w:r>
          </w:p>
        </w:tc>
        <w:tc>
          <w:tcPr>
            <w:tcW w:w="180" w:type="dxa"/>
            <w:vAlign w:val="bottom"/>
          </w:tcPr>
          <w:p>
            <w:pPr>
              <w:spacing w:after="0"/>
              <w:rPr>
                <w:sz w:val="22"/>
                <w:szCs w:val="22"/>
                <w:color w:val="auto"/>
              </w:rPr>
            </w:pPr>
          </w:p>
        </w:tc>
        <w:tc>
          <w:tcPr>
            <w:tcW w:w="880" w:type="dxa"/>
            <w:vAlign w:val="bottom"/>
          </w:tcPr>
          <w:p>
            <w:pPr>
              <w:ind w:left="240"/>
              <w:spacing w:after="0"/>
              <w:rPr>
                <w:sz w:val="20"/>
                <w:szCs w:val="20"/>
                <w:color w:val="auto"/>
              </w:rPr>
            </w:pPr>
            <w:r>
              <w:rPr>
                <w:rFonts w:ascii="Arial" w:cs="Arial" w:eastAsia="Arial" w:hAnsi="Arial"/>
                <w:sz w:val="16"/>
                <w:szCs w:val="16"/>
                <w:color w:val="auto"/>
              </w:rPr>
              <w:t>FY'26</w:t>
            </w:r>
          </w:p>
        </w:tc>
        <w:tc>
          <w:tcPr>
            <w:tcW w:w="860" w:type="dxa"/>
            <w:vAlign w:val="bottom"/>
          </w:tcPr>
          <w:p>
            <w:pPr>
              <w:jc w:val="center"/>
              <w:spacing w:after="0"/>
              <w:rPr>
                <w:sz w:val="20"/>
                <w:szCs w:val="20"/>
                <w:color w:val="auto"/>
              </w:rPr>
            </w:pPr>
            <w:r>
              <w:rPr>
                <w:rFonts w:ascii="Arial" w:cs="Arial" w:eastAsia="Arial" w:hAnsi="Arial"/>
                <w:sz w:val="16"/>
                <w:szCs w:val="16"/>
                <w:color w:val="auto"/>
              </w:rPr>
              <w:t>FY'25</w:t>
            </w:r>
          </w:p>
        </w:tc>
        <w:tc>
          <w:tcPr>
            <w:tcW w:w="880" w:type="dxa"/>
            <w:vAlign w:val="bottom"/>
          </w:tcPr>
          <w:p>
            <w:pPr>
              <w:ind w:left="180"/>
              <w:spacing w:after="0"/>
              <w:rPr>
                <w:sz w:val="20"/>
                <w:szCs w:val="20"/>
                <w:color w:val="auto"/>
              </w:rPr>
            </w:pPr>
            <w:r>
              <w:rPr>
                <w:rFonts w:ascii="Arial" w:cs="Arial" w:eastAsia="Arial" w:hAnsi="Arial"/>
                <w:sz w:val="16"/>
                <w:szCs w:val="16"/>
                <w:color w:val="auto"/>
              </w:rPr>
              <w:t>Change</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Q3’26</w:t>
            </w:r>
          </w:p>
        </w:tc>
        <w:tc>
          <w:tcPr>
            <w:tcW w:w="900" w:type="dxa"/>
            <w:vAlign w:val="bottom"/>
          </w:tcPr>
          <w:p>
            <w:pPr>
              <w:jc w:val="center"/>
              <w:spacing w:after="0"/>
              <w:rPr>
                <w:sz w:val="20"/>
                <w:szCs w:val="20"/>
                <w:color w:val="auto"/>
              </w:rPr>
            </w:pPr>
            <w:r>
              <w:rPr>
                <w:rFonts w:ascii="Arial" w:cs="Arial" w:eastAsia="Arial" w:hAnsi="Arial"/>
                <w:sz w:val="16"/>
                <w:szCs w:val="16"/>
                <w:color w:val="auto"/>
              </w:rPr>
              <w:t>Q2'26</w:t>
            </w:r>
          </w:p>
        </w:tc>
        <w:tc>
          <w:tcPr>
            <w:tcW w:w="880" w:type="dxa"/>
            <w:vAlign w:val="bottom"/>
          </w:tcPr>
          <w:p>
            <w:pPr>
              <w:jc w:val="center"/>
              <w:spacing w:after="0"/>
              <w:rPr>
                <w:sz w:val="20"/>
                <w:szCs w:val="20"/>
                <w:color w:val="auto"/>
              </w:rPr>
            </w:pPr>
            <w:r>
              <w:rPr>
                <w:rFonts w:ascii="Arial" w:cs="Arial" w:eastAsia="Arial" w:hAnsi="Arial"/>
                <w:sz w:val="16"/>
                <w:szCs w:val="16"/>
                <w:color w:val="auto"/>
              </w:rPr>
              <w:t>Q1'26</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color w:val="auto"/>
              </w:rPr>
              <w:t>LED Lighting Revenue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$20.3</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$10.9</w:t>
            </w:r>
          </w:p>
        </w:tc>
        <w:tc>
          <w:tcPr>
            <w:tcW w:w="840" w:type="dxa"/>
            <w:vAlign w:val="bottom"/>
          </w:tcPr>
          <w:p>
            <w:pPr>
              <w:jc w:val="center"/>
              <w:spacing w:after="0"/>
              <w:rPr>
                <w:sz w:val="20"/>
                <w:szCs w:val="20"/>
                <w:color w:val="auto"/>
              </w:rPr>
            </w:pPr>
            <w:r>
              <w:rPr>
                <w:rFonts w:ascii="Arial" w:cs="Arial" w:eastAsia="Arial" w:hAnsi="Arial"/>
                <w:sz w:val="16"/>
                <w:szCs w:val="16"/>
                <w:color w:val="auto"/>
              </w:rPr>
              <w:t>+86%</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rPr>
              <w:t>$55.9</w:t>
            </w:r>
          </w:p>
        </w:tc>
        <w:tc>
          <w:tcPr>
            <w:tcW w:w="860" w:type="dxa"/>
            <w:vAlign w:val="bottom"/>
          </w:tcPr>
          <w:p>
            <w:pPr>
              <w:jc w:val="center"/>
              <w:spacing w:after="0"/>
              <w:rPr>
                <w:sz w:val="20"/>
                <w:szCs w:val="20"/>
                <w:color w:val="auto"/>
              </w:rPr>
            </w:pPr>
            <w:r>
              <w:rPr>
                <w:rFonts w:ascii="Arial" w:cs="Arial" w:eastAsia="Arial" w:hAnsi="Arial"/>
                <w:sz w:val="16"/>
                <w:szCs w:val="16"/>
                <w:color w:val="auto"/>
              </w:rPr>
              <w:t>$47.7</w:t>
            </w:r>
          </w:p>
        </w:tc>
        <w:tc>
          <w:tcPr>
            <w:tcW w:w="880" w:type="dxa"/>
            <w:vAlign w:val="bottom"/>
          </w:tcPr>
          <w:p>
            <w:pPr>
              <w:jc w:val="center"/>
              <w:spacing w:after="0"/>
              <w:rPr>
                <w:sz w:val="20"/>
                <w:szCs w:val="20"/>
                <w:color w:val="auto"/>
              </w:rPr>
            </w:pPr>
            <w:r>
              <w:rPr>
                <w:rFonts w:ascii="Arial" w:cs="Arial" w:eastAsia="Arial" w:hAnsi="Arial"/>
                <w:sz w:val="16"/>
                <w:szCs w:val="16"/>
                <w:color w:val="auto"/>
              </w:rPr>
              <w:t>+17%</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rPr>
              <w:t>$12.1</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$10.7</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$12.9</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color w:val="auto"/>
              </w:rPr>
              <w:t>EV Charging Revenue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$2.3</w:t>
            </w:r>
          </w:p>
        </w:tc>
        <w:tc>
          <w:tcPr>
            <w:tcW w:w="780" w:type="dxa"/>
            <w:vAlign w:val="bottom"/>
          </w:tcPr>
          <w:p>
            <w:pPr>
              <w:jc w:val="center"/>
              <w:spacing w:after="0"/>
              <w:rPr>
                <w:sz w:val="20"/>
                <w:szCs w:val="20"/>
                <w:color w:val="auto"/>
              </w:rPr>
            </w:pPr>
            <w:r>
              <w:rPr>
                <w:rFonts w:ascii="Arial" w:cs="Arial" w:eastAsia="Arial" w:hAnsi="Arial"/>
                <w:sz w:val="16"/>
                <w:szCs w:val="16"/>
                <w:color w:val="auto"/>
              </w:rPr>
              <w:t>$5.8</w:t>
            </w:r>
          </w:p>
        </w:tc>
        <w:tc>
          <w:tcPr>
            <w:tcW w:w="840" w:type="dxa"/>
            <w:vAlign w:val="bottom"/>
          </w:tcPr>
          <w:p>
            <w:pPr>
              <w:jc w:val="center"/>
              <w:spacing w:after="0"/>
              <w:rPr>
                <w:sz w:val="20"/>
                <w:szCs w:val="20"/>
                <w:color w:val="auto"/>
              </w:rPr>
            </w:pPr>
            <w:r>
              <w:rPr>
                <w:rFonts w:ascii="Arial" w:cs="Arial" w:eastAsia="Arial" w:hAnsi="Arial"/>
                <w:sz w:val="16"/>
                <w:szCs w:val="16"/>
                <w:color w:val="auto"/>
              </w:rPr>
              <w:t>-61%</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rPr>
              <w:t>$14.4</w:t>
            </w:r>
          </w:p>
        </w:tc>
        <w:tc>
          <w:tcPr>
            <w:tcW w:w="860" w:type="dxa"/>
            <w:vAlign w:val="bottom"/>
          </w:tcPr>
          <w:p>
            <w:pPr>
              <w:jc w:val="center"/>
              <w:spacing w:after="0"/>
              <w:rPr>
                <w:sz w:val="20"/>
                <w:szCs w:val="20"/>
                <w:color w:val="auto"/>
              </w:rPr>
            </w:pPr>
            <w:r>
              <w:rPr>
                <w:rFonts w:ascii="Arial" w:cs="Arial" w:eastAsia="Arial" w:hAnsi="Arial"/>
                <w:sz w:val="16"/>
                <w:szCs w:val="16"/>
                <w:color w:val="auto"/>
              </w:rPr>
              <w:t>$16.8</w:t>
            </w:r>
          </w:p>
        </w:tc>
        <w:tc>
          <w:tcPr>
            <w:tcW w:w="880" w:type="dxa"/>
            <w:vAlign w:val="bottom"/>
          </w:tcPr>
          <w:p>
            <w:pPr>
              <w:jc w:val="center"/>
              <w:spacing w:after="0"/>
              <w:rPr>
                <w:sz w:val="20"/>
                <w:szCs w:val="20"/>
                <w:color w:val="auto"/>
              </w:rPr>
            </w:pPr>
            <w:r>
              <w:rPr>
                <w:rFonts w:ascii="Arial" w:cs="Arial" w:eastAsia="Arial" w:hAnsi="Arial"/>
                <w:sz w:val="16"/>
                <w:szCs w:val="16"/>
                <w:color w:val="auto"/>
              </w:rPr>
              <w:t>-15%</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w w:val="96"/>
              </w:rPr>
              <w:t>$4.7</w:t>
            </w:r>
          </w:p>
        </w:tc>
        <w:tc>
          <w:tcPr>
            <w:tcW w:w="900" w:type="dxa"/>
            <w:vAlign w:val="bottom"/>
          </w:tcPr>
          <w:p>
            <w:pPr>
              <w:jc w:val="center"/>
              <w:spacing w:after="0"/>
              <w:rPr>
                <w:sz w:val="20"/>
                <w:szCs w:val="20"/>
                <w:color w:val="auto"/>
              </w:rPr>
            </w:pPr>
            <w:r>
              <w:rPr>
                <w:rFonts w:ascii="Arial" w:cs="Arial" w:eastAsia="Arial" w:hAnsi="Arial"/>
                <w:sz w:val="16"/>
                <w:szCs w:val="16"/>
                <w:color w:val="auto"/>
              </w:rPr>
              <w:t>$4.8</w:t>
            </w:r>
          </w:p>
        </w:tc>
        <w:tc>
          <w:tcPr>
            <w:tcW w:w="880" w:type="dxa"/>
            <w:vAlign w:val="bottom"/>
          </w:tcPr>
          <w:p>
            <w:pPr>
              <w:jc w:val="center"/>
              <w:spacing w:after="0"/>
              <w:rPr>
                <w:sz w:val="20"/>
                <w:szCs w:val="20"/>
                <w:color w:val="auto"/>
              </w:rPr>
            </w:pPr>
            <w:r>
              <w:rPr>
                <w:rFonts w:ascii="Arial" w:cs="Arial" w:eastAsia="Arial" w:hAnsi="Arial"/>
                <w:sz w:val="16"/>
                <w:szCs w:val="16"/>
                <w:color w:val="auto"/>
              </w:rPr>
              <w:t>$2.7</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color w:val="auto"/>
              </w:rPr>
              <w:t>Maintenance Revenue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$3.2</w:t>
            </w:r>
          </w:p>
        </w:tc>
        <w:tc>
          <w:tcPr>
            <w:tcW w:w="780" w:type="dxa"/>
            <w:vAlign w:val="bottom"/>
          </w:tcPr>
          <w:p>
            <w:pPr>
              <w:jc w:val="center"/>
              <w:spacing w:after="0"/>
              <w:rPr>
                <w:sz w:val="20"/>
                <w:szCs w:val="20"/>
                <w:color w:val="auto"/>
              </w:rPr>
            </w:pPr>
            <w:r>
              <w:rPr>
                <w:rFonts w:ascii="Arial" w:cs="Arial" w:eastAsia="Arial" w:hAnsi="Arial"/>
                <w:sz w:val="16"/>
                <w:szCs w:val="16"/>
                <w:color w:val="auto"/>
              </w:rPr>
              <w:t>$4.1</w:t>
            </w:r>
          </w:p>
        </w:tc>
        <w:tc>
          <w:tcPr>
            <w:tcW w:w="840" w:type="dxa"/>
            <w:vAlign w:val="bottom"/>
          </w:tcPr>
          <w:p>
            <w:pPr>
              <w:jc w:val="center"/>
              <w:spacing w:after="0"/>
              <w:rPr>
                <w:sz w:val="20"/>
                <w:szCs w:val="20"/>
                <w:color w:val="auto"/>
              </w:rPr>
            </w:pPr>
            <w:r>
              <w:rPr>
                <w:rFonts w:ascii="Arial" w:cs="Arial" w:eastAsia="Arial" w:hAnsi="Arial"/>
                <w:sz w:val="16"/>
                <w:szCs w:val="16"/>
                <w:color w:val="auto"/>
              </w:rPr>
              <w:t>-23%</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rPr>
              <w:t>$16.0</w:t>
            </w:r>
          </w:p>
        </w:tc>
        <w:tc>
          <w:tcPr>
            <w:tcW w:w="860" w:type="dxa"/>
            <w:vAlign w:val="bottom"/>
          </w:tcPr>
          <w:p>
            <w:pPr>
              <w:jc w:val="center"/>
              <w:spacing w:after="0"/>
              <w:rPr>
                <w:sz w:val="20"/>
                <w:szCs w:val="20"/>
                <w:color w:val="auto"/>
              </w:rPr>
            </w:pPr>
            <w:r>
              <w:rPr>
                <w:rFonts w:ascii="Arial" w:cs="Arial" w:eastAsia="Arial" w:hAnsi="Arial"/>
                <w:sz w:val="16"/>
                <w:szCs w:val="16"/>
                <w:color w:val="auto"/>
              </w:rPr>
              <w:t>$15.2</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+6%</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w w:val="96"/>
              </w:rPr>
              <w:t>$4.4</w:t>
            </w:r>
          </w:p>
        </w:tc>
        <w:tc>
          <w:tcPr>
            <w:tcW w:w="900" w:type="dxa"/>
            <w:vAlign w:val="bottom"/>
          </w:tcPr>
          <w:p>
            <w:pPr>
              <w:jc w:val="center"/>
              <w:spacing w:after="0"/>
              <w:rPr>
                <w:sz w:val="20"/>
                <w:szCs w:val="20"/>
                <w:color w:val="auto"/>
              </w:rPr>
            </w:pPr>
            <w:r>
              <w:rPr>
                <w:rFonts w:ascii="Arial" w:cs="Arial" w:eastAsia="Arial" w:hAnsi="Arial"/>
                <w:sz w:val="16"/>
                <w:szCs w:val="16"/>
                <w:color w:val="auto"/>
              </w:rPr>
              <w:t>$4.5</w:t>
            </w:r>
          </w:p>
        </w:tc>
        <w:tc>
          <w:tcPr>
            <w:tcW w:w="880" w:type="dxa"/>
            <w:vAlign w:val="bottom"/>
          </w:tcPr>
          <w:p>
            <w:pPr>
              <w:jc w:val="center"/>
              <w:spacing w:after="0"/>
              <w:rPr>
                <w:sz w:val="20"/>
                <w:szCs w:val="20"/>
                <w:color w:val="auto"/>
              </w:rPr>
            </w:pPr>
            <w:r>
              <w:rPr>
                <w:rFonts w:ascii="Arial" w:cs="Arial" w:eastAsia="Arial" w:hAnsi="Arial"/>
                <w:sz w:val="16"/>
                <w:szCs w:val="16"/>
                <w:color w:val="auto"/>
              </w:rPr>
              <w:t>$4.0</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$25.7</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$20.9</w:t>
            </w:r>
          </w:p>
        </w:tc>
        <w:tc>
          <w:tcPr>
            <w:tcW w:w="840" w:type="dxa"/>
            <w:vAlign w:val="bottom"/>
          </w:tcPr>
          <w:p>
            <w:pPr>
              <w:jc w:val="center"/>
              <w:spacing w:after="0"/>
              <w:rPr>
                <w:sz w:val="20"/>
                <w:szCs w:val="20"/>
                <w:color w:val="auto"/>
              </w:rPr>
            </w:pPr>
            <w:r>
              <w:rPr>
                <w:rFonts w:ascii="Arial" w:cs="Arial" w:eastAsia="Arial" w:hAnsi="Arial"/>
                <w:sz w:val="16"/>
                <w:szCs w:val="16"/>
                <w:color w:val="auto"/>
              </w:rPr>
              <w:t>+23%</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rPr>
              <w:t>$86.3</w:t>
            </w:r>
          </w:p>
        </w:tc>
        <w:tc>
          <w:tcPr>
            <w:tcW w:w="860" w:type="dxa"/>
            <w:vAlign w:val="bottom"/>
          </w:tcPr>
          <w:p>
            <w:pPr>
              <w:jc w:val="center"/>
              <w:spacing w:after="0"/>
              <w:rPr>
                <w:sz w:val="20"/>
                <w:szCs w:val="20"/>
                <w:color w:val="auto"/>
              </w:rPr>
            </w:pPr>
            <w:r>
              <w:rPr>
                <w:rFonts w:ascii="Arial" w:cs="Arial" w:eastAsia="Arial" w:hAnsi="Arial"/>
                <w:sz w:val="16"/>
                <w:szCs w:val="16"/>
                <w:color w:val="auto"/>
              </w:rPr>
              <w:t>$79.7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+8%</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rPr>
              <w:t>$21.1</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$19.9</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$19.6</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$9.5</w:t>
            </w:r>
          </w:p>
        </w:tc>
        <w:tc>
          <w:tcPr>
            <w:tcW w:w="780" w:type="dxa"/>
            <w:vAlign w:val="bottom"/>
          </w:tcPr>
          <w:p>
            <w:pPr>
              <w:jc w:val="center"/>
              <w:spacing w:after="0"/>
              <w:rPr>
                <w:sz w:val="20"/>
                <w:szCs w:val="20"/>
                <w:color w:val="auto"/>
              </w:rPr>
            </w:pPr>
            <w:r>
              <w:rPr>
                <w:rFonts w:ascii="Arial" w:cs="Arial" w:eastAsia="Arial" w:hAnsi="Arial"/>
                <w:sz w:val="16"/>
                <w:szCs w:val="16"/>
                <w:color w:val="auto"/>
              </w:rPr>
              <w:t>$5.7</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+$3.8</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rPr>
              <w:t>$28.1</w:t>
            </w:r>
          </w:p>
        </w:tc>
        <w:tc>
          <w:tcPr>
            <w:tcW w:w="860" w:type="dxa"/>
            <w:vAlign w:val="bottom"/>
          </w:tcPr>
          <w:p>
            <w:pPr>
              <w:jc w:val="center"/>
              <w:spacing w:after="0"/>
              <w:rPr>
                <w:sz w:val="20"/>
                <w:szCs w:val="20"/>
                <w:color w:val="auto"/>
              </w:rPr>
            </w:pPr>
            <w:r>
              <w:rPr>
                <w:rFonts w:ascii="Arial" w:cs="Arial" w:eastAsia="Arial" w:hAnsi="Arial"/>
                <w:sz w:val="16"/>
                <w:szCs w:val="16"/>
                <w:color w:val="auto"/>
              </w:rPr>
              <w:t>$20.2</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+$7.9</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w w:val="96"/>
              </w:rPr>
              <w:t>$6.5</w:t>
            </w:r>
          </w:p>
        </w:tc>
        <w:tc>
          <w:tcPr>
            <w:tcW w:w="900" w:type="dxa"/>
            <w:vAlign w:val="bottom"/>
          </w:tcPr>
          <w:p>
            <w:pPr>
              <w:jc w:val="center"/>
              <w:spacing w:after="0"/>
              <w:rPr>
                <w:sz w:val="20"/>
                <w:szCs w:val="20"/>
                <w:color w:val="auto"/>
              </w:rPr>
            </w:pPr>
            <w:r>
              <w:rPr>
                <w:rFonts w:ascii="Arial" w:cs="Arial" w:eastAsia="Arial" w:hAnsi="Arial"/>
                <w:sz w:val="16"/>
                <w:szCs w:val="16"/>
                <w:color w:val="auto"/>
              </w:rPr>
              <w:t>$6.2</w:t>
            </w:r>
          </w:p>
        </w:tc>
        <w:tc>
          <w:tcPr>
            <w:tcW w:w="880" w:type="dxa"/>
            <w:vAlign w:val="bottom"/>
          </w:tcPr>
          <w:p>
            <w:pPr>
              <w:jc w:val="center"/>
              <w:spacing w:after="0"/>
              <w:rPr>
                <w:sz w:val="20"/>
                <w:szCs w:val="20"/>
                <w:color w:val="auto"/>
              </w:rPr>
            </w:pPr>
            <w:r>
              <w:rPr>
                <w:rFonts w:ascii="Arial" w:cs="Arial" w:eastAsia="Arial" w:hAnsi="Arial"/>
                <w:sz w:val="16"/>
                <w:szCs w:val="16"/>
                <w:color w:val="auto"/>
              </w:rPr>
              <w:t>$5.9</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b w:val="1"/>
                <w:bCs w:val="1"/>
                <w:color w:val="auto"/>
              </w:rPr>
              <w:t>Gross Margin</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37.0%</w:t>
            </w:r>
          </w:p>
        </w:tc>
        <w:tc>
          <w:tcPr>
            <w:tcW w:w="780" w:type="dxa"/>
            <w:vAlign w:val="bottom"/>
          </w:tcPr>
          <w:p>
            <w:pPr>
              <w:jc w:val="center"/>
              <w:spacing w:after="0"/>
              <w:rPr>
                <w:sz w:val="20"/>
                <w:szCs w:val="20"/>
                <w:color w:val="auto"/>
              </w:rPr>
            </w:pPr>
            <w:r>
              <w:rPr>
                <w:rFonts w:ascii="Arial" w:cs="Arial" w:eastAsia="Arial" w:hAnsi="Arial"/>
                <w:sz w:val="16"/>
                <w:szCs w:val="16"/>
                <w:color w:val="auto"/>
              </w:rPr>
              <w:t>27.5%</w:t>
            </w:r>
          </w:p>
        </w:tc>
        <w:tc>
          <w:tcPr>
            <w:tcW w:w="840" w:type="dxa"/>
            <w:vAlign w:val="bottom"/>
          </w:tcPr>
          <w:p>
            <w:pPr>
              <w:jc w:val="center"/>
              <w:spacing w:after="0"/>
              <w:rPr>
                <w:sz w:val="20"/>
                <w:szCs w:val="20"/>
                <w:color w:val="auto"/>
              </w:rPr>
            </w:pPr>
            <w:r>
              <w:rPr>
                <w:rFonts w:ascii="Arial" w:cs="Arial" w:eastAsia="Arial" w:hAnsi="Arial"/>
                <w:sz w:val="16"/>
                <w:szCs w:val="16"/>
                <w:color w:val="auto"/>
              </w:rPr>
              <w:t>+950bps</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rPr>
              <w:t>32.6%</w:t>
            </w:r>
          </w:p>
        </w:tc>
        <w:tc>
          <w:tcPr>
            <w:tcW w:w="860" w:type="dxa"/>
            <w:vAlign w:val="bottom"/>
          </w:tcPr>
          <w:p>
            <w:pPr>
              <w:jc w:val="center"/>
              <w:spacing w:after="0"/>
              <w:rPr>
                <w:sz w:val="20"/>
                <w:szCs w:val="20"/>
                <w:color w:val="auto"/>
              </w:rPr>
            </w:pPr>
            <w:r>
              <w:rPr>
                <w:rFonts w:ascii="Arial" w:cs="Arial" w:eastAsia="Arial" w:hAnsi="Arial"/>
                <w:sz w:val="16"/>
                <w:szCs w:val="16"/>
                <w:color w:val="auto"/>
              </w:rPr>
              <w:t>25.4%</w:t>
            </w:r>
          </w:p>
        </w:tc>
        <w:tc>
          <w:tcPr>
            <w:tcW w:w="880" w:type="dxa"/>
            <w:vAlign w:val="bottom"/>
          </w:tcPr>
          <w:p>
            <w:pPr>
              <w:jc w:val="center"/>
              <w:spacing w:after="0"/>
              <w:rPr>
                <w:sz w:val="20"/>
                <w:szCs w:val="20"/>
                <w:color w:val="auto"/>
              </w:rPr>
            </w:pPr>
            <w:r>
              <w:rPr>
                <w:rFonts w:ascii="Arial" w:cs="Arial" w:eastAsia="Arial" w:hAnsi="Arial"/>
                <w:sz w:val="16"/>
                <w:szCs w:val="16"/>
                <w:color w:val="auto"/>
              </w:rPr>
              <w:t>+720bps</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rPr>
              <w:t>30.9%</w:t>
            </w:r>
          </w:p>
        </w:tc>
        <w:tc>
          <w:tcPr>
            <w:tcW w:w="900" w:type="dxa"/>
            <w:vAlign w:val="bottom"/>
          </w:tcPr>
          <w:p>
            <w:pPr>
              <w:jc w:val="center"/>
              <w:spacing w:after="0"/>
              <w:rPr>
                <w:sz w:val="20"/>
                <w:szCs w:val="20"/>
                <w:color w:val="auto"/>
              </w:rPr>
            </w:pPr>
            <w:r>
              <w:rPr>
                <w:rFonts w:ascii="Arial" w:cs="Arial" w:eastAsia="Arial" w:hAnsi="Arial"/>
                <w:sz w:val="16"/>
                <w:szCs w:val="16"/>
                <w:color w:val="auto"/>
              </w:rPr>
              <w:t>31.0%</w:t>
            </w: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30.1%</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b w:val="1"/>
                <w:bCs w:val="1"/>
                <w:color w:val="auto"/>
              </w:rPr>
              <w:t xml:space="preserve">Net Income (Loss) </w:t>
            </w:r>
            <w:r>
              <w:rPr>
                <w:rFonts w:ascii="Arial" w:cs="Arial" w:eastAsia="Arial" w:hAnsi="Arial"/>
                <w:sz w:val="16"/>
                <w:szCs w:val="16"/>
                <w:color w:val="auto"/>
              </w:rPr>
              <w:t>(1)(2)(3)(4)</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$(1.5)</w:t>
            </w:r>
          </w:p>
        </w:tc>
        <w:tc>
          <w:tcPr>
            <w:tcW w:w="780" w:type="dxa"/>
            <w:vAlign w:val="bottom"/>
          </w:tcPr>
          <w:p>
            <w:pPr>
              <w:jc w:val="center"/>
              <w:spacing w:after="0"/>
              <w:rPr>
                <w:sz w:val="20"/>
                <w:szCs w:val="20"/>
                <w:color w:val="auto"/>
              </w:rPr>
            </w:pPr>
            <w:r>
              <w:rPr>
                <w:rFonts w:ascii="Arial" w:cs="Arial" w:eastAsia="Arial" w:hAnsi="Arial"/>
                <w:sz w:val="16"/>
                <w:szCs w:val="16"/>
                <w:color w:val="auto"/>
              </w:rPr>
              <w:t>$(2.9)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rPr>
              <w:t>$(3.2)</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$(11.8)</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+$8.6</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w w:val="96"/>
              </w:rPr>
              <w:t>$0.2</w:t>
            </w:r>
          </w:p>
        </w:tc>
        <w:tc>
          <w:tcPr>
            <w:tcW w:w="900" w:type="dxa"/>
            <w:vAlign w:val="bottom"/>
          </w:tcPr>
          <w:p>
            <w:pPr>
              <w:jc w:val="center"/>
              <w:spacing w:after="0"/>
              <w:rPr>
                <w:sz w:val="20"/>
                <w:szCs w:val="20"/>
                <w:color w:val="auto"/>
              </w:rPr>
            </w:pPr>
            <w:r>
              <w:rPr>
                <w:rFonts w:ascii="Arial" w:cs="Arial" w:eastAsia="Arial" w:hAnsi="Arial"/>
                <w:sz w:val="16"/>
                <w:szCs w:val="16"/>
                <w:color w:val="auto"/>
              </w:rPr>
              <w:t>$(0.6)</w:t>
            </w:r>
          </w:p>
        </w:tc>
        <w:tc>
          <w:tcPr>
            <w:tcW w:w="880" w:type="dxa"/>
            <w:vAlign w:val="bottom"/>
          </w:tcPr>
          <w:p>
            <w:pPr>
              <w:jc w:val="center"/>
              <w:spacing w:after="0"/>
              <w:rPr>
                <w:sz w:val="20"/>
                <w:szCs w:val="20"/>
                <w:color w:val="auto"/>
              </w:rPr>
            </w:pPr>
            <w:r>
              <w:rPr>
                <w:rFonts w:ascii="Arial" w:cs="Arial" w:eastAsia="Arial" w:hAnsi="Arial"/>
                <w:sz w:val="16"/>
                <w:szCs w:val="16"/>
                <w:color w:val="auto"/>
              </w:rPr>
              <w:t>$(1.2)</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b w:val="1"/>
                <w:bCs w:val="1"/>
                <w:color w:val="auto"/>
              </w:rPr>
              <w:t xml:space="preserve">Net Income (Loss) Per Share </w:t>
            </w:r>
            <w:r>
              <w:rPr>
                <w:rFonts w:ascii="Arial" w:cs="Arial" w:eastAsia="Arial" w:hAnsi="Arial"/>
                <w:sz w:val="16"/>
                <w:szCs w:val="16"/>
                <w:color w:val="auto"/>
              </w:rPr>
              <w:t>(1)(2)(3)(4)</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8"/>
              </w:rPr>
              <w:t>$(0.39)</w:t>
            </w:r>
          </w:p>
        </w:tc>
        <w:tc>
          <w:tcPr>
            <w:tcW w:w="780" w:type="dxa"/>
            <w:vAlign w:val="bottom"/>
          </w:tcPr>
          <w:p>
            <w:pPr>
              <w:jc w:val="center"/>
              <w:spacing w:after="0"/>
              <w:rPr>
                <w:sz w:val="20"/>
                <w:szCs w:val="20"/>
                <w:color w:val="auto"/>
              </w:rPr>
            </w:pPr>
            <w:r>
              <w:rPr>
                <w:rFonts w:ascii="Arial" w:cs="Arial" w:eastAsia="Arial" w:hAnsi="Arial"/>
                <w:sz w:val="16"/>
                <w:szCs w:val="16"/>
                <w:color w:val="auto"/>
              </w:rPr>
              <w:t>$(0.88)</w:t>
            </w:r>
          </w:p>
        </w:tc>
        <w:tc>
          <w:tcPr>
            <w:tcW w:w="840" w:type="dxa"/>
            <w:vAlign w:val="bottom"/>
          </w:tcPr>
          <w:p>
            <w:pPr>
              <w:jc w:val="center"/>
              <w:spacing w:after="0"/>
              <w:rPr>
                <w:sz w:val="20"/>
                <w:szCs w:val="20"/>
                <w:color w:val="auto"/>
              </w:rPr>
            </w:pPr>
            <w:r>
              <w:rPr>
                <w:rFonts w:ascii="Arial" w:cs="Arial" w:eastAsia="Arial" w:hAnsi="Arial"/>
                <w:sz w:val="16"/>
                <w:szCs w:val="16"/>
                <w:color w:val="auto"/>
              </w:rPr>
              <w:t>+$0.49</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$(0.89)</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$(3.59)</w:t>
            </w:r>
          </w:p>
        </w:tc>
        <w:tc>
          <w:tcPr>
            <w:tcW w:w="880" w:type="dxa"/>
            <w:vAlign w:val="bottom"/>
          </w:tcPr>
          <w:p>
            <w:pPr>
              <w:jc w:val="center"/>
              <w:spacing w:after="0"/>
              <w:rPr>
                <w:sz w:val="20"/>
                <w:szCs w:val="20"/>
                <w:color w:val="auto"/>
              </w:rPr>
            </w:pPr>
            <w:r>
              <w:rPr>
                <w:rFonts w:ascii="Arial" w:cs="Arial" w:eastAsia="Arial" w:hAnsi="Arial"/>
                <w:sz w:val="16"/>
                <w:szCs w:val="16"/>
                <w:color w:val="auto"/>
              </w:rPr>
              <w:t>+$2.70</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rPr>
              <w:t>$0.04</w:t>
            </w:r>
          </w:p>
        </w:tc>
        <w:tc>
          <w:tcPr>
            <w:tcW w:w="900" w:type="dxa"/>
            <w:vAlign w:val="bottom"/>
          </w:tcPr>
          <w:p>
            <w:pPr>
              <w:jc w:val="center"/>
              <w:spacing w:after="0"/>
              <w:rPr>
                <w:sz w:val="20"/>
                <w:szCs w:val="20"/>
                <w:color w:val="auto"/>
              </w:rPr>
            </w:pPr>
            <w:r>
              <w:rPr>
                <w:rFonts w:ascii="Arial" w:cs="Arial" w:eastAsia="Arial" w:hAnsi="Arial"/>
                <w:sz w:val="16"/>
                <w:szCs w:val="16"/>
                <w:color w:val="auto"/>
              </w:rPr>
              <w:t>$(0.17)</w:t>
            </w:r>
          </w:p>
        </w:tc>
        <w:tc>
          <w:tcPr>
            <w:tcW w:w="880" w:type="dxa"/>
            <w:vAlign w:val="bottom"/>
          </w:tcPr>
          <w:p>
            <w:pPr>
              <w:jc w:val="center"/>
              <w:spacing w:after="0"/>
              <w:rPr>
                <w:sz w:val="20"/>
                <w:szCs w:val="20"/>
                <w:color w:val="auto"/>
              </w:rPr>
            </w:pPr>
            <w:r>
              <w:rPr>
                <w:rFonts w:ascii="Arial" w:cs="Arial" w:eastAsia="Arial" w:hAnsi="Arial"/>
                <w:sz w:val="16"/>
                <w:szCs w:val="16"/>
                <w:color w:val="auto"/>
              </w:rPr>
              <w:t>$(0.37)</w:t>
            </w:r>
          </w:p>
        </w:tc>
      </w:tr>
      <w:tr>
        <w:trPr>
          <w:trHeight w:val="48"/>
        </w:trPr>
        <w:tc>
          <w:tcPr>
            <w:tcW w:w="3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(5)</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$0.8</w:t>
            </w:r>
          </w:p>
        </w:tc>
        <w:tc>
          <w:tcPr>
            <w:tcW w:w="780" w:type="dxa"/>
            <w:vAlign w:val="bottom"/>
          </w:tcPr>
          <w:p>
            <w:pPr>
              <w:jc w:val="center"/>
              <w:spacing w:after="0"/>
              <w:rPr>
                <w:sz w:val="20"/>
                <w:szCs w:val="20"/>
                <w:color w:val="auto"/>
              </w:rPr>
            </w:pPr>
            <w:r>
              <w:rPr>
                <w:rFonts w:ascii="Arial" w:cs="Arial" w:eastAsia="Arial" w:hAnsi="Arial"/>
                <w:sz w:val="16"/>
                <w:szCs w:val="16"/>
                <w:color w:val="auto"/>
              </w:rPr>
              <w:t>$0.2</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+$0.6</w:t>
            </w:r>
          </w:p>
        </w:tc>
        <w:tc>
          <w:tcPr>
            <w:tcW w:w="1060" w:type="dxa"/>
            <w:vAlign w:val="bottom"/>
            <w:gridSpan w:val="2"/>
          </w:tcPr>
          <w:p>
            <w:pPr>
              <w:jc w:val="center"/>
              <w:ind w:left="79"/>
              <w:spacing w:after="0"/>
              <w:rPr>
                <w:sz w:val="20"/>
                <w:szCs w:val="20"/>
                <w:color w:val="auto"/>
              </w:rPr>
            </w:pPr>
            <w:r>
              <w:rPr>
                <w:rFonts w:ascii="Arial" w:cs="Arial" w:eastAsia="Arial" w:hAnsi="Arial"/>
                <w:sz w:val="16"/>
                <w:szCs w:val="16"/>
                <w:color w:val="auto"/>
                <w:w w:val="96"/>
              </w:rPr>
              <w:t>$2.2</w:t>
            </w:r>
          </w:p>
        </w:tc>
        <w:tc>
          <w:tcPr>
            <w:tcW w:w="860" w:type="dxa"/>
            <w:vAlign w:val="bottom"/>
          </w:tcPr>
          <w:p>
            <w:pPr>
              <w:jc w:val="center"/>
              <w:spacing w:after="0"/>
              <w:rPr>
                <w:sz w:val="20"/>
                <w:szCs w:val="20"/>
                <w:color w:val="auto"/>
              </w:rPr>
            </w:pPr>
            <w:r>
              <w:rPr>
                <w:rFonts w:ascii="Arial" w:cs="Arial" w:eastAsia="Arial" w:hAnsi="Arial"/>
                <w:sz w:val="16"/>
                <w:szCs w:val="16"/>
                <w:color w:val="auto"/>
              </w:rPr>
              <w:t>$(2.9)</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1040" w:type="dxa"/>
            <w:vAlign w:val="bottom"/>
            <w:gridSpan w:val="3"/>
          </w:tcPr>
          <w:p>
            <w:pPr>
              <w:jc w:val="center"/>
              <w:ind w:left="99"/>
              <w:spacing w:after="0"/>
              <w:rPr>
                <w:sz w:val="20"/>
                <w:szCs w:val="20"/>
                <w:color w:val="auto"/>
              </w:rPr>
            </w:pPr>
            <w:r>
              <w:rPr>
                <w:rFonts w:ascii="Arial" w:cs="Arial" w:eastAsia="Arial" w:hAnsi="Arial"/>
                <w:sz w:val="16"/>
                <w:szCs w:val="16"/>
                <w:color w:val="auto"/>
                <w:w w:val="96"/>
              </w:rPr>
              <w:t>$0.8</w:t>
            </w:r>
          </w:p>
        </w:tc>
        <w:tc>
          <w:tcPr>
            <w:tcW w:w="900" w:type="dxa"/>
            <w:vAlign w:val="bottom"/>
          </w:tcPr>
          <w:p>
            <w:pPr>
              <w:jc w:val="center"/>
              <w:spacing w:after="0"/>
              <w:rPr>
                <w:sz w:val="20"/>
                <w:szCs w:val="20"/>
                <w:color w:val="auto"/>
              </w:rPr>
            </w:pPr>
            <w:r>
              <w:rPr>
                <w:rFonts w:ascii="Arial" w:cs="Arial" w:eastAsia="Arial" w:hAnsi="Arial"/>
                <w:sz w:val="16"/>
                <w:szCs w:val="16"/>
                <w:color w:val="auto"/>
              </w:rPr>
              <w:t>$0.5</w:t>
            </w:r>
          </w:p>
        </w:tc>
        <w:tc>
          <w:tcPr>
            <w:tcW w:w="880" w:type="dxa"/>
            <w:vAlign w:val="bottom"/>
          </w:tcPr>
          <w:p>
            <w:pPr>
              <w:jc w:val="center"/>
              <w:spacing w:after="0"/>
              <w:rPr>
                <w:sz w:val="20"/>
                <w:szCs w:val="20"/>
                <w:color w:val="auto"/>
              </w:rPr>
            </w:pPr>
            <w:r>
              <w:rPr>
                <w:rFonts w:ascii="Arial" w:cs="Arial" w:eastAsia="Arial" w:hAnsi="Arial"/>
                <w:sz w:val="16"/>
                <w:szCs w:val="16"/>
                <w:color w:val="auto"/>
              </w:rPr>
              <w:t>$0.2</w:t>
            </w:r>
          </w:p>
        </w:tc>
      </w:tr>
    </w:tbl>
    <w:p>
      <w:pPr>
        <w:spacing w:after="0" w:line="43" w:lineRule="exact"/>
        <w:rPr>
          <w:sz w:val="20"/>
          <w:szCs w:val="20"/>
          <w:color w:val="auto"/>
        </w:rPr>
      </w:pPr>
    </w:p>
    <w:p>
      <w:pPr>
        <w:ind w:left="80" w:right="280" w:firstLine="2"/>
        <w:spacing w:after="0" w:line="245"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Voltrek earnout expenses were $0.3M in Q1'25, $0.6M in Q2'25, $0.5M in Q3'25, $0.5M in Q4'25, $0.0M in Q1'26, Q2'26, Q3'26, and $1.7M in Q4'26.</w:t>
      </w:r>
    </w:p>
    <w:p>
      <w:pPr>
        <w:ind w:left="360" w:hanging="278"/>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Q4'26 included $1.1M of expenses for the non-cash write-off of solar assets.</w:t>
      </w:r>
    </w:p>
    <w:p>
      <w:pPr>
        <w:ind w:left="80" w:right="700" w:firstLine="2"/>
        <w:spacing w:after="0" w:line="234"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Q1'25 and Q2'25 also included $0.4M and $0.3M, respectively, of maintenance division restructuring costs. Q1'26 had $0.6M of executive sign-on bonus and severance expenses.</w:t>
      </w:r>
    </w:p>
    <w:p>
      <w:pPr>
        <w:spacing w:after="0" w:line="1" w:lineRule="exact"/>
        <w:rPr>
          <w:rFonts w:ascii="Arial" w:cs="Arial" w:eastAsia="Arial" w:hAnsi="Arial"/>
          <w:sz w:val="18"/>
          <w:szCs w:val="18"/>
          <w:color w:val="auto"/>
        </w:rPr>
      </w:pPr>
    </w:p>
    <w:p>
      <w:pPr>
        <w:ind w:left="360" w:hanging="278"/>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Q4'26 revenue included $1.3M associated with amending a solar energy contract that had no associated cost of goods.</w:t>
      </w:r>
    </w:p>
    <w:p>
      <w:pPr>
        <w:ind w:left="360" w:hanging="278"/>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reconciliation provided below.</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Commentary from CEO Sally Washlow</w:t>
      </w: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“It is extremely gratifying to complete my first year as CEO of Orion. In the space of a year, we have gone from a turnaround to a growth company. We have maintained our Nasdaq listing, strengthened our balance sheet, completed our Voltrek earnout payments, extended our credit agreement and embarked on a demonstrable trajectory of profitable growth and margin expansion.</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9"/>
          <w:szCs w:val="19"/>
          <w:color w:val="auto"/>
        </w:rPr>
        <w:t>“We have seen both growth and resilience in new and existing large customers in the automotive, retail and public sectors. Deployments of LED lighting have become bigger and more numerous, illustrating customer relationships that have broadened and deepened.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“We expect continued growth in revenue and profitability in FY’27.</w:t>
      </w:r>
    </w:p>
    <w:p>
      <w:pPr>
        <w:spacing w:after="0" w:line="227"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“Growth, increasing profitability and continued market expansion are our expected themes for FY’27. As I’ve said before: I expect it, our team expects it and our shareholders expect it.</w:t>
      </w:r>
    </w:p>
    <w:p>
      <w:pPr>
        <w:spacing w:after="0" w:line="156"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“And as I mark the completion of my inaugural year as Orion’s Chief Executive Officer, I’d like to express my sincere appreciation to our shareholders, partners and employees for your continued support of our company.” said Ms. Washlow.</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Q4’26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0" w:right="39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 A $21M array of electrical contracting engagements distributed among seven customers.</w:t>
      </w:r>
    </w:p>
    <w:p>
      <w:pPr>
        <w:spacing w:after="0" w:line="227"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 A previously announced $42M-$45M three-year renewal of our preventative maintenance contract for 2,050 big-box retail outlets, as well as another $14M-$15M contract for exterior lighting work for this customer.</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 A $10M array of 80 EV charging station installations dispersed from the Northeast, to the Carolinas to California.</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 A $4M project to install 105 EV charging stations for the Boston Public Schools, one of the largest school districts in the nation.</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 A $3.6M electrical infrastructure and LED lighting engagement for a leading international lab-based testing company.</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 A $3.1M electrical contracting engagement, representing a follow-on project in an ongoing scope of work for a longtime customer.</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 A $3M lighting and electrical infrastructure engagement with one of the leading food-service enterprises in the United States.</w:t>
      </w:r>
    </w:p>
    <w:p>
      <w:pPr>
        <w:spacing w:after="0" w:line="227"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 The roll-out of Orion’s new On-Site Battery Storage System for industrial, commercial and public sector enterprises. The product is being deployed in 10 locations in California.</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 A public offering with net proceeds of $6.4M that served to bolster the Company’s balance sheet.</w:t>
      </w:r>
    </w:p>
    <w:p>
      <w:pPr>
        <w:spacing w:after="0" w:line="227"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In operations, we continued to maintain gross margin of about 31% as we recorded positive adjusted EBITDA for the sixth quarter in a row.</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Q4’26 and FY’26 Financial Results</w:t>
      </w:r>
    </w:p>
    <w:p>
      <w:pPr>
        <w:spacing w:after="0" w:line="214" w:lineRule="exact"/>
        <w:rPr>
          <w:sz w:val="20"/>
          <w:szCs w:val="20"/>
          <w:color w:val="auto"/>
        </w:rPr>
      </w:pPr>
    </w:p>
    <w:p>
      <w:pPr>
        <w:ind w:left="20" w:hanging="9"/>
        <w:spacing w:after="0" w:line="266" w:lineRule="auto"/>
        <w:rPr>
          <w:sz w:val="20"/>
          <w:szCs w:val="20"/>
          <w:color w:val="auto"/>
        </w:rPr>
      </w:pPr>
      <w:r>
        <w:rPr>
          <w:rFonts w:ascii="Arial" w:cs="Arial" w:eastAsia="Arial" w:hAnsi="Arial"/>
          <w:sz w:val="18"/>
          <w:szCs w:val="18"/>
          <w:color w:val="auto"/>
        </w:rPr>
        <w:t>Orion’s Q4’26 revenue was $25.7M versus $20.9M in Q4’25, while Q4’26 gross margin was 37.0% versus 27.5% in Q4’25. The Company’s net loss in Q4’26 improved to $1.5M versus a net loss of $2.9M in Q4’25. The Company achieved Q4’26 adjusted EBITDA of $0.8M — marking its sixth consecutive quarter of positive adjusted EBITDA — compared to adjusted EBITDA of $0.2M in Q4’25. Orion’s Q4’26 revenue included $1.3M associated with amending a solar energy contract that had no associated cost of goods.</w:t>
      </w:r>
    </w:p>
    <w:p>
      <w:pPr>
        <w:spacing w:after="0" w:line="176" w:lineRule="exact"/>
        <w:rPr>
          <w:sz w:val="20"/>
          <w:szCs w:val="20"/>
          <w:color w:val="auto"/>
        </w:rPr>
      </w:pPr>
    </w:p>
    <w:p>
      <w:pPr>
        <w:ind w:left="20" w:right="120" w:hanging="9"/>
        <w:spacing w:after="0" w:line="254" w:lineRule="auto"/>
        <w:rPr>
          <w:sz w:val="20"/>
          <w:szCs w:val="20"/>
          <w:color w:val="auto"/>
        </w:rPr>
      </w:pPr>
      <w:r>
        <w:rPr>
          <w:rFonts w:ascii="Arial" w:cs="Arial" w:eastAsia="Arial" w:hAnsi="Arial"/>
          <w:sz w:val="19"/>
          <w:szCs w:val="19"/>
          <w:color w:val="auto"/>
        </w:rPr>
        <w:t>Orion’s FY’26 revenue was $86.3M versus $79.7M in FY’25, while FY’26 gross margin was 32.6% versus 25.4% in FY’25. The Company’s net loss in FY’26 improved to $3.2M, compared to a net loss of $11.8M in FY’25. The Company achieved FY’26 adjusted EBITDA of $2.2M, compared to adjusted EBITDA of $(2.9M) in FY’25.</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Orion also reported the following segment performance:</w:t>
      </w:r>
    </w:p>
    <w:p>
      <w:pPr>
        <w:spacing w:after="0" w:line="92" w:lineRule="exact"/>
        <w:rPr>
          <w:sz w:val="20"/>
          <w:szCs w:val="20"/>
          <w:color w:val="auto"/>
        </w:rPr>
      </w:pPr>
    </w:p>
    <w:p>
      <w:pPr>
        <w:ind w:left="1020" w:right="40" w:hanging="503"/>
        <w:spacing w:after="0" w:line="274"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LED lighting revenue increased approximately 86% to $20.3M in Q4’26 compared to $10.9M in Q4’25, and $55.9M in FY’26 compared to $47.7M in FY ’25, reflecting increased large project activity. Orion’s expanded project pipeline, as well as efforts to drive growth in its distribution business, contributed to higher FY’26 LED lighting revenue compared to FY’25.</w:t>
      </w:r>
    </w:p>
    <w:p>
      <w:pPr>
        <w:spacing w:after="0" w:line="46" w:lineRule="exact"/>
        <w:rPr>
          <w:rFonts w:ascii="Times New Roman" w:cs="Times New Roman" w:eastAsia="Times New Roman" w:hAnsi="Times New Roman"/>
          <w:sz w:val="18"/>
          <w:szCs w:val="18"/>
          <w:color w:val="auto"/>
        </w:rPr>
      </w:pPr>
    </w:p>
    <w:p>
      <w:pPr>
        <w:ind w:left="1020" w:right="80" w:hanging="503"/>
        <w:spacing w:after="0" w:line="253"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Maintenance services revenue decreased 23% to $3.2M in Q4’26 from $4.1M in Q4’25, and increased 6% to $16.0M in FY’26 from $15.2M in FY’25, reflecting the benefit of new customer contracts, as well as the expansion of certain existing customer relationships.</w:t>
      </w:r>
    </w:p>
    <w:p>
      <w:pPr>
        <w:spacing w:after="0" w:line="64" w:lineRule="exact"/>
        <w:rPr>
          <w:rFonts w:ascii="Times New Roman" w:cs="Times New Roman" w:eastAsia="Times New Roman" w:hAnsi="Times New Roman"/>
          <w:sz w:val="19"/>
          <w:szCs w:val="19"/>
          <w:color w:val="auto"/>
        </w:rPr>
      </w:pPr>
    </w:p>
    <w:p>
      <w:pPr>
        <w:ind w:left="1020" w:hanging="503"/>
        <w:spacing w:after="0" w:line="248"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EV charging solutions revenue was $2.3M in Q4’26 compared to $5.8M in Q4’25, as well as $14.4M in FY’26 compared to $16.8M in FY’25, reflecting the variability in timing of larger projects. Given current uncertainty around the near-term scope, pace and funding availability for EV charging projects, Orion announced previously that it expected recorded segment revenues to be relatively flat to slightly lower in FY’26 vs. FY’25.</w:t>
      </w:r>
    </w:p>
    <w:p>
      <w:pPr>
        <w:spacing w:after="0" w:line="68" w:lineRule="exact"/>
        <w:rPr>
          <w:sz w:val="20"/>
          <w:szCs w:val="20"/>
          <w:color w:val="auto"/>
        </w:rPr>
      </w:pPr>
    </w:p>
    <w:p>
      <w:pPr>
        <w:ind w:left="20" w:right="360"/>
        <w:spacing w:after="0" w:line="270" w:lineRule="auto"/>
        <w:rPr>
          <w:sz w:val="20"/>
          <w:szCs w:val="20"/>
          <w:color w:val="auto"/>
        </w:rPr>
      </w:pPr>
      <w:r>
        <w:rPr>
          <w:rFonts w:ascii="Arial" w:cs="Arial" w:eastAsia="Arial" w:hAnsi="Arial"/>
          <w:sz w:val="19"/>
          <w:szCs w:val="19"/>
          <w:color w:val="auto"/>
        </w:rPr>
        <w:t>Orion’s Q4’26 gross margin was 37.0% versus 27.5% in Q4’25, as well as 32.6% in FY’26 versus 25.4% in FY’25, primarily due to pricing and cost improvements across all three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4" w:right="359" w:bottom="1440" w:gutter="0" w:footer="0" w:header="0"/>
        </w:sectPr>
      </w:pPr>
    </w:p>
    <w:bookmarkStart w:id="6" w:name="page7"/>
    <w:bookmarkEnd w:id="6"/>
    <w:p>
      <w:pPr>
        <w:ind w:left="20"/>
        <w:spacing w:after="0" w:line="248" w:lineRule="auto"/>
        <w:rPr>
          <w:sz w:val="20"/>
          <w:szCs w:val="20"/>
          <w:color w:val="auto"/>
        </w:rPr>
      </w:pPr>
      <w:r>
        <w:rPr>
          <w:rFonts w:ascii="Arial" w:cs="Arial" w:eastAsia="Arial" w:hAnsi="Arial"/>
          <w:sz w:val="19"/>
          <w:szCs w:val="19"/>
          <w:color w:val="auto"/>
        </w:rPr>
        <w:t>Total operating expenses increased to $10.3M in Q4’26 from $8.4M in Q4’25, and decreased to $29.7M in FY’26 from $30.8M in FY’25, reflecting ongoing efforts to reduce infrastructure and personnel expenses. Q4’26 operating expenses included $1.7M to reflect the final Voltrek earnout liability, $1.1M for the non-cash write-off of solar assets and a $0.6M loss on extinguishment of subordinated debt.</w:t>
      </w:r>
    </w:p>
    <w:p>
      <w:pPr>
        <w:spacing w:after="0" w:line="69" w:lineRule="exact"/>
        <w:rPr>
          <w:sz w:val="20"/>
          <w:szCs w:val="20"/>
          <w:color w:val="auto"/>
        </w:rPr>
      </w:pPr>
    </w:p>
    <w:p>
      <w:pPr>
        <w:ind w:left="20" w:right="100"/>
        <w:spacing w:after="0" w:line="245" w:lineRule="auto"/>
        <w:rPr>
          <w:sz w:val="20"/>
          <w:szCs w:val="20"/>
          <w:color w:val="auto"/>
        </w:rPr>
      </w:pPr>
      <w:r>
        <w:rPr>
          <w:rFonts w:ascii="Arial" w:cs="Arial" w:eastAsia="Arial" w:hAnsi="Arial"/>
          <w:sz w:val="19"/>
          <w:szCs w:val="19"/>
          <w:color w:val="auto"/>
        </w:rPr>
        <w:t>Primarily reflecting stronger gross margin and lower operating expenses, Orion’s Q4’26 net loss improved to $1.5M, or $0.39 per share, versus a net loss of $2.9M, or $0.88 per share, in Q4’25. Orion’s adjusted EBITDA improved to $0.8M in Q4’26 compared to $0.2M in Q4’25, reflecting the benefit of the Company’s financial discipline. For the full fiscal year, Orion’s FY’26 net loss improved to $3.2M, or $0.89 per share, versus a net loss of $11.8M, or $3.59 per share, in FY’25. Orion’s adjusted EBITDA improved significantly to $2.2M in FY’26, compared to $(2.9M) in FY’25, reflecting the benefit of the Company’s financial discipline</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Balance Sheet and Cash Flow</w:t>
      </w:r>
    </w:p>
    <w:p>
      <w:pPr>
        <w:spacing w:after="0" w:line="214" w:lineRule="exact"/>
        <w:rPr>
          <w:sz w:val="20"/>
          <w:szCs w:val="20"/>
          <w:color w:val="auto"/>
        </w:rPr>
      </w:pPr>
    </w:p>
    <w:p>
      <w:pPr>
        <w:jc w:val="both"/>
        <w:ind w:left="20" w:right="160" w:hanging="9"/>
        <w:spacing w:after="0" w:line="254" w:lineRule="auto"/>
        <w:rPr>
          <w:sz w:val="20"/>
          <w:szCs w:val="20"/>
          <w:color w:val="auto"/>
        </w:rPr>
      </w:pPr>
      <w:r>
        <w:rPr>
          <w:rFonts w:ascii="Arial" w:cs="Arial" w:eastAsia="Arial" w:hAnsi="Arial"/>
          <w:sz w:val="19"/>
          <w:szCs w:val="19"/>
          <w:color w:val="auto"/>
        </w:rPr>
        <w:t>Orion used $1.1M of cash in operating activities in FY'26 versus operating activities providing $0.6M in cash in FY’25, principally due to significantly improved bottom line results in the current period. Orion also paid down $4.0M on its revolving credit facility in FY’26, bringing outstanding borrowings to $3.0M as of the end of FY’26.</w:t>
      </w:r>
    </w:p>
    <w:p>
      <w:pPr>
        <w:spacing w:after="0" w:line="184" w:lineRule="exact"/>
        <w:rPr>
          <w:sz w:val="20"/>
          <w:szCs w:val="20"/>
          <w:color w:val="auto"/>
        </w:rPr>
      </w:pPr>
    </w:p>
    <w:p>
      <w:pPr>
        <w:ind w:left="20" w:hanging="9"/>
        <w:spacing w:after="0" w:line="245" w:lineRule="auto"/>
        <w:rPr>
          <w:sz w:val="20"/>
          <w:szCs w:val="20"/>
          <w:color w:val="auto"/>
        </w:rPr>
      </w:pPr>
      <w:r>
        <w:rPr>
          <w:rFonts w:ascii="Arial" w:cs="Arial" w:eastAsia="Arial" w:hAnsi="Arial"/>
          <w:sz w:val="19"/>
          <w:szCs w:val="19"/>
          <w:color w:val="auto"/>
        </w:rPr>
        <w:t>Orion ended the quarter and the full fiscal year with current assets of $37.7M, including $3.3M of cash, $16.3M of accounts receivable, $6.4M of revenue earned but not billed, and $10.3M of inventories. Net of current liabilities, working capital was $11.0M at March 31, 2026, compared to $8.7M at March 31, 2025. Orion’s financial liquidity at March 31, 2026 was $15.4M as compared to $13.0M at year-end FY’25. In addition, Orion recently extended the maturity date of its revolving credit facility from June 30, 2027, to June 30, 2030.</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Orion Energy Systems</w:t>
      </w:r>
    </w:p>
    <w:p>
      <w:pPr>
        <w:spacing w:after="0" w:line="16" w:lineRule="exact"/>
        <w:rPr>
          <w:sz w:val="20"/>
          <w:szCs w:val="20"/>
          <w:color w:val="auto"/>
        </w:rPr>
      </w:pPr>
    </w:p>
    <w:p>
      <w:pPr>
        <w:ind w:left="20" w:right="40" w:hanging="9"/>
        <w:spacing w:after="0"/>
        <w:rPr>
          <w:sz w:val="20"/>
          <w:szCs w:val="20"/>
          <w:color w:val="auto"/>
        </w:rPr>
      </w:pPr>
      <w:r>
        <w:rPr>
          <w:rFonts w:ascii="Arial" w:cs="Arial" w:eastAsia="Arial" w:hAnsi="Arial"/>
          <w:sz w:val="19"/>
          <w:szCs w:val="19"/>
          <w:color w:val="auto"/>
        </w:rPr>
        <w:t>Orion provides energy efficiency and clean tech solutions, including LED lighting and controls, electrical vehicle (EV) charging solutions, and maintenance services. Orion specializes in turnkey design-through-installation solutions for large national customers as well as projects through ESCO and distribution partners, with a commitment to helping customers achieve their business and environmental goals with healthy, safe, and sustainable solutions that reduce their carbon footprint and enhance business performance.</w:t>
      </w:r>
    </w:p>
    <w:p>
      <w:pPr>
        <w:spacing w:after="0" w:line="199" w:lineRule="exact"/>
        <w:rPr>
          <w:sz w:val="20"/>
          <w:szCs w:val="20"/>
          <w:color w:val="auto"/>
        </w:rPr>
      </w:pPr>
    </w:p>
    <w:p>
      <w:pPr>
        <w:ind w:left="20" w:right="820" w:hanging="9"/>
        <w:spacing w:after="0" w:line="270" w:lineRule="auto"/>
        <w:rPr>
          <w:sz w:val="20"/>
          <w:szCs w:val="20"/>
          <w:color w:val="auto"/>
        </w:rPr>
      </w:pPr>
      <w:r>
        <w:rPr>
          <w:rFonts w:ascii="Arial" w:cs="Arial" w:eastAsia="Arial" w:hAnsi="Arial"/>
          <w:sz w:val="19"/>
          <w:szCs w:val="19"/>
          <w:color w:val="auto"/>
        </w:rPr>
        <w:t>Orion is committed to operating responsibly throughout all areas of our organization. Learn more about our sustainability and governance priorities, goals and progress here, or visit our website at www.orionlighting.com.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-45720</wp:posOffset>
            </wp:positionV>
            <wp:extent cx="240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3713480</wp:posOffset>
            </wp:positionH>
            <wp:positionV relativeFrom="paragraph">
              <wp:posOffset>-45720</wp:posOffset>
            </wp:positionV>
            <wp:extent cx="12007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Measures</w:t>
      </w:r>
    </w:p>
    <w:p>
      <w:pPr>
        <w:spacing w:after="0" w:line="29"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color w:val="auto"/>
        </w:rPr>
        <w:t>In addition to the GAAP results included in this presentation, Orion has also included the non-GAAP measures, EBITDA (earnings before interest, taxes, depreciation and amortization), and Adjusted EBITDA (EBITDA adjusted for stock-based compensation, acquisition related costs, deferred financing costs, restructuring and severance costs, asset impairment and, earnout expenses). The Company has provided these non-GAAP measures to help investors better understand its core operating performance, enhance comparisons of core operating performance from period to period, and allow better comparisons of operating performance to its competitors. Among other things, management uses these non-GAAP measures to evaluate the performance of the business and believes these measurements enable it to make better period-to-period evaluations of the financial performance of core business operations. The non-GAAP measurements are intended only as a supplement to the comparable GAAP measurements and Orion compensates for the limitations inherent in the use of non-GAAP measurements by using GAAP measures in conjunction with the non-GAAP measurements. As a result, investors should consider these non-GAAP measurements in addition to, and not in substitution for or as superior to, measurements of financial performance prepared in accordance with generally accepted accounting principles.</w:t>
      </w:r>
    </w:p>
    <w:p>
      <w:pPr>
        <w:spacing w:after="0" w:line="190" w:lineRule="exact"/>
        <w:rPr>
          <w:sz w:val="20"/>
          <w:szCs w:val="20"/>
          <w:color w:val="auto"/>
        </w:rPr>
      </w:pPr>
    </w:p>
    <w:p>
      <w:pPr>
        <w:ind w:right="320"/>
        <w:spacing w:after="0" w:line="254" w:lineRule="auto"/>
        <w:rPr>
          <w:sz w:val="20"/>
          <w:szCs w:val="20"/>
          <w:color w:val="auto"/>
        </w:rPr>
      </w:pPr>
      <w:r>
        <w:rPr>
          <w:rFonts w:ascii="Arial" w:cs="Arial" w:eastAsia="Arial" w:hAnsi="Arial"/>
          <w:sz w:val="19"/>
          <w:szCs w:val="19"/>
          <w:color w:val="auto"/>
        </w:rPr>
        <w:t>Consistent with Regulation G under the U.S. federal securities laws, the non-GAAP measures in this press release have been reconciled to the nearest GAAP measures, and this reconciliation is located under the heading “Unaudited EBITDA Reconciliation” following the Unaudited Condensed Consolidated Statements of Cash Flows included in this press release.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7" w:name="page8"/>
    <w:bookmarkEnd w:id="7"/>
    <w:p>
      <w:pPr>
        <w:ind w:left="20" w:right="60" w:hanging="9"/>
        <w:spacing w:after="0" w:line="251" w:lineRule="auto"/>
        <w:rPr>
          <w:sz w:val="20"/>
          <w:szCs w:val="20"/>
          <w:color w:val="auto"/>
        </w:rPr>
      </w:pPr>
      <w:r>
        <w:rPr>
          <w:rFonts w:ascii="Arial" w:cs="Arial" w:eastAsia="Arial" w:hAnsi="Arial"/>
          <w:sz w:val="18"/>
          <w:szCs w:val="18"/>
          <w:i w:val="1"/>
          <w:iCs w:val="1"/>
          <w:color w:val="auto"/>
        </w:rPr>
        <w:t>Certain matters discussed in this press release are "forward-looking statements" intended to qualify for the safe harbor from liability established by the Private Securities Litigation Reform Act of 1995. These forward-looking statements may generally be identified as such because the context of such statements will include words such as "anticipate," "believe," "could," "estimate," "expect," "intend," "may," "plan," "potential," "predict," "project," "should," "will," "would" or words of similar import. Similarly, statements that describe our future outlook, plans, expectations, objectives or goals are also forward-looking statements. Such forward-looking statements are subject to certain risks and uncertainties that could cause results to differ materially from those expected, including, but not limited to, the following: (i) our ability to achieve our budgeted fiscal 2027 revenue expectations, and related public fiscal 2027 revenue guidance, will have a significant impact on our cash flow and stock price and ability to fund our operations and satisfy our debt obligations; (ii) we are currently implementing a new ERP system, which will involve substantial cost and potential disruption to our normal operations; our inability to successfully manage the implementation of our new ERP system could adversely affect our ability to operate our business and otherwise negatively affect our financial reporting and the effectiveness of our internal control over financial reporting; (iii) government tariffs and other actions have adversely affected, and may continue to adversely affect, our business, resulting in increased costs and reduced gross margins; (iv) the reduction or elimination of incentives from the United States government for investments in electric vehicle (“EV”) charging infrastructure may reduce demand for public EV charging products, in addition to reducing overall demand for EVs; (v) we do not have major sources of recurring revenue, a substantial portion of our revenues is derived from major project-based retrofit work that is awarded through a competitive bid process and we depend upon a limited number of customers in any given period to generate a substantial portion of our revenue, and it is generally difficult to predict the timing of projects that will be awarded, which can impact our ability to achieve our expected financial results; (vi)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(xiii) the reduction or elimination of investments in, or incentives to adopt, light emitting diode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 (vii) we are experiencing ongoing increasing pressures to reduce the average selling price of our products and related negative impact on our gross margins, driven largely by the ongoing increase in competition from foreign competitors; (viii) our products use components and raw materials that may be subject to price fluctuations, shortages or interruptions of supply, particularly resulting from tariffs and other trade restrictions; (ix) we increasingly rely on third-party manufacturers for the manufacture and development of our products and product components; (x) we are subject to the risk of a cybersecurity breach; (xi) macroeconomic pressures in the markets in which we operate may adversely affect our financial results; (xii) adverse conditions in the global economy, including due to changes in diplomatic and trade relationships, have negatively impacted, and could in the future negatively impact, our customers, suppliers and business; (xiii) the success of our LED lighting retrofit solutions depends, in part, on our ability to claim market share away from our competitors; and (xiv) the other risks described in our filings with the Securities and Exchange Commission. Shareholders, potential investors and other readers are urged to consider these factors carefully in evaluating the forward-looking statements and are cautioned not to place undue reliance on such forward-looking statements. The forward-looking statements made herein are made only as of the date of this press release and we undertake no obligation to publicly update any forward-looking statements, whether as a result of new information, future events or otherwise. More detailed information about factors that may affect our performance may be found in our filings with the Securities and Exchange Commission, which are available at http://www.sec.gov or at http://investor.oriones.com in the Investor Relations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116205</wp:posOffset>
            </wp:positionV>
            <wp:extent cx="2754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Engage with Us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0432FF"/>
        </w:rPr>
        <w:t>@OrionLighting</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color w:val="0432FF"/>
        </w:rPr>
        <w:t>@OrionLightingIR</w:t>
      </w:r>
    </w:p>
    <w:p>
      <w:pPr>
        <w:spacing w:after="0"/>
        <w:rPr>
          <w:sz w:val="20"/>
          <w:szCs w:val="20"/>
          <w:color w:val="auto"/>
        </w:rPr>
      </w:pPr>
      <w:r>
        <w:rPr>
          <w:rFonts w:ascii="Arial" w:cs="Arial" w:eastAsia="Arial" w:hAnsi="Arial"/>
          <w:sz w:val="19"/>
          <w:szCs w:val="19"/>
          <w:b w:val="1"/>
          <w:bCs w:val="1"/>
          <w:color w:val="auto"/>
        </w:rPr>
        <w:t xml:space="preserve">StockTwits: </w:t>
      </w:r>
      <w:r>
        <w:rPr>
          <w:rFonts w:ascii="Arial" w:cs="Arial" w:eastAsia="Arial" w:hAnsi="Arial"/>
          <w:sz w:val="19"/>
          <w:szCs w:val="19"/>
          <w:color w:val="0432FF"/>
        </w:rPr>
        <w:t>@OESX_IR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gridSpan w:val="3"/>
          </w:tcPr>
          <w:p>
            <w:pPr>
              <w:ind w:left="20"/>
              <w:spacing w:after="0"/>
              <w:rPr>
                <w:sz w:val="20"/>
                <w:szCs w:val="20"/>
                <w:color w:val="auto"/>
              </w:rPr>
            </w:pPr>
            <w:r>
              <w:rPr>
                <w:rFonts w:ascii="Arial" w:cs="Arial" w:eastAsia="Arial" w:hAnsi="Arial"/>
                <w:sz w:val="19"/>
                <w:szCs w:val="19"/>
                <w:b w:val="1"/>
                <w:bCs w:val="1"/>
                <w:color w:val="auto"/>
              </w:rPr>
              <w:t>Investor Relations Contacts</w:t>
            </w:r>
          </w:p>
        </w:tc>
        <w:tc>
          <w:tcPr>
            <w:tcW w:w="2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spacing w:after="0"/>
              <w:rPr>
                <w:sz w:val="20"/>
                <w:szCs w:val="20"/>
                <w:color w:val="auto"/>
              </w:rPr>
            </w:pPr>
            <w:r>
              <w:rPr>
                <w:rFonts w:ascii="Arial" w:cs="Arial" w:eastAsia="Arial" w:hAnsi="Arial"/>
                <w:sz w:val="19"/>
                <w:szCs w:val="19"/>
                <w:color w:val="auto"/>
              </w:rPr>
              <w:t>Per Brodin, CFO</w:t>
            </w:r>
          </w:p>
        </w:tc>
        <w:tc>
          <w:tcPr>
            <w:tcW w:w="8040" w:type="dxa"/>
            <w:vAlign w:val="bottom"/>
            <w:gridSpan w:val="3"/>
          </w:tcPr>
          <w:p>
            <w:pPr>
              <w:ind w:left="700"/>
              <w:spacing w:after="0"/>
              <w:rPr>
                <w:sz w:val="20"/>
                <w:szCs w:val="20"/>
                <w:color w:val="auto"/>
              </w:rPr>
            </w:pPr>
            <w:r>
              <w:rPr>
                <w:rFonts w:ascii="Arial" w:cs="Arial" w:eastAsia="Arial" w:hAnsi="Arial"/>
                <w:sz w:val="19"/>
                <w:szCs w:val="19"/>
                <w:color w:val="auto"/>
              </w:rPr>
              <w:t>Robert Ferri</w:t>
            </w:r>
          </w:p>
        </w:tc>
      </w:tr>
      <w:tr>
        <w:trPr>
          <w:trHeight w:val="243"/>
        </w:trPr>
        <w:tc>
          <w:tcPr>
            <w:tcW w:w="40" w:type="dxa"/>
            <w:vAlign w:val="bottom"/>
          </w:tcPr>
          <w:p>
            <w:pPr>
              <w:spacing w:after="0"/>
              <w:rPr>
                <w:sz w:val="21"/>
                <w:szCs w:val="21"/>
                <w:color w:val="auto"/>
              </w:rPr>
            </w:pPr>
          </w:p>
        </w:tc>
        <w:tc>
          <w:tcPr>
            <w:tcW w:w="3160" w:type="dxa"/>
            <w:vAlign w:val="bottom"/>
            <w:gridSpan w:val="2"/>
          </w:tcPr>
          <w:p>
            <w:pPr>
              <w:spacing w:after="0"/>
              <w:rPr>
                <w:sz w:val="20"/>
                <w:szCs w:val="20"/>
                <w:color w:val="auto"/>
              </w:rPr>
            </w:pPr>
            <w:r>
              <w:rPr>
                <w:rFonts w:ascii="Arial" w:cs="Arial" w:eastAsia="Arial" w:hAnsi="Arial"/>
                <w:sz w:val="19"/>
                <w:szCs w:val="19"/>
                <w:color w:val="auto"/>
              </w:rPr>
              <w:t>Orion Energy Systems, Inc.</w:t>
            </w:r>
          </w:p>
        </w:tc>
        <w:tc>
          <w:tcPr>
            <w:tcW w:w="8040" w:type="dxa"/>
            <w:vAlign w:val="bottom"/>
            <w:gridSpan w:val="3"/>
          </w:tcPr>
          <w:p>
            <w:pPr>
              <w:ind w:left="700"/>
              <w:spacing w:after="0"/>
              <w:rPr>
                <w:sz w:val="20"/>
                <w:szCs w:val="20"/>
                <w:color w:val="auto"/>
              </w:rPr>
            </w:pPr>
            <w:r>
              <w:rPr>
                <w:rFonts w:ascii="Arial" w:cs="Arial" w:eastAsia="Arial" w:hAnsi="Arial"/>
                <w:sz w:val="19"/>
                <w:szCs w:val="19"/>
                <w:color w:val="auto"/>
              </w:rPr>
              <w:t>Robert Ferri Partners</w:t>
            </w:r>
          </w:p>
        </w:tc>
      </w:tr>
      <w:tr>
        <w:trPr>
          <w:trHeight w:val="203"/>
        </w:trPr>
        <w:tc>
          <w:tcPr>
            <w:tcW w:w="4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Arial" w:cs="Arial" w:eastAsia="Arial" w:hAnsi="Arial"/>
                <w:sz w:val="19"/>
                <w:szCs w:val="19"/>
                <w:color w:val="0432FF"/>
              </w:rPr>
              <w:t>pbrodin@oesx.com</w:t>
            </w:r>
          </w:p>
        </w:tc>
        <w:tc>
          <w:tcPr>
            <w:tcW w:w="8040" w:type="dxa"/>
            <w:vAlign w:val="bottom"/>
            <w:gridSpan w:val="3"/>
          </w:tcPr>
          <w:p>
            <w:pPr>
              <w:ind w:left="700"/>
              <w:spacing w:after="0" w:line="203" w:lineRule="exact"/>
              <w:rPr>
                <w:sz w:val="20"/>
                <w:szCs w:val="20"/>
                <w:color w:val="auto"/>
              </w:rPr>
            </w:pPr>
            <w:r>
              <w:rPr>
                <w:rFonts w:ascii="Arial" w:cs="Arial" w:eastAsia="Arial" w:hAnsi="Arial"/>
                <w:sz w:val="19"/>
                <w:szCs w:val="19"/>
                <w:color w:val="auto"/>
              </w:rPr>
              <w:t xml:space="preserve">(415) 575-1589 or </w:t>
            </w:r>
            <w:r>
              <w:rPr>
                <w:rFonts w:ascii="Arial" w:cs="Arial" w:eastAsia="Arial" w:hAnsi="Arial"/>
                <w:sz w:val="19"/>
                <w:szCs w:val="19"/>
                <w:color w:val="0432FF"/>
              </w:rPr>
              <w:t>ir@oesx.com</w:t>
            </w:r>
          </w:p>
        </w:tc>
      </w:tr>
      <w:tr>
        <w:trPr>
          <w:trHeight w:val="1040"/>
        </w:trPr>
        <w:tc>
          <w:tcPr>
            <w:tcW w:w="40" w:type="dxa"/>
            <w:vAlign w:val="bottom"/>
            <w:tcBorders>
              <w:bottom w:val="single" w:sz="8" w:color="9A9A9A"/>
            </w:tcBorders>
          </w:tcPr>
          <w:p>
            <w:pPr>
              <w:spacing w:after="0"/>
              <w:rPr>
                <w:sz w:val="24"/>
                <w:szCs w:val="24"/>
                <w:color w:val="auto"/>
              </w:rPr>
            </w:pPr>
          </w:p>
        </w:tc>
        <w:tc>
          <w:tcPr>
            <w:tcW w:w="1640" w:type="dxa"/>
            <w:vAlign w:val="bottom"/>
            <w:tcBorders>
              <w:top w:val="single" w:sz="8" w:color="0000FF"/>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ORION ENERGY SYSTEMS,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26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Twelve Months Ended March 31,</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2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$57,029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$54,368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29,277</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37,319</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0" w:type="dxa"/>
            <w:vAlign w:val="bottom"/>
          </w:tcPr>
          <w:p>
            <w:pPr>
              <w:spacing w:after="0"/>
              <w:rPr>
                <w:sz w:val="1"/>
                <w:szCs w:val="1"/>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59,484</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3,875,972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3,296,019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3,560,671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3,282,947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198"/>
        </w:trPr>
        <w:tc>
          <w:tcPr>
            <w:tcW w:w="5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and share equivalents</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3,875,972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3,296,019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3,560,671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3,282,947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-3239770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-3239770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-3239770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-2399665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-2399665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-2399665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-1285240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-1285240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-1285240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-710565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-694055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-710565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-694055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-710565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-694055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ORION ENERGY SYSTEMS,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tbl>
      <w:tblPr>
        <w:tblLayout w:type="fixed"/>
        <w:tblInd w:w="0" w:type="dxa"/>
        <w:tblCellMar>
          <w:top w:w="0" w:type="dxa"/>
          <w:left w:w="0" w:type="dxa"/>
          <w:bottom w:w="0" w:type="dxa"/>
          <w:right w:w="0" w:type="dxa"/>
        </w:tblCellMar>
      </w:tblPr>
      <w:tr>
        <w:trPr>
          <w:trHeight w:val="158"/>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2320" w:type="dxa"/>
            <w:vAlign w:val="bottom"/>
            <w:tcBorders>
              <w:bottom w:val="single" w:sz="8" w:color="auto"/>
            </w:tcBorders>
            <w:gridSpan w:val="3"/>
          </w:tcPr>
          <w:p>
            <w:pPr>
              <w:ind w:left="144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168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37,682</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$51,605</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34,977</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40,579</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Shares authorized: 30,000,000 shares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March 31, 2026 and 2025; no shares issued and outstanding at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2025</w:t>
            </w:r>
          </w:p>
        </w:tc>
        <w:tc>
          <w:tcPr>
            <w:tcW w:w="23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Shares authorized: 20,000,000 at</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2026 and 2025; shares issued: 4,819,013 and</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4,247,023 at March 31, 2026 and 2025; shares outstanding:</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4,056,528 and 3,298,389 at March 31, 2026 and 2025</w:t>
            </w:r>
          </w:p>
        </w:tc>
        <w:tc>
          <w:tcPr>
            <w:tcW w:w="232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163,025</w:t>
            </w: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Treasury stock: 762,485 and 948,634 common shares at</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2026 and 2025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(118,056)</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(114,893)</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$51,605</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77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-4439920</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-3582670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-2742565</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-805180</wp:posOffset>
            </wp:positionV>
            <wp:extent cx="120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ORION ENERGY SYSTEMS,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tbl>
      <w:tblPr>
        <w:tblLayout w:type="fixed"/>
        <w:tblInd w:w="0" w:type="dxa"/>
        <w:tblCellMar>
          <w:top w:w="0" w:type="dxa"/>
          <w:left w:w="0" w:type="dxa"/>
          <w:bottom w:w="0" w:type="dxa"/>
          <w:right w:w="0" w:type="dxa"/>
        </w:tblCellMar>
      </w:tblPr>
      <w:tr>
        <w:trPr>
          <w:trHeight w:val="155"/>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540" w:type="dxa"/>
            <w:vAlign w:val="bottom"/>
            <w:tcBorders>
              <w:bottom w:val="single" w:sz="8" w:color="auto"/>
            </w:tcBorders>
            <w:gridSpan w:val="3"/>
          </w:tcPr>
          <w:p>
            <w:pPr>
              <w:jc w:val="right"/>
              <w:ind w:right="790"/>
              <w:spacing w:after="0" w:line="155" w:lineRule="exact"/>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1680" w:type="dxa"/>
            <w:vAlign w:val="bottom"/>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60" w:type="dxa"/>
            <w:vAlign w:val="bottom"/>
            <w:gridSpan w:val="2"/>
          </w:tcPr>
          <w:p>
            <w:pPr>
              <w:jc w:val="right"/>
              <w:ind w:right="6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taxes and impairment of property and equipment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asset disposals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Unamortized debt issuance cost write-off</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Issuance of treasury stock</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public stock offering, net of issuance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Payments to settle employee tax withholdings on stock-based</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Debt issue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employee equity exercises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5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0" w:type="dxa"/>
            <w:vAlign w:val="bottom"/>
          </w:tcPr>
          <w:p>
            <w:pPr>
              <w:spacing w:after="0"/>
              <w:rPr>
                <w:sz w:val="1"/>
                <w:szCs w:val="1"/>
                <w:color w:val="auto"/>
              </w:rPr>
            </w:pPr>
          </w:p>
        </w:tc>
      </w:tr>
      <w:tr>
        <w:trPr>
          <w:trHeight w:val="197"/>
        </w:trPr>
        <w:tc>
          <w:tcPr>
            <w:tcW w:w="7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Issuance of common stock to Final Frontier, LLC as partial payment of earnout obligation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subordinated debt for earnout obligation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1"/>
        </w:trPr>
        <w:tc>
          <w:tcPr>
            <w:tcW w:w="77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-3977005</wp:posOffset>
            </wp:positionV>
            <wp:extent cx="120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-2185035</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-1619250</wp:posOffset>
            </wp:positionV>
            <wp:extent cx="120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-1602105</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ORION ENERGY SYSTEMS,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NON-GAAP MEASURES RECONCILIATION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10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Dec. 31, 2025</w:t>
            </w: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(2,912)</w:t>
            </w:r>
          </w:p>
        </w:tc>
        <w:tc>
          <w:tcPr>
            <w:tcW w:w="3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(3,163)</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cost write-off for ATM</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Sign-on bonus</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Solar contract amendment</w:t>
            </w:r>
          </w:p>
        </w:tc>
        <w:tc>
          <w:tcPr>
            <w:tcW w:w="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w:t>
            </w:r>
          </w:p>
        </w:tc>
        <w:tc>
          <w:tcPr>
            <w:tcW w:w="2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solar grants</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Solar asset disposal</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Severance</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on assets</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Earnout expenses</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979"/>
        </w:trPr>
        <w:tc>
          <w:tcPr>
            <w:tcW w:w="4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-2313940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-2296795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-2459355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-2313940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-2296795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-2459355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-2313940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-2296795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-2459355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-2313940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-2296795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-2459355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emdash "/>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emdash "/>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2026-06-04T06:02:47Z</dcterms:created>
  <dcterms:modified xsi:type="dcterms:W3CDTF">2026-06-04T06:02:47Z</dcterms:modified>
</cp:coreProperties>
</file>