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98425</wp:posOffset>
            </wp:positionV>
            <wp:extent cx="184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118110</wp:posOffset>
            </wp:positionV>
            <wp:extent cx="1840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73" w:lineRule="exact"/>
        <w:rPr>
          <w:sz w:val="24"/>
          <w:szCs w:val="24"/>
          <w:color w:val="auto"/>
        </w:rPr>
      </w:pPr>
    </w:p>
    <w:p>
      <w:pPr>
        <w:ind w:left="520" w:right="20" w:hanging="512"/>
        <w:spacing w:after="0" w:line="256" w:lineRule="auto"/>
        <w:tabs>
          <w:tab w:leader="none" w:pos="456"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520" w:right="20" w:hanging="512"/>
        <w:spacing w:after="0" w:line="256" w:lineRule="auto"/>
        <w:tabs>
          <w:tab w:leader="none" w:pos="44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111125</wp:posOffset>
            </wp:positionV>
            <wp:extent cx="1840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2650490</wp:posOffset>
            </wp:positionH>
            <wp:positionV relativeFrom="paragraph">
              <wp:posOffset>107315</wp:posOffset>
            </wp:positionV>
            <wp:extent cx="1840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86"/>
              </w:rPr>
              <w:t>Wisconsin</w:t>
            </w:r>
          </w:p>
        </w:tc>
        <w:tc>
          <w:tcPr>
            <w:tcW w:w="2760" w:type="dxa"/>
            <w:vAlign w:val="bottom"/>
          </w:tcPr>
          <w:p>
            <w:pPr>
              <w:spacing w:after="0"/>
              <w:rPr>
                <w:sz w:val="20"/>
                <w:szCs w:val="20"/>
                <w:color w:val="auto"/>
              </w:rPr>
            </w:pPr>
          </w:p>
        </w:tc>
        <w:tc>
          <w:tcPr>
            <w:tcW w:w="3700" w:type="dxa"/>
            <w:vAlign w:val="bottom"/>
            <w:gridSpan w:val="2"/>
          </w:tcPr>
          <w:p>
            <w:pPr>
              <w:jc w:val="right"/>
              <w:ind w:right="2248"/>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53"/>
        </w:trPr>
        <w:tc>
          <w:tcPr>
            <w:tcW w:w="4780" w:type="dxa"/>
            <w:vAlign w:val="bottom"/>
            <w:gridSpan w:val="3"/>
          </w:tcPr>
          <w:p>
            <w:pPr>
              <w:jc w:val="center"/>
              <w:ind w:left="660"/>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2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tcPr>
          <w:p>
            <w:pPr>
              <w:jc w:val="center"/>
              <w:ind w:right="1848"/>
              <w:spacing w:after="0" w:line="153"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4780" w:type="dxa"/>
            <w:vAlign w:val="bottom"/>
            <w:gridSpan w:val="3"/>
          </w:tcPr>
          <w:p>
            <w:pPr>
              <w:jc w:val="center"/>
              <w:ind w:left="660"/>
              <w:spacing w:after="0"/>
              <w:rPr>
                <w:sz w:val="20"/>
                <w:szCs w:val="20"/>
                <w:color w:val="auto"/>
              </w:rPr>
            </w:pPr>
            <w:r>
              <w:rPr>
                <w:rFonts w:ascii="Arial" w:cs="Arial" w:eastAsia="Arial" w:hAnsi="Arial"/>
                <w:sz w:val="14"/>
                <w:szCs w:val="14"/>
                <w:b w:val="1"/>
                <w:bCs w:val="1"/>
                <w:color w:val="auto"/>
                <w:w w:val="94"/>
              </w:rPr>
              <w:t>incorporation or organization)</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ind w:right="186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49"/>
        </w:trPr>
        <w:tc>
          <w:tcPr>
            <w:tcW w:w="4780" w:type="dxa"/>
            <w:vAlign w:val="bottom"/>
            <w:gridSpan w:val="3"/>
          </w:tcPr>
          <w:p>
            <w:pPr>
              <w:jc w:val="center"/>
              <w:ind w:left="680"/>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60" w:type="dxa"/>
            <w:vAlign w:val="bottom"/>
          </w:tcPr>
          <w:p>
            <w:pPr>
              <w:spacing w:after="0"/>
              <w:rPr>
                <w:sz w:val="24"/>
                <w:szCs w:val="24"/>
                <w:color w:val="auto"/>
              </w:rPr>
            </w:pPr>
          </w:p>
        </w:tc>
        <w:tc>
          <w:tcPr>
            <w:tcW w:w="3700" w:type="dxa"/>
            <w:vAlign w:val="bottom"/>
            <w:gridSpan w:val="2"/>
          </w:tcPr>
          <w:p>
            <w:pPr>
              <w:jc w:val="right"/>
              <w:ind w:right="2448"/>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217"/>
        </w:trPr>
        <w:tc>
          <w:tcPr>
            <w:tcW w:w="4780" w:type="dxa"/>
            <w:vAlign w:val="bottom"/>
            <w:gridSpan w:val="3"/>
          </w:tcPr>
          <w:p>
            <w:pPr>
              <w:jc w:val="center"/>
              <w:ind w:left="6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ind w:right="1848"/>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63"/>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499"/>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56"/>
        </w:trPr>
        <w:tc>
          <w:tcPr>
            <w:tcW w:w="478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91"/>
              </w:rPr>
              <w:t>Title of Each Class</w:t>
            </w:r>
          </w:p>
        </w:tc>
        <w:tc>
          <w:tcPr>
            <w:tcW w:w="276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Trading Symbol (s)</w:t>
            </w:r>
          </w:p>
        </w:tc>
        <w:tc>
          <w:tcPr>
            <w:tcW w:w="12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37"/>
        </w:trPr>
        <w:tc>
          <w:tcPr>
            <w:tcW w:w="3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vMerge w:val="restart"/>
          </w:tcPr>
          <w:p>
            <w:pPr>
              <w:jc w:val="center"/>
              <w:ind w:right="928"/>
              <w:spacing w:after="0"/>
              <w:rPr>
                <w:sz w:val="20"/>
                <w:szCs w:val="20"/>
                <w:color w:val="auto"/>
              </w:rPr>
            </w:pPr>
            <w:r>
              <w:rPr>
                <w:rFonts w:ascii="Arial" w:cs="Arial" w:eastAsia="Arial" w:hAnsi="Arial"/>
                <w:sz w:val="14"/>
                <w:szCs w:val="14"/>
                <w:b w:val="1"/>
                <w:bCs w:val="1"/>
                <w:color w:val="auto"/>
              </w:rPr>
              <w:t>OESX</w:t>
            </w:r>
          </w:p>
        </w:tc>
        <w:tc>
          <w:tcPr>
            <w:tcW w:w="120" w:type="dxa"/>
            <w:vAlign w:val="bottom"/>
          </w:tcPr>
          <w:p>
            <w:pPr>
              <w:spacing w:after="0"/>
              <w:rPr>
                <w:sz w:val="11"/>
                <w:szCs w:val="11"/>
                <w:color w:val="auto"/>
              </w:rPr>
            </w:pPr>
          </w:p>
        </w:tc>
        <w:tc>
          <w:tcPr>
            <w:tcW w:w="35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780" w:type="dxa"/>
            <w:vAlign w:val="bottom"/>
            <w:gridSpan w:val="3"/>
          </w:tcPr>
          <w:p>
            <w:pPr>
              <w:jc w:val="center"/>
              <w:ind w:right="1160"/>
              <w:spacing w:after="0"/>
              <w:rPr>
                <w:sz w:val="20"/>
                <w:szCs w:val="20"/>
                <w:color w:val="auto"/>
              </w:rPr>
            </w:pPr>
            <w:r>
              <w:rPr>
                <w:rFonts w:ascii="Arial" w:cs="Arial" w:eastAsia="Arial" w:hAnsi="Arial"/>
                <w:sz w:val="14"/>
                <w:szCs w:val="14"/>
                <w:color w:val="auto"/>
                <w:w w:val="93"/>
              </w:rPr>
              <w:t>Common stock, no par value</w:t>
            </w:r>
          </w:p>
        </w:tc>
        <w:tc>
          <w:tcPr>
            <w:tcW w:w="2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303"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0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8"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right="3580"/>
        <w:spacing w:after="0" w:line="24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32,512,221 shares of the Registrant’s common stock outstanding on October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380365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jc w:val="center"/>
        <w:ind w:left="880"/>
        <w:spacing w:after="0"/>
        <w:rPr>
          <w:sz w:val="20"/>
          <w:szCs w:val="20"/>
          <w:color w:val="auto"/>
        </w:rPr>
      </w:pPr>
      <w:r>
        <w:rPr>
          <w:rFonts w:ascii="Arial" w:cs="Arial" w:eastAsia="Arial" w:hAnsi="Arial"/>
          <w:sz w:val="18"/>
          <w:szCs w:val="18"/>
          <w:b w:val="1"/>
          <w:bCs w:val="1"/>
          <w:color w:val="auto"/>
        </w:rPr>
        <w:t>ORION ENERGY SYSTEMS, INC.</w:t>
      </w:r>
    </w:p>
    <w:p>
      <w:pPr>
        <w:spacing w:after="0" w:line="103"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FOR THE QUARTER ENDED SEPTEMBER 30, 2023</w:t>
      </w:r>
    </w:p>
    <w:p>
      <w:pPr>
        <w:spacing w:after="0" w:line="103" w:lineRule="exact"/>
        <w:rPr>
          <w:sz w:val="20"/>
          <w:szCs w:val="20"/>
          <w:color w:val="auto"/>
        </w:rPr>
      </w:pPr>
    </w:p>
    <w:p>
      <w:pPr>
        <w:jc w:val="center"/>
        <w:ind w:left="8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1798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895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4"/>
          </w:tcPr>
          <w:p>
            <w:pPr>
              <w:spacing w:after="0"/>
              <w:rPr>
                <w:sz w:val="20"/>
                <w:szCs w:val="20"/>
                <w:color w:val="auto"/>
              </w:rPr>
            </w:pPr>
            <w:r>
              <w:rPr>
                <w:rFonts w:ascii="Arial" w:cs="Arial" w:eastAsia="Arial" w:hAnsi="Arial"/>
                <w:sz w:val="18"/>
                <w:szCs w:val="18"/>
                <w:color w:val="0000FF"/>
              </w:rPr>
              <w:t>Financial Statements (unaudited)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gridSpan w:val="14"/>
          </w:tcPr>
          <w:p>
            <w:pPr>
              <w:spacing w:after="0"/>
              <w:rPr>
                <w:sz w:val="20"/>
                <w:szCs w:val="20"/>
                <w:color w:val="auto"/>
              </w:rPr>
            </w:pPr>
            <w:r>
              <w:rPr>
                <w:rFonts w:ascii="Arial" w:cs="Arial" w:eastAsia="Arial" w:hAnsi="Arial"/>
                <w:sz w:val="18"/>
                <w:szCs w:val="18"/>
                <w:color w:val="0000FF"/>
              </w:rPr>
              <w:t>Condensed Consolidated Balance Sheets as of September 30, 2023 and March 31, 2023</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gridSpan w:val="14"/>
          </w:tcPr>
          <w:p>
            <w:pPr>
              <w:spacing w:after="0"/>
              <w:rPr>
                <w:sz w:val="20"/>
                <w:szCs w:val="20"/>
                <w:color w:val="auto"/>
              </w:rPr>
            </w:pPr>
            <w:r>
              <w:rPr>
                <w:rFonts w:ascii="Arial" w:cs="Arial" w:eastAsia="Arial" w:hAnsi="Arial"/>
                <w:sz w:val="18"/>
                <w:szCs w:val="18"/>
                <w:color w:val="0000FF"/>
                <w:w w:val="89"/>
              </w:rPr>
              <w:t>Condensed Consolidated Statements of Operations for the Three and Six Months Ended September 30, 2023 and September 30,</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line="195" w:lineRule="exact"/>
              <w:rPr>
                <w:sz w:val="20"/>
                <w:szCs w:val="20"/>
                <w:color w:val="auto"/>
              </w:rPr>
            </w:pPr>
            <w:r>
              <w:rPr>
                <w:rFonts w:ascii="Arial" w:cs="Arial" w:eastAsia="Arial" w:hAnsi="Arial"/>
                <w:sz w:val="18"/>
                <w:szCs w:val="18"/>
                <w:color w:val="0000FF"/>
                <w:w w:val="79"/>
              </w:rPr>
              <w:t>2022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gridSpan w:val="14"/>
          </w:tcPr>
          <w:p>
            <w:pPr>
              <w:spacing w:after="0"/>
              <w:rPr>
                <w:sz w:val="20"/>
                <w:szCs w:val="20"/>
                <w:color w:val="auto"/>
              </w:rPr>
            </w:pPr>
            <w:r>
              <w:rPr>
                <w:rFonts w:ascii="Arial" w:cs="Arial" w:eastAsia="Arial" w:hAnsi="Arial"/>
                <w:sz w:val="18"/>
                <w:szCs w:val="18"/>
                <w:color w:val="0000FF"/>
                <w:w w:val="93"/>
              </w:rPr>
              <w:t>Condensed Consolidated Statements of Shareholders’ Equity for the Three and Six Months Ended September 30, 2023 and</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20" w:type="dxa"/>
            <w:vAlign w:val="bottom"/>
            <w:gridSpan w:val="14"/>
          </w:tcPr>
          <w:p>
            <w:pPr>
              <w:spacing w:after="0" w:line="195" w:lineRule="exact"/>
              <w:rPr>
                <w:sz w:val="20"/>
                <w:szCs w:val="20"/>
                <w:color w:val="auto"/>
              </w:rPr>
            </w:pPr>
            <w:r>
              <w:rPr>
                <w:rFonts w:ascii="Arial" w:cs="Arial" w:eastAsia="Arial" w:hAnsi="Arial"/>
                <w:sz w:val="18"/>
                <w:szCs w:val="18"/>
                <w:color w:val="0000FF"/>
              </w:rPr>
              <w:t>September 30, 2022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gridSpan w:val="14"/>
          </w:tcPr>
          <w:p>
            <w:pPr>
              <w:spacing w:after="0"/>
              <w:rPr>
                <w:sz w:val="20"/>
                <w:szCs w:val="20"/>
                <w:color w:val="auto"/>
              </w:rPr>
            </w:pPr>
            <w:r>
              <w:rPr>
                <w:rFonts w:ascii="Arial" w:cs="Arial" w:eastAsia="Arial" w:hAnsi="Arial"/>
                <w:sz w:val="18"/>
                <w:szCs w:val="18"/>
                <w:color w:val="0000FF"/>
                <w:w w:val="92"/>
              </w:rPr>
              <w:t>Condensed Consolidated Statements of Cash Flows for the Six Months Ended September 30, 2023 and September 30, 2022</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90"/>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20" w:type="dxa"/>
            <w:vAlign w:val="bottom"/>
            <w:gridSpan w:val="14"/>
          </w:tcPr>
          <w:p>
            <w:pPr>
              <w:spacing w:after="0"/>
              <w:rPr>
                <w:sz w:val="20"/>
                <w:szCs w:val="20"/>
                <w:color w:val="auto"/>
              </w:rPr>
            </w:pPr>
            <w:r>
              <w:rPr>
                <w:rFonts w:ascii="Arial" w:cs="Arial" w:eastAsia="Arial" w:hAnsi="Arial"/>
                <w:sz w:val="18"/>
                <w:szCs w:val="18"/>
                <w:color w:val="0000FF"/>
              </w:rPr>
              <w:t>Notes to the Condensed Consolidated Financial Statements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220" w:type="dxa"/>
            <w:vAlign w:val="bottom"/>
            <w:gridSpan w:val="14"/>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22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90"/>
        </w:trPr>
        <w:tc>
          <w:tcPr>
            <w:tcW w:w="25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PART II OTHER INFORMATION</w:t>
            </w:r>
          </w:p>
        </w:tc>
        <w:tc>
          <w:tcPr>
            <w:tcW w:w="7780" w:type="dxa"/>
            <w:vAlign w:val="bottom"/>
            <w:gridSpan w:val="9"/>
          </w:tcPr>
          <w:p>
            <w:pPr>
              <w:spacing w:after="0"/>
              <w:rPr>
                <w:sz w:val="24"/>
                <w:szCs w:val="24"/>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4"/>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220" w:type="dxa"/>
            <w:vAlign w:val="bottom"/>
            <w:gridSpan w:val="14"/>
          </w:tcPr>
          <w:p>
            <w:pPr>
              <w:spacing w:after="0"/>
              <w:rPr>
                <w:sz w:val="20"/>
                <w:szCs w:val="20"/>
                <w:color w:val="auto"/>
              </w:rPr>
            </w:pPr>
            <w:r>
              <w:rPr>
                <w:rFonts w:ascii="Arial" w:cs="Arial" w:eastAsia="Arial" w:hAnsi="Arial"/>
                <w:sz w:val="18"/>
                <w:szCs w:val="18"/>
                <w:color w:val="0000FF"/>
              </w:rPr>
              <w:t>Risk Factors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4"/>
          </w:tcPr>
          <w:p>
            <w:pPr>
              <w:spacing w:after="0"/>
              <w:rPr>
                <w:sz w:val="20"/>
                <w:szCs w:val="20"/>
                <w:color w:val="auto"/>
              </w:rPr>
            </w:pPr>
            <w:r>
              <w:rPr>
                <w:rFonts w:ascii="Arial" w:cs="Arial" w:eastAsia="Arial" w:hAnsi="Arial"/>
                <w:sz w:val="18"/>
                <w:szCs w:val="18"/>
                <w:color w:val="0000FF"/>
              </w:rPr>
              <w:t>Unregistered Sales of Equity Securities and Use of Proceeds</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6"/>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4"/>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r>
      <w:tr>
        <w:trPr>
          <w:trHeight w:val="290"/>
        </w:trPr>
        <w:tc>
          <w:tcPr>
            <w:tcW w:w="11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220" w:type="dxa"/>
            <w:vAlign w:val="bottom"/>
            <w:gridSpan w:val="14"/>
          </w:tcPr>
          <w:p>
            <w:pPr>
              <w:spacing w:after="0"/>
              <w:rPr>
                <w:sz w:val="20"/>
                <w:szCs w:val="20"/>
                <w:color w:val="auto"/>
              </w:rPr>
            </w:pPr>
            <w:r>
              <w:rPr>
                <w:rFonts w:ascii="Arial" w:cs="Arial" w:eastAsia="Arial" w:hAnsi="Arial"/>
                <w:sz w:val="18"/>
                <w:szCs w:val="18"/>
                <w:color w:val="0000FF"/>
              </w:rPr>
              <w:t>Exhibits</w:t>
            </w:r>
          </w:p>
        </w:tc>
      </w:tr>
      <w:tr>
        <w:trPr>
          <w:trHeight w:val="290"/>
        </w:trPr>
        <w:tc>
          <w:tcPr>
            <w:tcW w:w="10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3"/>
              </w:rPr>
              <w:t>SIGNATURE</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40640</wp:posOffset>
            </wp:positionV>
            <wp:extent cx="462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280" cy="8255"/>
                    </a:xfrm>
                    <a:prstGeom prst="rect">
                      <a:avLst/>
                    </a:prstGeom>
                    <a:noFill/>
                  </pic:spPr>
                </pic:pic>
              </a:graphicData>
            </a:graphic>
          </wp:anchor>
        </w:drawing>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10320" w:space="320"/>
            <w:col w:w="560"/>
          </w:cols>
          <w:pgMar w:left="340" w:top="33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9"/>
              </w:rPr>
              <w:t>September 30, 2023</w:t>
            </w:r>
          </w:p>
        </w:tc>
        <w:tc>
          <w:tcPr>
            <w:tcW w:w="300" w:type="dxa"/>
            <w:vAlign w:val="bottom"/>
          </w:tcPr>
          <w:p>
            <w:pPr>
              <w:spacing w:after="0"/>
              <w:rPr>
                <w:sz w:val="16"/>
                <w:szCs w:val="16"/>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2023</w:t>
            </w:r>
          </w:p>
        </w:tc>
      </w:tr>
      <w:tr>
        <w:trPr>
          <w:trHeight w:val="236"/>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4,025</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Revenue earned but not billed</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18,205</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r>
      <w:tr>
        <w:trPr>
          <w:trHeight w:val="242"/>
        </w:trPr>
        <w:tc>
          <w:tcPr>
            <w:tcW w:w="7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45,282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50,361</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10,368</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20"/>
                <w:szCs w:val="20"/>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65,830</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71,579</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15,561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13,405</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1,864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0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29,049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24,454</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2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long-term</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21"/>
                <w:szCs w:val="21"/>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Pr>
          <w:p>
            <w:pPr>
              <w:spacing w:after="0"/>
              <w:rPr>
                <w:sz w:val="20"/>
                <w:szCs w:val="20"/>
                <w:color w:val="auto"/>
              </w:rPr>
            </w:pPr>
          </w:p>
        </w:tc>
      </w:tr>
      <w:tr>
        <w:trPr>
          <w:trHeight w:val="236"/>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060" w:type="dxa"/>
            <w:vAlign w:val="bottom"/>
          </w:tcPr>
          <w:p>
            <w:pPr>
              <w:ind w:left="20"/>
              <w:spacing w:after="0"/>
              <w:rPr>
                <w:sz w:val="20"/>
                <w:szCs w:val="20"/>
                <w:color w:val="auto"/>
              </w:rPr>
            </w:pPr>
            <w:r>
              <w:rPr>
                <w:rFonts w:ascii="Arial" w:cs="Arial" w:eastAsia="Arial" w:hAnsi="Arial"/>
                <w:sz w:val="18"/>
                <w:szCs w:val="18"/>
                <w:color w:val="auto"/>
              </w:rPr>
              <w:t>Preferred stock, $0.01 par value: Shares authorized: 30,000,000 at</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ind w:left="160"/>
              <w:spacing w:after="0"/>
              <w:rPr>
                <w:sz w:val="20"/>
                <w:szCs w:val="20"/>
                <w:color w:val="auto"/>
              </w:rPr>
            </w:pPr>
            <w:r>
              <w:rPr>
                <w:rFonts w:ascii="Arial" w:cs="Arial" w:eastAsia="Arial" w:hAnsi="Arial"/>
                <w:sz w:val="18"/>
                <w:szCs w:val="18"/>
                <w:color w:val="auto"/>
              </w:rPr>
              <w:t>September 30, 2023 and March 31, 2023; no shares issued and outstanding</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060" w:type="dxa"/>
            <w:vAlign w:val="bottom"/>
          </w:tcPr>
          <w:p>
            <w:pPr>
              <w:ind w:left="160"/>
              <w:spacing w:after="0"/>
              <w:rPr>
                <w:sz w:val="20"/>
                <w:szCs w:val="20"/>
                <w:color w:val="auto"/>
              </w:rPr>
            </w:pPr>
            <w:r>
              <w:rPr>
                <w:rFonts w:ascii="Arial" w:cs="Arial" w:eastAsia="Arial" w:hAnsi="Arial"/>
                <w:sz w:val="18"/>
                <w:szCs w:val="18"/>
                <w:color w:val="auto"/>
              </w:rPr>
              <w:t>at September 30, 2023 and March 31, 2023</w:t>
            </w:r>
          </w:p>
        </w:tc>
        <w:tc>
          <w:tcPr>
            <w:tcW w:w="24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no par value: Shares authorized: 200,000,000 at</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September 30, 2023 and March 31, 2023; shares issued: 41,973,543 at</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September 30, 2023 and 41,767,092 at March 31, 2023; shares outstanding:</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32,503,320 at September 30, 2023 and 32,295,408 at March 31, 2023</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161,321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160,907</w:t>
            </w:r>
          </w:p>
        </w:tc>
        <w:tc>
          <w:tcPr>
            <w:tcW w:w="100" w:type="dxa"/>
            <w:vAlign w:val="bottom"/>
          </w:tcPr>
          <w:p>
            <w:pPr>
              <w:spacing w:after="0"/>
              <w:rPr>
                <w:sz w:val="20"/>
                <w:szCs w:val="20"/>
                <w:color w:val="auto"/>
              </w:rPr>
            </w:pPr>
          </w:p>
        </w:tc>
      </w:tr>
      <w:tr>
        <w:trPr>
          <w:trHeight w:val="221"/>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Treasury stock, common shares: 9,470,223 at September 30, 2023</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9,471,684 at March 31, 2023</w:t>
            </w:r>
          </w:p>
        </w:tc>
        <w:tc>
          <w:tcPr>
            <w:tcW w:w="240" w:type="dxa"/>
            <w:vAlign w:val="bottom"/>
            <w:shd w:val="clear" w:color="auto" w:fill="CFF0FC"/>
          </w:tcPr>
          <w:p>
            <w:pPr>
              <w:spacing w:after="0"/>
              <w:rPr>
                <w:sz w:val="21"/>
                <w:szCs w:val="21"/>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(36,235 )</w:t>
            </w:r>
          </w:p>
        </w:tc>
        <w:tc>
          <w:tcPr>
            <w:tcW w:w="3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(36,237 )</w:t>
            </w:r>
          </w:p>
        </w:tc>
      </w:tr>
      <w:tr>
        <w:trPr>
          <w:trHeight w:val="236"/>
        </w:trPr>
        <w:tc>
          <w:tcPr>
            <w:tcW w:w="7060" w:type="dxa"/>
            <w:vAlign w:val="bottom"/>
          </w:tcPr>
          <w:p>
            <w:pPr>
              <w:ind w:left="20"/>
              <w:spacing w:after="0"/>
              <w:rPr>
                <w:sz w:val="20"/>
                <w:szCs w:val="20"/>
                <w:color w:val="auto"/>
              </w:rPr>
            </w:pPr>
            <w:r>
              <w:rPr>
                <w:rFonts w:ascii="Arial" w:cs="Arial" w:eastAsia="Arial" w:hAnsi="Arial"/>
                <w:sz w:val="18"/>
                <w:szCs w:val="18"/>
                <w:color w:val="auto"/>
              </w:rPr>
              <w:t>Retained deficit</w:t>
            </w:r>
          </w:p>
        </w:tc>
        <w:tc>
          <w:tcPr>
            <w:tcW w:w="2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(102,446 )</w:t>
            </w:r>
          </w:p>
        </w:tc>
        <w:tc>
          <w:tcPr>
            <w:tcW w:w="30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(91,421 )</w:t>
            </w:r>
          </w:p>
        </w:tc>
      </w:tr>
      <w:tr>
        <w:trPr>
          <w:trHeight w:val="236"/>
        </w:trPr>
        <w:tc>
          <w:tcPr>
            <w:tcW w:w="7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22,640</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06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65,830</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71,579</w:t>
            </w:r>
          </w:p>
        </w:tc>
        <w:tc>
          <w:tcPr>
            <w:tcW w:w="100" w:type="dxa"/>
            <w:vAlign w:val="bottom"/>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-4160520</wp:posOffset>
            </wp:positionV>
            <wp:extent cx="6858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-4160520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-3201670</wp:posOffset>
            </wp:positionV>
            <wp:extent cx="6858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-3201670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-2259965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-187960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6"/>
                <w:szCs w:val="16"/>
                <w:color w:val="auto"/>
              </w:rPr>
            </w:pPr>
          </w:p>
        </w:tc>
        <w:tc>
          <w:tcPr>
            <w:tcW w:w="272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w w:val="98"/>
              </w:rPr>
              <w:t>Six Months Ended September 30,</w:t>
            </w:r>
          </w:p>
        </w:tc>
      </w:tr>
      <w:tr>
        <w:trPr>
          <w:trHeight w:val="169"/>
        </w:trPr>
        <w:tc>
          <w:tcPr>
            <w:tcW w:w="50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15,588</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12,833</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29,259</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26,316</w:t>
            </w:r>
          </w:p>
        </w:tc>
        <w:tc>
          <w:tcPr>
            <w:tcW w:w="100" w:type="dxa"/>
            <w:vAlign w:val="bottom"/>
            <w:shd w:val="clear" w:color="auto" w:fill="CFF0FC"/>
          </w:tcPr>
          <w:p>
            <w:pPr>
              <w:spacing w:after="0"/>
              <w:rPr>
                <w:sz w:val="20"/>
                <w:szCs w:val="20"/>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35,466</w:t>
            </w:r>
          </w:p>
        </w:tc>
        <w:tc>
          <w:tcPr>
            <w:tcW w:w="100" w:type="dxa"/>
            <w:vAlign w:val="bottom"/>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9,287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19,672</w:t>
            </w:r>
          </w:p>
        </w:tc>
        <w:tc>
          <w:tcPr>
            <w:tcW w:w="100" w:type="dxa"/>
            <w:vAlign w:val="bottom"/>
          </w:tcPr>
          <w:p>
            <w:pPr>
              <w:spacing w:after="0"/>
              <w:rPr>
                <w:sz w:val="20"/>
                <w:szCs w:val="20"/>
                <w:color w:val="auto"/>
              </w:rPr>
            </w:pP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8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27,477</w:t>
            </w: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100" w:type="dxa"/>
            <w:vAlign w:val="bottom"/>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7,699</w:t>
            </w:r>
          </w:p>
        </w:tc>
        <w:tc>
          <w:tcPr>
            <w:tcW w:w="100" w:type="dxa"/>
            <w:vAlign w:val="bottom"/>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5,538</w:t>
            </w:r>
          </w:p>
        </w:tc>
        <w:tc>
          <w:tcPr>
            <w:tcW w:w="100" w:type="dxa"/>
            <w:vAlign w:val="bottom"/>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0"/>
                <w:szCs w:val="20"/>
                <w:color w:val="auto"/>
              </w:rPr>
            </w:pPr>
          </w:p>
        </w:tc>
      </w:tr>
      <w:tr>
        <w:trPr>
          <w:trHeight w:val="236"/>
        </w:trPr>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(4,168 )</w:t>
            </w:r>
          </w:p>
        </w:tc>
        <w:tc>
          <w:tcPr>
            <w:tcW w:w="32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(2,943 )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(10,565 )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(6,560 )</w:t>
            </w: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(192 )</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(16 )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(368 )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2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(25 )</w:t>
            </w:r>
          </w:p>
        </w:tc>
        <w:tc>
          <w:tcPr>
            <w:tcW w:w="32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(16 )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80" w:type="dxa"/>
            <w:vAlign w:val="bottom"/>
          </w:tcPr>
          <w:p>
            <w:pPr>
              <w:ind w:left="200"/>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(205 )</w:t>
            </w:r>
          </w:p>
        </w:tc>
        <w:tc>
          <w:tcPr>
            <w:tcW w:w="32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(31 )</w:t>
            </w: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(403 )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(64 )</w:t>
            </w:r>
          </w:p>
        </w:tc>
      </w:tr>
      <w:tr>
        <w:trPr>
          <w:trHeight w:val="242"/>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w:t>
            </w:r>
          </w:p>
        </w:tc>
        <w:tc>
          <w:tcPr>
            <w:tcW w:w="2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(2,974</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(643 )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(1,458 )</w:t>
            </w:r>
          </w:p>
        </w:tc>
      </w:tr>
      <w:tr>
        <w:trPr>
          <w:trHeight w:val="276"/>
        </w:trPr>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2"/>
        </w:trPr>
        <w:tc>
          <w:tcPr>
            <w:tcW w:w="5080" w:type="dxa"/>
            <w:vAlign w:val="bottom"/>
          </w:tcPr>
          <w:p>
            <w:pPr>
              <w:ind w:left="20"/>
              <w:spacing w:after="0" w:line="201" w:lineRule="exact"/>
              <w:rPr>
                <w:sz w:val="20"/>
                <w:szCs w:val="20"/>
                <w:color w:val="auto"/>
              </w:rPr>
            </w:pPr>
            <w:r>
              <w:rPr>
                <w:rFonts w:ascii="Arial" w:cs="Arial" w:eastAsia="Arial" w:hAnsi="Arial"/>
                <w:sz w:val="18"/>
                <w:szCs w:val="18"/>
                <w:color w:val="auto"/>
              </w:rPr>
              <w:t>Basic net loss per share attributable to</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5080" w:type="dxa"/>
            <w:vAlign w:val="bottom"/>
          </w:tcPr>
          <w:p>
            <w:pPr>
              <w:ind w:left="160"/>
              <w:spacing w:after="0"/>
              <w:rPr>
                <w:sz w:val="20"/>
                <w:szCs w:val="20"/>
                <w:color w:val="auto"/>
              </w:rPr>
            </w:pPr>
            <w:r>
              <w:rPr>
                <w:rFonts w:ascii="Arial" w:cs="Arial" w:eastAsia="Arial" w:hAnsi="Arial"/>
                <w:sz w:val="18"/>
                <w:szCs w:val="18"/>
                <w:color w:val="auto"/>
              </w:rPr>
              <w:t>common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(0.14 )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(0.07 )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(0.34 )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(0.17 )</w:t>
            </w: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32,502,566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31,330,030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32,424,623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31,240,475</w:t>
            </w:r>
          </w:p>
        </w:tc>
        <w:tc>
          <w:tcPr>
            <w:tcW w:w="100" w:type="dxa"/>
            <w:vAlign w:val="bottom"/>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Diluted net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(0.14 )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(0.07 )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(0.34 )</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(0.17 )</w:t>
            </w:r>
          </w:p>
        </w:tc>
      </w:tr>
      <w:tr>
        <w:trPr>
          <w:trHeight w:val="221"/>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and share</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5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equivalents outstanding</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32,502,566</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31,330,030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32,424,623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31,240,475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-3749675</wp:posOffset>
            </wp:positionV>
            <wp:extent cx="768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-3749675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-3749675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-3749675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-2491105</wp:posOffset>
            </wp:positionV>
            <wp:extent cx="7683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-2491105</wp:posOffset>
            </wp:positionV>
            <wp:extent cx="6858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-2491105</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-1557655</wp:posOffset>
            </wp:positionV>
            <wp:extent cx="7683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-1557655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-1557655</wp:posOffset>
            </wp:positionV>
            <wp:extent cx="685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-915670</wp:posOffset>
            </wp:positionV>
            <wp:extent cx="3056890" cy="316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56890" cy="31686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7"/>
              </w:rPr>
              <w:t>Shareholders’ Equity</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36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20" w:type="dxa"/>
            <w:vAlign w:val="bottom"/>
            <w:gridSpan w:val="2"/>
            <w:vMerge w:val="restart"/>
          </w:tcPr>
          <w:p>
            <w:pPr>
              <w:jc w:val="center"/>
              <w:ind w:right="33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1"/>
                <w:szCs w:val="11"/>
                <w:color w:val="auto"/>
              </w:rPr>
            </w:pPr>
          </w:p>
        </w:tc>
        <w:tc>
          <w:tcPr>
            <w:tcW w:w="9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1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March 31, 2023</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32,295,408</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160,907</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(91,421</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14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206,451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(6,637 )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(6,637 )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32,502,558</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161,095</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(98,058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140" w:type="dxa"/>
            <w:vAlign w:val="bottom"/>
          </w:tcPr>
          <w:p>
            <w:pPr>
              <w:jc w:val="right"/>
              <w:spacing w:after="0"/>
              <w:rPr>
                <w:sz w:val="20"/>
                <w:szCs w:val="20"/>
                <w:color w:val="auto"/>
              </w:rPr>
            </w:pPr>
            <w:r>
              <w:rPr>
                <w:rFonts w:ascii="Arial" w:cs="Arial" w:eastAsia="Arial" w:hAnsi="Arial"/>
                <w:sz w:val="18"/>
                <w:szCs w:val="18"/>
                <w:color w:val="auto"/>
              </w:rPr>
              <w:t>762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(4,388 )</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(4,388 )</w:t>
            </w:r>
          </w:p>
        </w:tc>
        <w:tc>
          <w:tcPr>
            <w:tcW w:w="0" w:type="dxa"/>
            <w:vAlign w:val="bottom"/>
          </w:tcPr>
          <w:p>
            <w:pPr>
              <w:spacing w:after="0"/>
              <w:rPr>
                <w:sz w:val="1"/>
                <w:szCs w:val="1"/>
                <w:color w:val="auto"/>
              </w:rPr>
            </w:pPr>
          </w:p>
        </w:tc>
      </w:tr>
      <w:tr>
        <w:trPr>
          <w:trHeight w:val="23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September 30, 2023</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32,503,320</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161,321</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(36,235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(102,446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22,640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7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w w:val="97"/>
              </w:rPr>
              <w:t>Shareholders’ Equity</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24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6"/>
              </w:rPr>
              <w:t>Additional</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center"/>
              <w:ind w:right="36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20" w:type="dxa"/>
            <w:vAlign w:val="bottom"/>
            <w:gridSpan w:val="2"/>
            <w:vMerge w:val="restart"/>
          </w:tcPr>
          <w:p>
            <w:pPr>
              <w:jc w:val="center"/>
              <w:ind w:right="37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1"/>
                <w:szCs w:val="11"/>
                <w:color w:val="auto"/>
              </w:rPr>
            </w:pPr>
          </w:p>
        </w:tc>
        <w:tc>
          <w:tcPr>
            <w:tcW w:w="9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54"/>
              <w:spacing w:after="0"/>
              <w:rPr>
                <w:sz w:val="20"/>
                <w:szCs w:val="20"/>
                <w:color w:val="auto"/>
              </w:rPr>
            </w:pPr>
            <w:r>
              <w:rPr>
                <w:rFonts w:ascii="Arial" w:cs="Arial" w:eastAsia="Arial" w:hAnsi="Arial"/>
                <w:sz w:val="14"/>
                <w:szCs w:val="14"/>
                <w:b w:val="1"/>
                <w:bCs w:val="1"/>
                <w:color w:val="auto"/>
                <w:w w:val="98"/>
              </w:rPr>
              <w:t>Capital</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1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6"/>
                <w:szCs w:val="16"/>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31,097,872</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158,419</w:t>
            </w: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 for cash</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Plan</w:t>
            </w:r>
          </w:p>
        </w:tc>
        <w:tc>
          <w:tcPr>
            <w:tcW w:w="1140" w:type="dxa"/>
            <w:vAlign w:val="bottom"/>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125,744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20"/>
              <w:spacing w:after="0"/>
              <w:rPr>
                <w:sz w:val="20"/>
                <w:szCs w:val="20"/>
                <w:color w:val="auto"/>
              </w:rPr>
            </w:pPr>
            <w:r>
              <w:rPr>
                <w:rFonts w:ascii="Arial" w:cs="Arial" w:eastAsia="Arial" w:hAnsi="Arial"/>
                <w:sz w:val="18"/>
                <w:szCs w:val="18"/>
                <w:color w:val="auto"/>
              </w:rPr>
              <w:t>Employee tax withholdings on stock-based</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(634 )</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(2,835 )</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(2,835 )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31,250,071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158,727</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(36,240 )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(59,915 )</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under Employee Stock Purchase</w:t>
            </w: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Plan</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105,192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(2,331 )</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(2,331 )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Balance, September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31,355,911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159,460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(36,239 )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(62,246 )</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60,975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-3758565</wp:posOffset>
            </wp:positionV>
            <wp:extent cx="76835" cy="29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-3758565</wp:posOffset>
            </wp:positionV>
            <wp:extent cx="68580" cy="299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-3758565</wp:posOffset>
            </wp:positionV>
            <wp:extent cx="68580" cy="299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-3758565</wp:posOffset>
            </wp:positionV>
            <wp:extent cx="68580" cy="299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-3758565</wp:posOffset>
            </wp:positionV>
            <wp:extent cx="68580" cy="299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-2987675</wp:posOffset>
            </wp:positionV>
            <wp:extent cx="7683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-2987675</wp:posOffset>
            </wp:positionV>
            <wp:extent cx="6858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-2987675</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-2987675</wp:posOffset>
            </wp:positionV>
            <wp:extent cx="6858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-2987675</wp:posOffset>
            </wp:positionV>
            <wp:extent cx="6858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-941070</wp:posOffset>
            </wp:positionV>
            <wp:extent cx="7683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-941070</wp:posOffset>
            </wp:positionV>
            <wp:extent cx="685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-941070</wp:posOffset>
            </wp:positionV>
            <wp:extent cx="685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-941070</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-170815</wp:posOffset>
            </wp:positionV>
            <wp:extent cx="76835" cy="325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4577080</wp:posOffset>
            </wp:positionH>
            <wp:positionV relativeFrom="paragraph">
              <wp:posOffset>-170815</wp:posOffset>
            </wp:positionV>
            <wp:extent cx="68580" cy="325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-170815</wp:posOffset>
            </wp:positionV>
            <wp:extent cx="68580" cy="325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-170815</wp:posOffset>
            </wp:positionV>
            <wp:extent cx="68580" cy="325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325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2340"/>
        <w:spacing w:after="0" w:line="265"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4"/>
                <w:szCs w:val="14"/>
                <w:b w:val="1"/>
                <w:bCs w:val="1"/>
                <w:color w:val="auto"/>
              </w:rPr>
              <w:t>Six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w w:val="91"/>
              </w:rPr>
              <w:t>(11,025 )</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(5,166 )</w:t>
            </w: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debt issue costs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(1,620 )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on sale of property and equipment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Provision for inventory reserves</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credit losses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(1 )</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 net of acquisition: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(2,579 )</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Revenue earned but not billed</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(507 )</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(2,238 )</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(2,058 )</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2,154</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(3,954 )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(2,486 )</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Deferred revenue, current and long-term</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4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(11,315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to fund acquisition, net of cash received</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(747 )</w:t>
            </w:r>
          </w:p>
        </w:tc>
        <w:tc>
          <w:tcPr>
            <w:tcW w:w="9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(442 )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Additions to patents and licenses</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long-term debt</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(7 )</w:t>
            </w: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revolving credit facility</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revolving credit facility</w:t>
            </w:r>
          </w:p>
        </w:tc>
        <w:tc>
          <w:tcPr>
            <w:tcW w:w="9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60" w:type="dxa"/>
            <w:vAlign w:val="bottom"/>
          </w:tcPr>
          <w:p>
            <w:pPr>
              <w:spacing w:after="0"/>
              <w:rPr>
                <w:sz w:val="20"/>
                <w:szCs w:val="20"/>
                <w:color w:val="auto"/>
              </w:rPr>
            </w:pP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Proceeds from employee equity exercises</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60" w:type="dxa"/>
            <w:vAlign w:val="bottom"/>
          </w:tcPr>
          <w:p>
            <w:pPr>
              <w:spacing w:after="0"/>
              <w:rPr>
                <w:sz w:val="20"/>
                <w:szCs w:val="20"/>
                <w:color w:val="auto"/>
              </w:rPr>
            </w:pP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(5 )</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(11,967</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14,466</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12,520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-975360</wp:posOffset>
            </wp:positionV>
            <wp:extent cx="7683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-333375</wp:posOffset>
            </wp:positionV>
            <wp:extent cx="1233170" cy="1797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3170" cy="1797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spacing w:after="0" w:line="131"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Orion’s corporate offices and leased primary manufacturing operations are located in Manitowoc, Wisconsin. Orion also leases office space in Jacksonville, Florida, Lawrence, Massachusetts and Pewaukee, Wisconsin.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The consolidated financial statements include the accounts of Orion and its wholly-owned subsidiaries. All significant intercompany transactions and balances have been eliminated in consolidation.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69"/>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2024 or other interim periods.</w:t>
      </w:r>
    </w:p>
    <w:p>
      <w:pPr>
        <w:spacing w:after="0" w:line="106"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The Condensed Consolidated Balance Sheet as of March 31, 2023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2023 filed with the SEC on June 12, 2023.</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69"/>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credit losses, accruals for warranty and loss contingencies, earn-out, income taxes, impairment analyses, and certain equity transactions. Accordingly, actual results could differ from those estimates.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spacing w:after="0" w:line="129"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Orion purchases components necessary for its lighting products, including lamps and LED components, from multiple suppliers. For the three and six months ended September 30, 2023 and September 30, 2022, no suppliers accounted for more than 10.0% of total cost of revenue.</w:t>
      </w:r>
    </w:p>
    <w:p>
      <w:pPr>
        <w:spacing w:after="0" w:line="93"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For the three months ended September 30, 2023, two customers accounted for 18.2% and 10.7% of total revenue, respectively. For the six months ended September 30, 2023, two customers accounted for 19.3% and 10.8% of total revenue, respectively. For the three and six months ended September 30, 2022, one customer accounted for 16.0% and 14.9% of total revenue, respectively.</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As of September 30, 2023, two customers accounted for 11.1% and 10.6% of accounts receivable, respectively. As of March 31, 2023, one customer accounted for 10.8% of accounts receivable.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are either not applicable to the Company or will have minimal impact on its consolidated financial statements when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adopted ASU 2016-13 effective April 1, 2023. The effect of adoption was immaterial.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75"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7"/>
          <w:szCs w:val="17"/>
          <w:color w:val="auto"/>
        </w:rPr>
        <w:t>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(“ASC 606”) when control of the goods or services being provided (which we refer to as a performance obligation) is transferred to a customer at an amount that reflects the consideration Orion expects to receive in exchange for those goods or services.</w:t>
      </w:r>
    </w:p>
    <w:p>
      <w:pPr>
        <w:spacing w:after="0" w:line="12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During the third quarter of fiscal 2023, Orion acquired Voltrek LLC ("Voltrek"), which sells and installs sourced electric vehicle charging stations and related software subscriptions and renewals. The results of Voltrek are included in the Orion Electric Vehicle Charging segment ("EV") and complement Orion’s existing turnkey installation model.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8" w:name="page9"/>
    <w:bookmarkEnd w:id="8"/>
    <w:p>
      <w:pPr>
        <w:jc w:val="both"/>
        <w:ind w:firstLine="464"/>
        <w:spacing w:after="0" w:line="256" w:lineRule="auto"/>
        <w:rPr>
          <w:sz w:val="20"/>
          <w:szCs w:val="20"/>
          <w:color w:val="auto"/>
        </w:rPr>
      </w:pPr>
      <w:r>
        <w:rPr>
          <w:rFonts w:ascii="Arial" w:cs="Arial" w:eastAsia="Arial" w:hAnsi="Arial"/>
          <w:sz w:val="18"/>
          <w:szCs w:val="18"/>
          <w:color w:val="auto"/>
        </w:rPr>
        <w:t>The sale of charging stations and related software subscriptions and renewals is presented in Product revenue. Orion is the principal in the sales of charging stations as it has control of the physical products prior to transfer to the customer. Accordingly, revenue is recognized on a gross basis. For certain sales, primarily software subscriptions and renewals,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spacing w:after="0" w:line="137" w:lineRule="exact"/>
        <w:rPr>
          <w:sz w:val="20"/>
          <w:szCs w:val="20"/>
          <w:color w:val="auto"/>
        </w:rPr>
      </w:pPr>
    </w:p>
    <w:p>
      <w:pPr>
        <w:jc w:val="both"/>
        <w:ind w:firstLine="464"/>
        <w:spacing w:after="0" w:line="286" w:lineRule="auto"/>
        <w:rPr>
          <w:sz w:val="20"/>
          <w:szCs w:val="20"/>
          <w:color w:val="auto"/>
        </w:rPr>
      </w:pPr>
      <w:r>
        <w:rPr>
          <w:rFonts w:ascii="Arial" w:cs="Arial" w:eastAsia="Arial" w:hAnsi="Arial"/>
          <w:sz w:val="17"/>
          <w:szCs w:val="17"/>
          <w:color w:val="auto"/>
        </w:rPr>
        <w:t>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10"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Revenue from the lighting and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w:t>
      </w:r>
    </w:p>
    <w:p>
      <w:pPr>
        <w:spacing w:after="0" w:line="129" w:lineRule="exact"/>
        <w:rPr>
          <w:sz w:val="20"/>
          <w:szCs w:val="20"/>
          <w:color w:val="auto"/>
        </w:rPr>
      </w:pPr>
    </w:p>
    <w:p>
      <w:pPr>
        <w:jc w:val="both"/>
        <w:ind w:right="20" w:firstLine="469"/>
        <w:spacing w:after="0" w:line="277" w:lineRule="auto"/>
        <w:rPr>
          <w:sz w:val="20"/>
          <w:szCs w:val="20"/>
          <w:color w:val="auto"/>
        </w:rPr>
      </w:pPr>
      <w:r>
        <w:rPr>
          <w:rFonts w:ascii="Arial" w:cs="Arial" w:eastAsia="Arial" w:hAnsi="Arial"/>
          <w:sz w:val="18"/>
          <w:szCs w:val="18"/>
          <w:color w:val="auto"/>
        </w:rPr>
        <w:t>The following tables provide detail of Orion’s total revenue for the three and six months ended September 30, 2023 and September 30, 2022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Six Months Ended September 30, 2023</w:t>
            </w:r>
          </w:p>
        </w:tc>
        <w:tc>
          <w:tcPr>
            <w:tcW w:w="10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Product</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Product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680" w:type="dxa"/>
            <w:vAlign w:val="bottom"/>
          </w:tcPr>
          <w:p>
            <w:pPr>
              <w:ind w:left="120"/>
              <w:spacing w:after="0"/>
              <w:rPr>
                <w:sz w:val="20"/>
                <w:szCs w:val="20"/>
                <w:color w:val="auto"/>
              </w:rPr>
            </w:pPr>
            <w:r>
              <w:rPr>
                <w:rFonts w:ascii="Arial" w:cs="Arial" w:eastAsia="Arial" w:hAnsi="Arial"/>
                <w:sz w:val="18"/>
                <w:szCs w:val="18"/>
                <w:color w:val="auto"/>
              </w:rPr>
              <w:t>Lighting product and installation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11,928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26,158</w:t>
            </w:r>
          </w:p>
        </w:tc>
        <w:tc>
          <w:tcPr>
            <w:tcW w:w="10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Maintenance services</w:t>
            </w: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100" w:type="dxa"/>
            <w:vAlign w:val="bottom"/>
            <w:shd w:val="clear" w:color="auto" w:fill="CFF0FC"/>
          </w:tcPr>
          <w:p>
            <w:pPr>
              <w:spacing w:after="0"/>
              <w:rPr>
                <w:sz w:val="21"/>
                <w:szCs w:val="21"/>
                <w:color w:val="auto"/>
              </w:rPr>
            </w:pPr>
          </w:p>
        </w:tc>
      </w:tr>
      <w:tr>
        <w:trPr>
          <w:trHeight w:val="236"/>
        </w:trPr>
        <w:tc>
          <w:tcPr>
            <w:tcW w:w="4680" w:type="dxa"/>
            <w:vAlign w:val="bottom"/>
          </w:tcPr>
          <w:p>
            <w:pPr>
              <w:ind w:left="120"/>
              <w:spacing w:after="0"/>
              <w:rPr>
                <w:sz w:val="20"/>
                <w:szCs w:val="20"/>
                <w:color w:val="auto"/>
              </w:rPr>
            </w:pPr>
            <w:r>
              <w:rPr>
                <w:rFonts w:ascii="Arial" w:cs="Arial" w:eastAsia="Arial" w:hAnsi="Arial"/>
                <w:sz w:val="18"/>
                <w:szCs w:val="18"/>
                <w:color w:val="auto"/>
              </w:rPr>
              <w:t>Electric vehicle charging</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0"/>
                <w:szCs w:val="20"/>
                <w:color w:val="auto"/>
              </w:rPr>
            </w:pPr>
          </w:p>
        </w:tc>
      </w:tr>
      <w:tr>
        <w:trPr>
          <w:trHeight w:val="243"/>
        </w:trPr>
        <w:tc>
          <w:tcPr>
            <w:tcW w:w="46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Solar energy related revenues</w:t>
            </w: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revenues from contracts with customers</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29,235</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38,175</w:t>
            </w:r>
          </w:p>
        </w:tc>
        <w:tc>
          <w:tcPr>
            <w:tcW w:w="100" w:type="dxa"/>
            <w:vAlign w:val="bottom"/>
          </w:tcPr>
          <w:p>
            <w:pPr>
              <w:spacing w:after="0"/>
              <w:rPr>
                <w:sz w:val="20"/>
                <w:szCs w:val="20"/>
                <w:color w:val="auto"/>
              </w:rPr>
            </w:pPr>
          </w:p>
        </w:tc>
      </w:tr>
      <w:tr>
        <w:trPr>
          <w:trHeight w:val="23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accounted for under other guidance</w:t>
            </w: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15,588</w:t>
            </w:r>
          </w:p>
        </w:tc>
        <w:tc>
          <w:tcPr>
            <w:tcW w:w="2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20,586</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29,259</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38,199</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5"/>
        </w:trPr>
        <w:tc>
          <w:tcPr>
            <w:tcW w:w="4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2"/>
              </w:rPr>
              <w:t>Six Months Ended September 30, 2022</w:t>
            </w:r>
          </w:p>
        </w:tc>
        <w:tc>
          <w:tcPr>
            <w:tcW w:w="100" w:type="dxa"/>
            <w:vAlign w:val="bottom"/>
          </w:tcPr>
          <w:p>
            <w:pPr>
              <w:spacing w:after="0"/>
              <w:rPr>
                <w:sz w:val="24"/>
                <w:szCs w:val="24"/>
                <w:color w:val="auto"/>
              </w:rPr>
            </w:pPr>
          </w:p>
        </w:tc>
      </w:tr>
      <w:tr>
        <w:trPr>
          <w:trHeight w:val="182"/>
        </w:trPr>
        <w:tc>
          <w:tcPr>
            <w:tcW w:w="4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Product</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8"/>
              </w:rPr>
              <w:t>Product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6"/>
              </w:rPr>
              <w:t>Services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4680" w:type="dxa"/>
            <w:vAlign w:val="bottom"/>
          </w:tcPr>
          <w:p>
            <w:pPr>
              <w:ind w:left="120"/>
              <w:spacing w:after="0"/>
              <w:rPr>
                <w:sz w:val="20"/>
                <w:szCs w:val="20"/>
                <w:color w:val="auto"/>
              </w:rPr>
            </w:pPr>
            <w:r>
              <w:rPr>
                <w:rFonts w:ascii="Arial" w:cs="Arial" w:eastAsia="Arial" w:hAnsi="Arial"/>
                <w:sz w:val="18"/>
                <w:szCs w:val="18"/>
                <w:color w:val="auto"/>
              </w:rPr>
              <w:t>Lighting product and installation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12,059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2,036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27,857</w:t>
            </w:r>
          </w:p>
        </w:tc>
        <w:tc>
          <w:tcPr>
            <w:tcW w:w="100" w:type="dxa"/>
            <w:vAlign w:val="bottom"/>
          </w:tcPr>
          <w:p>
            <w:pPr>
              <w:spacing w:after="0"/>
              <w:rPr>
                <w:sz w:val="20"/>
                <w:szCs w:val="20"/>
                <w:color w:val="auto"/>
              </w:rPr>
            </w:pPr>
          </w:p>
        </w:tc>
      </w:tr>
      <w:tr>
        <w:trPr>
          <w:trHeight w:val="249"/>
        </w:trPr>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Maintenance services</w:t>
            </w:r>
          </w:p>
        </w:tc>
        <w:tc>
          <w:tcPr>
            <w:tcW w:w="1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2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5,756</w:t>
            </w:r>
          </w:p>
        </w:tc>
        <w:tc>
          <w:tcPr>
            <w:tcW w:w="2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1"/>
                <w:szCs w:val="2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revenues from contracts with customers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12,814</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35,357</w:t>
            </w:r>
          </w:p>
        </w:tc>
        <w:tc>
          <w:tcPr>
            <w:tcW w:w="100" w:type="dxa"/>
            <w:vAlign w:val="bottom"/>
          </w:tcPr>
          <w:p>
            <w:pPr>
              <w:spacing w:after="0"/>
              <w:rPr>
                <w:sz w:val="19"/>
                <w:szCs w:val="19"/>
                <w:color w:val="auto"/>
              </w:rPr>
            </w:pPr>
          </w:p>
        </w:tc>
      </w:tr>
      <w:tr>
        <w:trPr>
          <w:trHeight w:val="23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accounted for under other guidance</w:t>
            </w:r>
          </w:p>
        </w:tc>
        <w:tc>
          <w:tcPr>
            <w:tcW w:w="1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4,727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35,466</w:t>
            </w:r>
          </w:p>
        </w:tc>
        <w:tc>
          <w:tcPr>
            <w:tcW w:w="100" w:type="dxa"/>
            <w:vAlign w:val="bottom"/>
          </w:tcPr>
          <w:p>
            <w:pPr>
              <w:spacing w:after="0"/>
              <w:rPr>
                <w:sz w:val="20"/>
                <w:szCs w:val="20"/>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-1917065</wp:posOffset>
            </wp:positionV>
            <wp:extent cx="7683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-1917065</wp:posOffset>
            </wp:positionV>
            <wp:extent cx="7683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-1917065</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-1917065</wp:posOffset>
            </wp:positionV>
            <wp:extent cx="6858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-1917065</wp:posOffset>
            </wp:positionV>
            <wp:extent cx="685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-1917065</wp:posOffset>
            </wp:positionV>
            <wp:extent cx="685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-1591945</wp:posOffset>
            </wp:positionV>
            <wp:extent cx="76835" cy="3594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359410"/>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-1591945</wp:posOffset>
            </wp:positionV>
            <wp:extent cx="76835" cy="3594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359410"/>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-1591945</wp:posOffset>
            </wp:positionV>
            <wp:extent cx="68580" cy="3594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35941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-1591945</wp:posOffset>
            </wp:positionV>
            <wp:extent cx="68580" cy="3594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359410"/>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-1591945</wp:posOffset>
            </wp:positionV>
            <wp:extent cx="68580" cy="6165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6165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6165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61658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-525780</wp:posOffset>
            </wp:positionV>
            <wp:extent cx="3613150" cy="196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13150" cy="196850"/>
                    </a:xfrm>
                    <a:prstGeom prst="rect">
                      <a:avLst/>
                    </a:prstGeom>
                    <a:noFill/>
                  </pic:spPr>
                </pic:pic>
              </a:graphicData>
            </a:graphic>
          </wp:anchor>
        </w:drawing>
        <w:drawing>
          <wp:anchor simplePos="0" relativeHeight="251657728" behindDoc="1" locked="0" layoutInCell="0" allowOverlap="1">
            <wp:simplePos x="0" y="0"/>
            <wp:positionH relativeFrom="column">
              <wp:posOffset>3549650</wp:posOffset>
            </wp:positionH>
            <wp:positionV relativeFrom="paragraph">
              <wp:posOffset>-187960</wp:posOffset>
            </wp:positionV>
            <wp:extent cx="7683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-187960</wp:posOffset>
            </wp:positionV>
            <wp:extent cx="76835"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-187960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-187960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6858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chart shows the balance of Orion’s receivables arising from contracts with customers, contract assets and contract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March 31, 2023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7"/>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16,117</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1,827</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w:t>
            </w:r>
          </w:p>
        </w:tc>
        <w:tc>
          <w:tcPr>
            <w:tcW w:w="5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Deferred revenue, current as of September 30, 2023 and March 31, 2023, includes $1.7 million and $0.5 million, respectively, of contract liabilities which represent consideration received from a customer contract on which installation has not yet begun and Orion has not fulfilled the promises included. Of the $0.5 million outstanding as of March 31, 2023, $0.3 million has been recognized as revenue.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ACCOUNTS RECEIVABLE, NET</w:t>
      </w:r>
    </w:p>
    <w:p>
      <w:pPr>
        <w:spacing w:after="0" w:line="175"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As of September 30, 2023 and March 31, 2023, Orion's accounts receivable and allowance for credit losses balances were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gross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16,389</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13,814</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(272 )</w:t>
            </w:r>
          </w:p>
        </w:tc>
        <w:tc>
          <w:tcPr>
            <w:tcW w:w="2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(86 )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16,117</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Orion’s allowance for credit losses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58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w w:val="96"/>
              </w:rPr>
              <w:t>September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(272</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760" w:type="dxa"/>
            <w:vAlign w:val="bottom"/>
          </w:tcPr>
          <w:p>
            <w:pPr>
              <w:spacing w:after="0"/>
              <w:rPr>
                <w:sz w:val="20"/>
                <w:szCs w:val="20"/>
                <w:color w:val="auto"/>
              </w:rPr>
            </w:pPr>
          </w:p>
        </w:tc>
        <w:tc>
          <w:tcPr>
            <w:tcW w:w="6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0"/>
                <w:szCs w:val="20"/>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(190 )</w:t>
            </w: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4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Write-off</w:t>
            </w:r>
          </w:p>
        </w:tc>
        <w:tc>
          <w:tcPr>
            <w:tcW w:w="7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(272 )</w:t>
            </w:r>
          </w:p>
        </w:tc>
        <w:tc>
          <w:tcPr>
            <w:tcW w:w="820" w:type="dxa"/>
            <w:vAlign w:val="bottom"/>
          </w:tcPr>
          <w:p>
            <w:pPr>
              <w:jc w:val="right"/>
              <w:ind w:right="616"/>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(41 )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(272 )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58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2023 and March 31, 2023, Orion's inventory balances were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0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 of September 30, 2023</w:t>
            </w:r>
          </w:p>
        </w:tc>
        <w:tc>
          <w:tcPr>
            <w:tcW w:w="820" w:type="dxa"/>
            <w:vAlign w:val="bottom"/>
            <w:tcBorders>
              <w:top w:val="single" w:sz="8" w:color="auto"/>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7,292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(1,085 )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(141 )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14,318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(736 )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22,122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 of March 31, 2023</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Raw materials and components</w:t>
            </w:r>
          </w:p>
        </w:tc>
        <w:tc>
          <w:tcPr>
            <w:tcW w:w="820" w:type="dxa"/>
            <w:vAlign w:val="bottom"/>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9,988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(1,094 )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Work in process</w:t>
            </w: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(135 )</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9,313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Arial" w:cs="Arial" w:eastAsia="Arial" w:hAnsi="Arial"/>
                <w:sz w:val="18"/>
                <w:szCs w:val="18"/>
                <w:color w:val="auto"/>
              </w:rPr>
              <w:t>(560 )</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jc w:val="right"/>
              <w:ind w:right="6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19,994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-984250</wp:posOffset>
            </wp:positionV>
            <wp:extent cx="207200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72005" cy="1797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Prepaid expenses consists primarily of prepaid insurance premiums, debt issue costs, prepaid subscription fees and sales tax receivable.</w:t>
      </w:r>
    </w:p>
    <w:p>
      <w:pPr>
        <w:spacing w:after="0" w:line="236"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Other current assets as of September 30, 2023 and March 31, 2023 consists primarily of $1.8 million and none, respectively, of prepaid software and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7 — PROPERTY AND EQUIPMENT, NET</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2023 and March 31, 2023, property and equipment, net, included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9,504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7,910</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leased to customers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Plant equipment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11,135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11,234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Gross property and equipment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(25,281 )</w:t>
            </w:r>
          </w:p>
        </w:tc>
        <w:tc>
          <w:tcPr>
            <w:tcW w:w="28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(24,764 )</w:t>
            </w:r>
          </w:p>
        </w:tc>
      </w:tr>
      <w:tr>
        <w:trPr>
          <w:trHeight w:val="276"/>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10,368</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64"/>
        <w:spacing w:after="0" w:line="311"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classification</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9"/>
              </w:rPr>
              <w:t>September 30, 2023</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380" w:type="dxa"/>
            <w:vAlign w:val="bottom"/>
          </w:tcPr>
          <w:p>
            <w:pPr>
              <w:ind w:left="60"/>
              <w:spacing w:after="0"/>
              <w:rPr>
                <w:sz w:val="20"/>
                <w:szCs w:val="20"/>
                <w:color w:val="auto"/>
              </w:rPr>
            </w:pPr>
            <w:r>
              <w:rPr>
                <w:rFonts w:ascii="Arial" w:cs="Arial" w:eastAsia="Arial" w:hAnsi="Arial"/>
                <w:sz w:val="18"/>
                <w:szCs w:val="18"/>
                <w:color w:val="auto"/>
              </w:rPr>
              <w:t>Other long-term assets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2,159</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r>
      <w:tr>
        <w:trPr>
          <w:trHeight w:val="249"/>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500" w:type="dxa"/>
            <w:vAlign w:val="bottom"/>
            <w:shd w:val="clear" w:color="auto" w:fill="CFF0FC"/>
          </w:tcPr>
          <w:p>
            <w:pPr>
              <w:jc w:val="center"/>
              <w:ind w:right="1170"/>
              <w:spacing w:after="0"/>
              <w:rPr>
                <w:sz w:val="20"/>
                <w:szCs w:val="20"/>
                <w:color w:val="auto"/>
              </w:rPr>
            </w:pPr>
            <w:r>
              <w:rPr>
                <w:rFonts w:ascii="Arial" w:cs="Arial" w:eastAsia="Arial" w:hAnsi="Arial"/>
                <w:sz w:val="18"/>
                <w:szCs w:val="18"/>
                <w:color w:val="auto"/>
                <w:w w:val="91"/>
              </w:rPr>
              <w:t>Operating lease liabilities</w:t>
            </w:r>
          </w:p>
        </w:tc>
        <w:tc>
          <w:tcPr>
            <w:tcW w:w="3380" w:type="dxa"/>
            <w:vAlign w:val="bottom"/>
            <w:shd w:val="clear" w:color="auto" w:fill="CFF0FC"/>
          </w:tcPr>
          <w:p>
            <w:pPr>
              <w:ind w:left="60"/>
              <w:spacing w:after="0"/>
              <w:rPr>
                <w:sz w:val="20"/>
                <w:szCs w:val="20"/>
                <w:color w:val="auto"/>
              </w:rPr>
            </w:pPr>
            <w:r>
              <w:rPr>
                <w:rFonts w:ascii="Arial" w:cs="Arial" w:eastAsia="Arial" w:hAnsi="Arial"/>
                <w:sz w:val="18"/>
                <w:szCs w:val="18"/>
                <w:color w:val="auto"/>
              </w:rPr>
              <w:t>Accrued expenses and other</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FF0FC"/>
          </w:tcPr>
          <w:p>
            <w:pPr>
              <w:spacing w:after="0"/>
              <w:rPr>
                <w:sz w:val="21"/>
                <w:szCs w:val="21"/>
                <w:color w:val="auto"/>
              </w:rPr>
            </w:pPr>
          </w:p>
        </w:tc>
      </w:tr>
      <w:tr>
        <w:trPr>
          <w:trHeight w:val="236"/>
        </w:trPr>
        <w:tc>
          <w:tcPr>
            <w:tcW w:w="350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500" w:type="dxa"/>
            <w:vAlign w:val="bottom"/>
            <w:tcBorders>
              <w:bottom w:val="single" w:sz="8" w:color="CFF0FC"/>
            </w:tcBorders>
            <w:shd w:val="clear" w:color="auto" w:fill="CFF0FC"/>
          </w:tcPr>
          <w:p>
            <w:pPr>
              <w:jc w:val="center"/>
              <w:ind w:right="1170"/>
              <w:spacing w:after="0"/>
              <w:rPr>
                <w:sz w:val="20"/>
                <w:szCs w:val="20"/>
                <w:color w:val="auto"/>
              </w:rPr>
            </w:pPr>
            <w:r>
              <w:rPr>
                <w:rFonts w:ascii="Arial" w:cs="Arial" w:eastAsia="Arial" w:hAnsi="Arial"/>
                <w:sz w:val="18"/>
                <w:szCs w:val="18"/>
                <w:color w:val="auto"/>
                <w:w w:val="91"/>
              </w:rPr>
              <w:t>Operating lease liabilities</w:t>
            </w:r>
          </w:p>
        </w:tc>
        <w:tc>
          <w:tcPr>
            <w:tcW w:w="33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3500" w:type="dxa"/>
            <w:vAlign w:val="bottom"/>
          </w:tcPr>
          <w:p>
            <w:pPr>
              <w:jc w:val="center"/>
              <w:ind w:right="1170"/>
              <w:spacing w:after="0"/>
              <w:rPr>
                <w:sz w:val="20"/>
                <w:szCs w:val="20"/>
                <w:color w:val="auto"/>
              </w:rPr>
            </w:pPr>
            <w:r>
              <w:rPr>
                <w:rFonts w:ascii="Arial" w:cs="Arial" w:eastAsia="Arial" w:hAnsi="Arial"/>
                <w:sz w:val="18"/>
                <w:szCs w:val="18"/>
                <w:color w:val="auto"/>
                <w:w w:val="91"/>
              </w:rPr>
              <w:t>Total lease liabilities</w:t>
            </w:r>
          </w:p>
        </w:tc>
        <w:tc>
          <w:tcPr>
            <w:tcW w:w="33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2,573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Orion had operating lease costs of $0.7 million and $1.1 million for the three and six months ended September 30, 2023, respectively. Orion had operating lease costs of $0.3 million and $0.6 million for the three and six months ended September 30, 2022, respectively.</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estimated maturity of lease liabilities for each of the next five years is shown below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Maturity of Lease Liabilities</w:t>
            </w:r>
          </w:p>
        </w:tc>
        <w:tc>
          <w:tcPr>
            <w:tcW w:w="534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8"/>
                <w:szCs w:val="18"/>
                <w:b w:val="1"/>
                <w:bCs w:val="1"/>
                <w:color w:val="auto"/>
                <w:w w:val="90"/>
              </w:rPr>
              <w:t>Operating Leases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2024 (period remaining)</w:t>
            </w:r>
          </w:p>
        </w:tc>
        <w:tc>
          <w:tcPr>
            <w:tcW w:w="6740" w:type="dxa"/>
            <w:vAlign w:val="bottom"/>
            <w:gridSpan w:val="2"/>
            <w:shd w:val="clear" w:color="auto" w:fill="CFF0FC"/>
          </w:tcPr>
          <w:p>
            <w:pPr>
              <w:ind w:left="5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5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2026</w:t>
            </w:r>
          </w:p>
        </w:tc>
        <w:tc>
          <w:tcPr>
            <w:tcW w:w="53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5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53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6740" w:type="dxa"/>
            <w:vAlign w:val="bottom"/>
            <w:gridSpan w:val="2"/>
          </w:tcPr>
          <w:p>
            <w:pPr>
              <w:ind w:left="5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Less: Interest</w:t>
            </w:r>
          </w:p>
        </w:tc>
        <w:tc>
          <w:tcPr>
            <w:tcW w:w="53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39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6740" w:type="dxa"/>
            <w:vAlign w:val="bottom"/>
            <w:gridSpan w:val="2"/>
          </w:tcPr>
          <w:p>
            <w:pPr>
              <w:ind w:left="53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340" w:type="dxa"/>
            <w:vAlign w:val="bottom"/>
            <w:vMerge w:val="restart"/>
          </w:tcPr>
          <w:p>
            <w:pPr>
              <w:jc w:val="right"/>
              <w:ind w:right="3450"/>
              <w:spacing w:after="0"/>
              <w:rPr>
                <w:sz w:val="20"/>
                <w:szCs w:val="20"/>
                <w:color w:val="auto"/>
              </w:rPr>
            </w:pPr>
            <w:r>
              <w:rPr>
                <w:rFonts w:ascii="Arial" w:cs="Arial" w:eastAsia="Arial" w:hAnsi="Arial"/>
                <w:sz w:val="18"/>
                <w:szCs w:val="18"/>
                <w:color w:val="auto"/>
              </w:rPr>
              <w:t>11</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9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53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9 — GOODWILL AND OTHER INTANGIBLE ASSETS, NET</w:t>
      </w:r>
    </w:p>
    <w:p>
      <w:pPr>
        <w:spacing w:after="0" w:line="175" w:lineRule="exact"/>
        <w:rPr>
          <w:sz w:val="20"/>
          <w:szCs w:val="20"/>
          <w:color w:val="auto"/>
        </w:rPr>
      </w:pPr>
    </w:p>
    <w:p>
      <w:pPr>
        <w:ind w:firstLine="464"/>
        <w:spacing w:after="0" w:line="277" w:lineRule="auto"/>
        <w:rPr>
          <w:sz w:val="20"/>
          <w:szCs w:val="20"/>
          <w:color w:val="auto"/>
        </w:rPr>
      </w:pPr>
      <w:r>
        <w:rPr>
          <w:rFonts w:ascii="Arial" w:cs="Arial" w:eastAsia="Arial" w:hAnsi="Arial"/>
          <w:sz w:val="18"/>
          <w:szCs w:val="18"/>
          <w:color w:val="auto"/>
        </w:rPr>
        <w:t>Orion has $0.9 million of goodwill related to its purchase of Voltrek in the third quarter of fiscal 2023, which has an indefinite life, and is assigned to the EV Charging operating segment.</w:t>
      </w:r>
    </w:p>
    <w:p>
      <w:pPr>
        <w:spacing w:after="0" w:line="116" w:lineRule="exact"/>
        <w:rPr>
          <w:sz w:val="20"/>
          <w:szCs w:val="20"/>
          <w:color w:val="auto"/>
        </w:rPr>
      </w:pPr>
    </w:p>
    <w:p>
      <w:pPr>
        <w:ind w:firstLine="464"/>
        <w:spacing w:after="0" w:line="277" w:lineRule="auto"/>
        <w:rPr>
          <w:sz w:val="20"/>
          <w:szCs w:val="20"/>
          <w:color w:val="auto"/>
        </w:rPr>
      </w:pPr>
      <w:r>
        <w:rPr>
          <w:rFonts w:ascii="Arial" w:cs="Arial" w:eastAsia="Arial" w:hAnsi="Arial"/>
          <w:sz w:val="18"/>
          <w:szCs w:val="18"/>
          <w:color w:val="auto"/>
        </w:rPr>
        <w:t>Orion has $0.6 million of goodwill related to its purchase of Stay-Light Lighting during fiscal year 2022, which has an indefinite life, and is assigned to the Maintenance operating segment.</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18 – Acquisition for further discussion of the Voltrek acquisition.</w:t>
      </w:r>
    </w:p>
    <w:p>
      <w:pPr>
        <w:spacing w:after="0" w:line="171" w:lineRule="exact"/>
        <w:rPr>
          <w:sz w:val="20"/>
          <w:szCs w:val="20"/>
          <w:color w:val="auto"/>
        </w:rPr>
      </w:pPr>
    </w:p>
    <w:p>
      <w:pPr>
        <w:ind w:firstLine="464"/>
        <w:spacing w:after="0" w:line="277" w:lineRule="auto"/>
        <w:rPr>
          <w:sz w:val="20"/>
          <w:szCs w:val="20"/>
          <w:color w:val="auto"/>
        </w:rPr>
      </w:pPr>
      <w:r>
        <w:rPr>
          <w:rFonts w:ascii="Arial" w:cs="Arial" w:eastAsia="Arial" w:hAnsi="Arial"/>
          <w:sz w:val="18"/>
          <w:szCs w:val="18"/>
          <w:color w:val="auto"/>
        </w:rPr>
        <w:t>As of September 30, 2023 and March 31, 2023, the components of, and changes in, the carrying amount of other intangible assets, net, were as follows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11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Amortized Intangible Assets</w:t>
            </w: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120"/>
              <w:spacing w:after="0"/>
              <w:rPr>
                <w:sz w:val="20"/>
                <w:szCs w:val="20"/>
                <w:color w:val="auto"/>
              </w:rPr>
            </w:pPr>
            <w:r>
              <w:rPr>
                <w:rFonts w:ascii="Arial" w:cs="Arial" w:eastAsia="Arial" w:hAnsi="Arial"/>
                <w:sz w:val="14"/>
                <w:szCs w:val="14"/>
                <w:color w:val="auto"/>
              </w:rPr>
              <w:t>Patents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2,521</w:t>
            </w:r>
          </w:p>
        </w:tc>
        <w:tc>
          <w:tcPr>
            <w:tcW w:w="48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(1,981 )</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540</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8.4</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2,521</w:t>
            </w:r>
          </w:p>
        </w:tc>
        <w:tc>
          <w:tcPr>
            <w:tcW w:w="52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(1,930 )</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4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Licenses</w:t>
            </w:r>
          </w:p>
        </w:tc>
        <w:tc>
          <w:tcPr>
            <w:tcW w:w="1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(58 )</w:t>
            </w:r>
          </w:p>
        </w:tc>
        <w:tc>
          <w:tcPr>
            <w:tcW w:w="2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(58 )</w:t>
            </w:r>
          </w:p>
        </w:tc>
        <w:tc>
          <w:tcPr>
            <w:tcW w:w="22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40" w:type="dxa"/>
            <w:vAlign w:val="bottom"/>
            <w:gridSpan w:val="2"/>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820" w:type="dxa"/>
            <w:vAlign w:val="bottom"/>
            <w:gridSpan w:val="2"/>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120"/>
              <w:spacing w:after="0"/>
              <w:rPr>
                <w:sz w:val="20"/>
                <w:szCs w:val="20"/>
                <w:color w:val="auto"/>
              </w:rPr>
            </w:pPr>
            <w:r>
              <w:rPr>
                <w:rFonts w:ascii="Arial" w:cs="Arial" w:eastAsia="Arial" w:hAnsi="Arial"/>
                <w:sz w:val="14"/>
                <w:szCs w:val="14"/>
                <w:color w:val="auto"/>
              </w:rPr>
              <w:t>Trade name and trademarks</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(117 )</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347</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(73 )</w:t>
            </w: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5,509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(4,174 )</w:t>
            </w:r>
          </w:p>
        </w:tc>
        <w:tc>
          <w:tcPr>
            <w:tcW w:w="200" w:type="dxa"/>
            <w:vAlign w:val="bottom"/>
            <w:shd w:val="clear" w:color="auto" w:fill="CFF0FC"/>
          </w:tcPr>
          <w:p>
            <w:pPr>
              <w:spacing w:after="0"/>
              <w:rPr>
                <w:sz w:val="15"/>
                <w:szCs w:val="15"/>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1,335</w:t>
            </w:r>
          </w:p>
        </w:tc>
        <w:tc>
          <w:tcPr>
            <w:tcW w:w="11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5,509</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(3,914 )</w:t>
            </w:r>
          </w:p>
        </w:tc>
        <w:tc>
          <w:tcPr>
            <w:tcW w:w="22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0" w:type="dxa"/>
            <w:vAlign w:val="bottom"/>
            <w:vMerge w:val="continue"/>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940" w:type="dxa"/>
            <w:vAlign w:val="bottom"/>
            <w:gridSpan w:val="2"/>
            <w:vMerge w:val="continue"/>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640" w:type="dxa"/>
            <w:vAlign w:val="bottom"/>
            <w:vMerge w:val="continue"/>
            <w:shd w:val="clear" w:color="auto" w:fill="CFF0FC"/>
          </w:tcPr>
          <w:p>
            <w:pPr>
              <w:spacing w:after="0"/>
              <w:rPr>
                <w:sz w:val="5"/>
                <w:szCs w:val="5"/>
                <w:color w:val="auto"/>
              </w:rPr>
            </w:pPr>
          </w:p>
        </w:tc>
        <w:tc>
          <w:tcPr>
            <w:tcW w:w="1160" w:type="dxa"/>
            <w:vAlign w:val="bottom"/>
            <w:gridSpan w:val="2"/>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80" w:type="dxa"/>
            <w:vAlign w:val="bottom"/>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820" w:type="dxa"/>
            <w:vAlign w:val="bottom"/>
            <w:gridSpan w:val="2"/>
            <w:vMerge w:val="continue"/>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400" w:type="dxa"/>
            <w:vAlign w:val="bottom"/>
          </w:tcPr>
          <w:p>
            <w:pPr>
              <w:ind w:left="120"/>
              <w:spacing w:after="0"/>
              <w:rPr>
                <w:sz w:val="20"/>
                <w:szCs w:val="20"/>
                <w:color w:val="auto"/>
              </w:rPr>
            </w:pPr>
            <w:r>
              <w:rPr>
                <w:rFonts w:ascii="Arial" w:cs="Arial" w:eastAsia="Arial" w:hAnsi="Arial"/>
                <w:sz w:val="14"/>
                <w:szCs w:val="14"/>
                <w:color w:val="auto"/>
              </w:rPr>
              <w:t>Vendor relationships</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(368 )</w:t>
            </w:r>
          </w:p>
        </w:tc>
        <w:tc>
          <w:tcPr>
            <w:tcW w:w="2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2,232</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6.0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2,600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(183 )</w:t>
            </w:r>
          </w:p>
        </w:tc>
        <w:tc>
          <w:tcPr>
            <w:tcW w:w="2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3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Developed technology</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(900 )</w:t>
            </w:r>
          </w:p>
        </w:tc>
        <w:tc>
          <w:tcPr>
            <w:tcW w:w="2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900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(900 )</w:t>
            </w:r>
          </w:p>
        </w:tc>
        <w:tc>
          <w:tcPr>
            <w:tcW w:w="2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Total Amortized Intangible Assets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12,052</w:t>
            </w:r>
          </w:p>
        </w:tc>
        <w:tc>
          <w:tcPr>
            <w:tcW w:w="240" w:type="dxa"/>
            <w:vAlign w:val="bottom"/>
            <w:vMerge w:val="restart"/>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(7,598 )</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4,454</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5.3</w:t>
            </w: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12,052</w:t>
            </w:r>
          </w:p>
        </w:tc>
        <w:tc>
          <w:tcPr>
            <w:tcW w:w="52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(7,058 )</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4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Indefinite-lived Intangible Assets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3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4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Trade name and trademarks</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240" w:type="dxa"/>
            <w:vAlign w:val="bottom"/>
            <w:vMerge w:val="restart"/>
            <w:shd w:val="clear" w:color="auto" w:fill="CFF0FC"/>
          </w:tcPr>
          <w:p>
            <w:pPr>
              <w:spacing w:after="0"/>
              <w:rPr>
                <w:sz w:val="15"/>
                <w:szCs w:val="15"/>
                <w:color w:val="auto"/>
              </w:rPr>
            </w:pPr>
          </w:p>
        </w:tc>
        <w:tc>
          <w:tcPr>
            <w:tcW w:w="240" w:type="dxa"/>
            <w:vAlign w:val="bottom"/>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FF0FC"/>
          </w:tcPr>
          <w:p>
            <w:pPr>
              <w:spacing w:after="0"/>
              <w:rPr>
                <w:sz w:val="15"/>
                <w:szCs w:val="15"/>
                <w:color w:val="auto"/>
              </w:rPr>
            </w:pPr>
          </w:p>
        </w:tc>
        <w:tc>
          <w:tcPr>
            <w:tcW w:w="2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220" w:type="dxa"/>
            <w:vAlign w:val="bottom"/>
            <w:vMerge w:val="restart"/>
            <w:shd w:val="clear" w:color="auto" w:fill="CFF0FC"/>
          </w:tcPr>
          <w:p>
            <w:pPr>
              <w:spacing w:after="0"/>
              <w:rPr>
                <w:sz w:val="15"/>
                <w:szCs w:val="15"/>
                <w:color w:val="auto"/>
              </w:rPr>
            </w:pPr>
          </w:p>
        </w:tc>
        <w:tc>
          <w:tcPr>
            <w:tcW w:w="300" w:type="dxa"/>
            <w:vAlign w:val="bottom"/>
            <w:vMerge w:val="restart"/>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FF0FC"/>
          </w:tcPr>
          <w:p>
            <w:pPr>
              <w:spacing w:after="0"/>
              <w:rPr>
                <w:sz w:val="15"/>
                <w:szCs w:val="15"/>
                <w:color w:val="auto"/>
              </w:rPr>
            </w:pP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3400" w:type="dxa"/>
            <w:vAlign w:val="bottom"/>
            <w:tcBorders>
              <w:bottom w:val="single" w:sz="8" w:color="CFF0FC"/>
            </w:tcBorders>
            <w:shd w:val="clear" w:color="auto" w:fill="CFF0FC"/>
          </w:tcPr>
          <w:p>
            <w:pPr>
              <w:spacing w:after="0"/>
              <w:rPr>
                <w:sz w:val="4"/>
                <w:szCs w:val="4"/>
                <w:color w:val="auto"/>
              </w:rPr>
            </w:pPr>
          </w:p>
        </w:tc>
        <w:tc>
          <w:tcPr>
            <w:tcW w:w="140" w:type="dxa"/>
            <w:vAlign w:val="bottom"/>
            <w:tcBorders>
              <w:bottom w:val="single" w:sz="8" w:color="auto"/>
            </w:tcBorders>
            <w:vMerge w:val="continue"/>
            <w:shd w:val="clear" w:color="auto" w:fill="CFF0FC"/>
          </w:tcPr>
          <w:p>
            <w:pPr>
              <w:spacing w:after="0"/>
              <w:rPr>
                <w:sz w:val="4"/>
                <w:szCs w:val="4"/>
                <w:color w:val="auto"/>
              </w:rPr>
            </w:pPr>
          </w:p>
        </w:tc>
        <w:tc>
          <w:tcPr>
            <w:tcW w:w="800" w:type="dxa"/>
            <w:vAlign w:val="bottom"/>
            <w:tcBorders>
              <w:bottom w:val="single" w:sz="8" w:color="auto"/>
            </w:tcBorders>
            <w:vMerge w:val="continue"/>
            <w:shd w:val="clear" w:color="auto" w:fill="CFF0FC"/>
          </w:tcPr>
          <w:p>
            <w:pPr>
              <w:spacing w:after="0"/>
              <w:rPr>
                <w:sz w:val="4"/>
                <w:szCs w:val="4"/>
                <w:color w:val="auto"/>
              </w:rPr>
            </w:pPr>
          </w:p>
        </w:tc>
        <w:tc>
          <w:tcPr>
            <w:tcW w:w="240" w:type="dxa"/>
            <w:vAlign w:val="bottom"/>
            <w:tcBorders>
              <w:bottom w:val="single" w:sz="8" w:color="CFF0FC"/>
            </w:tcBorders>
            <w:vMerge w:val="continue"/>
            <w:shd w:val="clear" w:color="auto" w:fill="CFF0FC"/>
          </w:tcPr>
          <w:p>
            <w:pPr>
              <w:spacing w:after="0"/>
              <w:rPr>
                <w:sz w:val="4"/>
                <w:szCs w:val="4"/>
                <w:color w:val="auto"/>
              </w:rPr>
            </w:pPr>
          </w:p>
        </w:tc>
        <w:tc>
          <w:tcPr>
            <w:tcW w:w="240" w:type="dxa"/>
            <w:vAlign w:val="bottom"/>
            <w:tcBorders>
              <w:bottom w:val="single" w:sz="8" w:color="auto"/>
            </w:tcBorders>
            <w:vMerge w:val="continue"/>
            <w:shd w:val="clear" w:color="auto" w:fill="CFF0FC"/>
          </w:tcPr>
          <w:p>
            <w:pPr>
              <w:spacing w:after="0"/>
              <w:rPr>
                <w:sz w:val="4"/>
                <w:szCs w:val="4"/>
                <w:color w:val="auto"/>
              </w:rPr>
            </w:pPr>
          </w:p>
        </w:tc>
        <w:tc>
          <w:tcPr>
            <w:tcW w:w="680" w:type="dxa"/>
            <w:vAlign w:val="bottom"/>
            <w:tcBorders>
              <w:bottom w:val="single" w:sz="8" w:color="auto"/>
            </w:tcBorders>
            <w:vMerge w:val="continue"/>
            <w:shd w:val="clear" w:color="auto" w:fill="CFF0FC"/>
          </w:tcPr>
          <w:p>
            <w:pPr>
              <w:spacing w:after="0"/>
              <w:rPr>
                <w:sz w:val="4"/>
                <w:szCs w:val="4"/>
                <w:color w:val="auto"/>
              </w:rPr>
            </w:pPr>
          </w:p>
        </w:tc>
        <w:tc>
          <w:tcPr>
            <w:tcW w:w="260" w:type="dxa"/>
            <w:vAlign w:val="bottom"/>
            <w:tcBorders>
              <w:bottom w:val="single" w:sz="8" w:color="CFF0FC"/>
            </w:tcBorders>
            <w:vMerge w:val="continue"/>
            <w:shd w:val="clear" w:color="auto" w:fill="CFF0FC"/>
          </w:tcPr>
          <w:p>
            <w:pPr>
              <w:spacing w:after="0"/>
              <w:rPr>
                <w:sz w:val="4"/>
                <w:szCs w:val="4"/>
                <w:color w:val="auto"/>
              </w:rPr>
            </w:pPr>
          </w:p>
        </w:tc>
        <w:tc>
          <w:tcPr>
            <w:tcW w:w="200" w:type="dxa"/>
            <w:vAlign w:val="bottom"/>
            <w:tcBorders>
              <w:bottom w:val="single" w:sz="8" w:color="auto"/>
            </w:tcBorders>
            <w:vMerge w:val="continue"/>
            <w:shd w:val="clear" w:color="auto" w:fill="CFF0FC"/>
          </w:tcPr>
          <w:p>
            <w:pPr>
              <w:spacing w:after="0"/>
              <w:rPr>
                <w:sz w:val="4"/>
                <w:szCs w:val="4"/>
                <w:color w:val="auto"/>
              </w:rPr>
            </w:pPr>
          </w:p>
        </w:tc>
        <w:tc>
          <w:tcPr>
            <w:tcW w:w="640" w:type="dxa"/>
            <w:vAlign w:val="bottom"/>
            <w:tcBorders>
              <w:bottom w:val="single" w:sz="8" w:color="auto"/>
            </w:tcBorders>
            <w:vMerge w:val="continue"/>
            <w:shd w:val="clear" w:color="auto" w:fill="CFF0FC"/>
          </w:tcPr>
          <w:p>
            <w:pPr>
              <w:spacing w:after="0"/>
              <w:rPr>
                <w:sz w:val="4"/>
                <w:szCs w:val="4"/>
                <w:color w:val="auto"/>
              </w:rPr>
            </w:pPr>
          </w:p>
        </w:tc>
        <w:tc>
          <w:tcPr>
            <w:tcW w:w="220" w:type="dxa"/>
            <w:vAlign w:val="bottom"/>
            <w:tcBorders>
              <w:bottom w:val="single" w:sz="8" w:color="CFF0FC"/>
            </w:tcBorders>
            <w:shd w:val="clear" w:color="auto" w:fill="CFF0FC"/>
          </w:tcPr>
          <w:p>
            <w:pPr>
              <w:spacing w:after="0"/>
              <w:rPr>
                <w:sz w:val="4"/>
                <w:szCs w:val="4"/>
                <w:color w:val="auto"/>
              </w:rPr>
            </w:pPr>
          </w:p>
        </w:tc>
        <w:tc>
          <w:tcPr>
            <w:tcW w:w="940" w:type="dxa"/>
            <w:vAlign w:val="bottom"/>
            <w:tcBorders>
              <w:bottom w:val="single" w:sz="8" w:color="CFF0FC"/>
            </w:tcBorders>
            <w:shd w:val="clear" w:color="auto" w:fill="CFF0FC"/>
          </w:tcPr>
          <w:p>
            <w:pPr>
              <w:spacing w:after="0"/>
              <w:rPr>
                <w:sz w:val="4"/>
                <w:szCs w:val="4"/>
                <w:color w:val="auto"/>
              </w:rPr>
            </w:pPr>
          </w:p>
        </w:tc>
        <w:tc>
          <w:tcPr>
            <w:tcW w:w="220" w:type="dxa"/>
            <w:vAlign w:val="bottom"/>
            <w:tcBorders>
              <w:bottom w:val="single" w:sz="8" w:color="CFF0FC"/>
            </w:tcBorders>
            <w:vMerge w:val="continue"/>
            <w:shd w:val="clear" w:color="auto" w:fill="CFF0FC"/>
          </w:tcPr>
          <w:p>
            <w:pPr>
              <w:spacing w:after="0"/>
              <w:rPr>
                <w:sz w:val="4"/>
                <w:szCs w:val="4"/>
                <w:color w:val="auto"/>
              </w:rPr>
            </w:pPr>
          </w:p>
        </w:tc>
        <w:tc>
          <w:tcPr>
            <w:tcW w:w="120" w:type="dxa"/>
            <w:vAlign w:val="bottom"/>
            <w:tcBorders>
              <w:bottom w:val="single" w:sz="8" w:color="auto"/>
            </w:tcBorders>
            <w:vMerge w:val="continue"/>
            <w:shd w:val="clear" w:color="auto" w:fill="CFF0FC"/>
          </w:tcPr>
          <w:p>
            <w:pPr>
              <w:spacing w:after="0"/>
              <w:rPr>
                <w:sz w:val="4"/>
                <w:szCs w:val="4"/>
                <w:color w:val="auto"/>
              </w:rPr>
            </w:pPr>
          </w:p>
        </w:tc>
        <w:tc>
          <w:tcPr>
            <w:tcW w:w="780" w:type="dxa"/>
            <w:vAlign w:val="bottom"/>
            <w:tcBorders>
              <w:bottom w:val="single" w:sz="8" w:color="auto"/>
            </w:tcBorders>
            <w:vMerge w:val="continue"/>
            <w:shd w:val="clear" w:color="auto" w:fill="CFF0FC"/>
          </w:tcPr>
          <w:p>
            <w:pPr>
              <w:spacing w:after="0"/>
              <w:rPr>
                <w:sz w:val="4"/>
                <w:szCs w:val="4"/>
                <w:color w:val="auto"/>
              </w:rPr>
            </w:pPr>
          </w:p>
        </w:tc>
        <w:tc>
          <w:tcPr>
            <w:tcW w:w="220" w:type="dxa"/>
            <w:vAlign w:val="bottom"/>
            <w:tcBorders>
              <w:bottom w:val="single" w:sz="8" w:color="CFF0FC"/>
            </w:tcBorders>
            <w:vMerge w:val="continue"/>
            <w:shd w:val="clear" w:color="auto" w:fill="CFF0FC"/>
          </w:tcPr>
          <w:p>
            <w:pPr>
              <w:spacing w:after="0"/>
              <w:rPr>
                <w:sz w:val="4"/>
                <w:szCs w:val="4"/>
                <w:color w:val="auto"/>
              </w:rPr>
            </w:pPr>
          </w:p>
        </w:tc>
        <w:tc>
          <w:tcPr>
            <w:tcW w:w="300" w:type="dxa"/>
            <w:vAlign w:val="bottom"/>
            <w:tcBorders>
              <w:bottom w:val="single" w:sz="8" w:color="auto"/>
            </w:tcBorders>
            <w:vMerge w:val="continue"/>
            <w:shd w:val="clear" w:color="auto" w:fill="CFF0FC"/>
          </w:tcPr>
          <w:p>
            <w:pPr>
              <w:spacing w:after="0"/>
              <w:rPr>
                <w:sz w:val="4"/>
                <w:szCs w:val="4"/>
                <w:color w:val="auto"/>
              </w:rPr>
            </w:pPr>
          </w:p>
        </w:tc>
        <w:tc>
          <w:tcPr>
            <w:tcW w:w="600" w:type="dxa"/>
            <w:vAlign w:val="bottom"/>
            <w:tcBorders>
              <w:bottom w:val="single" w:sz="8" w:color="auto"/>
            </w:tcBorders>
            <w:vMerge w:val="continue"/>
            <w:shd w:val="clear" w:color="auto" w:fill="CFF0FC"/>
          </w:tcPr>
          <w:p>
            <w:pPr>
              <w:spacing w:after="0"/>
              <w:rPr>
                <w:sz w:val="4"/>
                <w:szCs w:val="4"/>
                <w:color w:val="auto"/>
              </w:rPr>
            </w:pPr>
          </w:p>
        </w:tc>
        <w:tc>
          <w:tcPr>
            <w:tcW w:w="220" w:type="dxa"/>
            <w:vAlign w:val="bottom"/>
            <w:tcBorders>
              <w:bottom w:val="single" w:sz="8" w:color="CFF0FC"/>
            </w:tcBorders>
            <w:vMerge w:val="continue"/>
            <w:shd w:val="clear" w:color="auto" w:fill="CFF0FC"/>
          </w:tcPr>
          <w:p>
            <w:pPr>
              <w:spacing w:after="0"/>
              <w:rPr>
                <w:sz w:val="4"/>
                <w:szCs w:val="4"/>
                <w:color w:val="auto"/>
              </w:rPr>
            </w:pPr>
          </w:p>
        </w:tc>
        <w:tc>
          <w:tcPr>
            <w:tcW w:w="220" w:type="dxa"/>
            <w:vAlign w:val="bottom"/>
            <w:tcBorders>
              <w:bottom w:val="single" w:sz="8" w:color="auto"/>
            </w:tcBorders>
            <w:vMerge w:val="continue"/>
            <w:shd w:val="clear" w:color="auto" w:fill="CFF0FC"/>
          </w:tcPr>
          <w:p>
            <w:pPr>
              <w:spacing w:after="0"/>
              <w:rPr>
                <w:sz w:val="4"/>
                <w:szCs w:val="4"/>
                <w:color w:val="auto"/>
              </w:rPr>
            </w:pPr>
          </w:p>
        </w:tc>
        <w:tc>
          <w:tcPr>
            <w:tcW w:w="700" w:type="dxa"/>
            <w:vAlign w:val="bottom"/>
            <w:tcBorders>
              <w:bottom w:val="single" w:sz="8" w:color="auto"/>
            </w:tcBorders>
            <w:vMerge w:val="continue"/>
            <w:shd w:val="clear" w:color="auto" w:fill="CFF0FC"/>
          </w:tcPr>
          <w:p>
            <w:pPr>
              <w:spacing w:after="0"/>
              <w:rPr>
                <w:sz w:val="4"/>
                <w:szCs w:val="4"/>
                <w:color w:val="auto"/>
              </w:rPr>
            </w:pPr>
          </w:p>
        </w:tc>
        <w:tc>
          <w:tcPr>
            <w:tcW w:w="100" w:type="dxa"/>
            <w:vAlign w:val="bottom"/>
            <w:tcBorders>
              <w:bottom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00"/>
              <w:spacing w:after="0"/>
              <w:rPr>
                <w:sz w:val="20"/>
                <w:szCs w:val="20"/>
                <w:color w:val="auto"/>
              </w:rPr>
            </w:pPr>
            <w:r>
              <w:rPr>
                <w:rFonts w:ascii="Arial" w:cs="Arial" w:eastAsia="Arial" w:hAnsi="Arial"/>
                <w:sz w:val="14"/>
                <w:szCs w:val="14"/>
                <w:color w:val="auto"/>
              </w:rPr>
              <w:t>Total Non-Amortized Intangible Assets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1,010</w:t>
            </w:r>
          </w:p>
        </w:tc>
        <w:tc>
          <w:tcPr>
            <w:tcW w:w="48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1,010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1,010</w:t>
            </w:r>
          </w:p>
        </w:tc>
        <w:tc>
          <w:tcPr>
            <w:tcW w:w="520" w:type="dxa"/>
            <w:vAlign w:val="bottom"/>
            <w:gridSpan w:val="2"/>
            <w:vMerge w:val="restart"/>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34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-779780</wp:posOffset>
            </wp:positionV>
            <wp:extent cx="76835"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-779780</wp:posOffset>
            </wp:positionV>
            <wp:extent cx="7683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-779780</wp:posOffset>
            </wp:positionV>
            <wp:extent cx="68580"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-779780</wp:posOffset>
            </wp:positionV>
            <wp:extent cx="6858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-779780</wp:posOffset>
            </wp:positionV>
            <wp:extent cx="6858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-779780</wp:posOffset>
            </wp:positionV>
            <wp:extent cx="68580"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-163195</wp:posOffset>
            </wp:positionV>
            <wp:extent cx="76835"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-163195</wp:posOffset>
            </wp:positionV>
            <wp:extent cx="7683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-163195</wp:posOffset>
            </wp:positionV>
            <wp:extent cx="6858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-163195</wp:posOffset>
            </wp:positionV>
            <wp:extent cx="68580"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-163195</wp:posOffset>
            </wp:positionV>
            <wp:extent cx="68580"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-163195</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Amortization expense on intangible assets was $0.2 million and $0.5 million for the three and six months ended September 30, 2023, respectively.</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Amortization expense on intangible assets was $0.1 million for the three and six months ended September 30, 2022, respectively.</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estimated amortization expense for the remainder of fiscal 2024,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2024 (period remaining)</w:t>
            </w:r>
          </w:p>
        </w:tc>
        <w:tc>
          <w:tcPr>
            <w:tcW w:w="612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5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2026</w:t>
            </w:r>
          </w:p>
        </w:tc>
        <w:tc>
          <w:tcPr>
            <w:tcW w:w="5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Fiscal 2027</w:t>
            </w:r>
          </w:p>
        </w:tc>
        <w:tc>
          <w:tcPr>
            <w:tcW w:w="5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2028</w:t>
            </w:r>
          </w:p>
        </w:tc>
        <w:tc>
          <w:tcPr>
            <w:tcW w:w="53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Fiscal 2029</w:t>
            </w:r>
          </w:p>
        </w:tc>
        <w:tc>
          <w:tcPr>
            <w:tcW w:w="5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53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Total</w:t>
            </w:r>
          </w:p>
        </w:tc>
        <w:tc>
          <w:tcPr>
            <w:tcW w:w="61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5340" w:type="dxa"/>
            <w:vAlign w:val="bottom"/>
            <w:vMerge w:val="restart"/>
          </w:tcPr>
          <w:p>
            <w:pPr>
              <w:jc w:val="right"/>
              <w:ind w:right="3430"/>
              <w:spacing w:after="0"/>
              <w:rPr>
                <w:sz w:val="20"/>
                <w:szCs w:val="20"/>
                <w:color w:val="auto"/>
              </w:rPr>
            </w:pPr>
            <w:r>
              <w:rPr>
                <w:rFonts w:ascii="Arial" w:cs="Arial" w:eastAsia="Arial" w:hAnsi="Arial"/>
                <w:sz w:val="18"/>
                <w:szCs w:val="18"/>
                <w:color w:val="auto"/>
              </w:rPr>
              <w:t>12</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390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9"/>
                <w:szCs w:val="9"/>
                <w:color w:val="auto"/>
              </w:rPr>
            </w:pPr>
          </w:p>
        </w:tc>
        <w:tc>
          <w:tcPr>
            <w:tcW w:w="5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10 — ACCRUED EXPENSES AND OTHER</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2023 and March 31, 2023, accrued expenses and other included the following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ind w:right="373"/>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acquisition earn-out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Other accruals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benefits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Accrued project costs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Credits due to customers</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Warranty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tax</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Sales returns reserve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Legal and professional fees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11,612</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r>
      <w:tr>
        <w:trPr>
          <w:trHeight w:val="185"/>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w w:val="93"/>
              </w:rPr>
              <w:t>September 30,</w:t>
            </w: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of period</w:t>
            </w: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Accruals</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Warranty claims (net of vendor reimbursements)</w:t>
            </w:r>
          </w:p>
        </w:tc>
        <w:tc>
          <w:tcPr>
            <w:tcW w:w="78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(60 )</w:t>
            </w:r>
          </w:p>
        </w:tc>
        <w:tc>
          <w:tcPr>
            <w:tcW w:w="7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89"/>
              </w:rPr>
              <w:t>(142 )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(116 )</w:t>
            </w:r>
          </w:p>
        </w:tc>
        <w:tc>
          <w:tcPr>
            <w:tcW w:w="3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(358 )</w:t>
            </w:r>
          </w:p>
        </w:tc>
      </w:tr>
      <w:tr>
        <w:trPr>
          <w:trHeight w:val="236"/>
        </w:trPr>
        <w:tc>
          <w:tcPr>
            <w:tcW w:w="5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 of period</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LOSS PER COMMON SHARE</w:t>
      </w:r>
    </w:p>
    <w:p>
      <w:pPr>
        <w:spacing w:after="0" w:line="175"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Basic net loss per common share is computed by dividing net income attributable to common shareholders by the weighted-average number of common shares outstanding for the period and does not consider common stock equivalents.</w:t>
      </w:r>
    </w:p>
    <w:p>
      <w:pPr>
        <w:spacing w:after="0" w:line="116" w:lineRule="exact"/>
        <w:rPr>
          <w:sz w:val="20"/>
          <w:szCs w:val="20"/>
          <w:color w:val="auto"/>
        </w:rPr>
      </w:pPr>
    </w:p>
    <w:p>
      <w:pPr>
        <w:jc w:val="both"/>
        <w:ind w:firstLine="469"/>
        <w:spacing w:after="0" w:line="301" w:lineRule="auto"/>
        <w:rPr>
          <w:sz w:val="20"/>
          <w:szCs w:val="20"/>
          <w:color w:val="auto"/>
        </w:rPr>
      </w:pPr>
      <w:r>
        <w:rPr>
          <w:rFonts w:ascii="Arial" w:cs="Arial" w:eastAsia="Arial" w:hAnsi="Arial"/>
          <w:sz w:val="16"/>
          <w:szCs w:val="16"/>
          <w:color w:val="auto"/>
        </w:rPr>
        <w:t>Diluted net loss per common share reflects the dilution that would occur if stock options were exercised and restricted shares vested. In the computation of diluted net income per common share, Orion uses the treasury stock method for outstanding options and restricted shares. For the three and six months ended September 30, 2023 and 2022, Orion was in a net loss position; therefore, the Basic and Diluted weighted-average shares outstanding are equal because any increase to the basic shares would be anti-dilutive. Net (loss) income per common share is calculated based upon the following shares: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loss (in thousands)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(4,388 )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(2,331 )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(11,025 )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(5,166 )</w:t>
            </w: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32,502,566</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31,330,030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32,424,623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31,240,475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common shares and common share</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32,502,566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6"/>
              </w:rPr>
              <w:t>31,330,030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7"/>
              </w:rPr>
              <w:t>32,424,623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31,240,475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equivalents outstanding</w:t>
            </w:r>
          </w:p>
        </w:tc>
        <w:tc>
          <w:tcPr>
            <w:tcW w:w="1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8"/>
                <w:szCs w:val="18"/>
                <w:color w:val="auto"/>
              </w:rPr>
              <w:t>Net loss per common share: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(0.14 )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(0.17 )</w:t>
            </w: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(0.14 )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(0.34 )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(0.17 )</w:t>
            </w:r>
          </w:p>
        </w:tc>
        <w:tc>
          <w:tcPr>
            <w:tcW w:w="0" w:type="dxa"/>
            <w:vAlign w:val="bottom"/>
          </w:tcPr>
          <w:p>
            <w:pPr>
              <w:spacing w:after="0"/>
              <w:rPr>
                <w:sz w:val="1"/>
                <w:szCs w:val="1"/>
                <w:color w:val="auto"/>
              </w:rPr>
            </w:pPr>
          </w:p>
        </w:tc>
      </w:tr>
      <w:tr>
        <w:trPr>
          <w:trHeight w:val="660"/>
        </w:trPr>
        <w:tc>
          <w:tcPr>
            <w:tcW w:w="47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-967105</wp:posOffset>
            </wp:positionV>
            <wp:extent cx="269684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04" w:right="339" w:bottom="1440" w:gutter="0" w:footer="0" w:header="0"/>
        </w:sectPr>
      </w:pPr>
    </w:p>
    <w:bookmarkStart w:id="13" w:name="page14"/>
    <w:bookmarkEnd w:id="13"/>
    <w:p>
      <w:pPr>
        <w:jc w:val="both"/>
        <w:ind w:right="20" w:firstLine="464"/>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per common share because their inclusion would have been anti-dilutive. The number of shares is as of the end of each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96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4"/>
              </w:rPr>
              <w:t>For the Three Months Ended</w:t>
            </w:r>
          </w:p>
        </w:tc>
        <w:tc>
          <w:tcPr>
            <w:tcW w:w="25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80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200" w:type="dxa"/>
            <w:vAlign w:val="bottom"/>
            <w:tcBorders>
              <w:top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85,136</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Time-Based Restricted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933,808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845,645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933,808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845,645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Performance-Based Restricted shares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708,377</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178,669</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708,377</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Pr>
          <w:p>
            <w:pPr>
              <w:jc w:val="right"/>
              <w:spacing w:after="0"/>
              <w:rPr>
                <w:sz w:val="20"/>
                <w:szCs w:val="20"/>
                <w:color w:val="auto"/>
              </w:rPr>
            </w:pPr>
            <w:r>
              <w:rPr>
                <w:rFonts w:ascii="Arial" w:cs="Arial" w:eastAsia="Arial" w:hAnsi="Arial"/>
                <w:sz w:val="18"/>
                <w:szCs w:val="18"/>
                <w:color w:val="auto"/>
              </w:rPr>
              <w:t>1,642,185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4"/>
              </w:rPr>
              <w:t>1,109,450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1,642,185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1,109,450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NOTE 12 — LONG-TERM DEBT</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7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60" w:type="dxa"/>
            <w:vAlign w:val="bottom"/>
          </w:tcPr>
          <w:p>
            <w:pPr>
              <w:ind w:left="480"/>
              <w:spacing w:after="0"/>
              <w:rPr>
                <w:sz w:val="20"/>
                <w:szCs w:val="20"/>
                <w:color w:val="auto"/>
              </w:rPr>
            </w:pPr>
            <w:r>
              <w:rPr>
                <w:rFonts w:ascii="Arial" w:cs="Arial" w:eastAsia="Arial" w:hAnsi="Arial"/>
                <w:sz w:val="18"/>
                <w:szCs w:val="18"/>
                <w:color w:val="auto"/>
              </w:rPr>
              <w:t>Long-term debt consisted of the following (dollars in thousands):</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5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Equipment debt obligations</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long-term debt</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10,012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6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debt, less current maturities</w:t>
            </w:r>
          </w:p>
        </w:tc>
        <w:tc>
          <w:tcPr>
            <w:tcW w:w="1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10,000</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-1908810</wp:posOffset>
            </wp:positionV>
            <wp:extent cx="76835"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-1908810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-1908810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64"/>
        <w:spacing w:after="0" w:line="341" w:lineRule="auto"/>
        <w:rPr>
          <w:sz w:val="20"/>
          <w:szCs w:val="20"/>
          <w:color w:val="auto"/>
        </w:rPr>
      </w:pPr>
      <w:r>
        <w:rPr>
          <w:rFonts w:ascii="Arial" w:cs="Arial" w:eastAsia="Arial" w:hAnsi="Arial"/>
          <w:sz w:val="16"/>
          <w:szCs w:val="16"/>
          <w:color w:val="auto"/>
        </w:rPr>
        <w:t>On December 29, 2020, Orion entered into a $25 million Loan and Security Agreement with Bank of America, N.A., as lender (the “Credit Agreement”). The Credit Agreement replaced Orion’s prior $20.15 million secured revolving credit and security agreement (the “Prior Credit Agreement”).</w:t>
      </w:r>
    </w:p>
    <w:p>
      <w:pPr>
        <w:spacing w:after="0" w:line="70"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16"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2023, the borrowing base of the Credit Facility supports $18.9 million of availability, with $8.9 million of remaining availability net of $10.0 million borrowed.</w:t>
      </w:r>
    </w:p>
    <w:p>
      <w:pPr>
        <w:spacing w:after="0" w:line="131" w:lineRule="exact"/>
        <w:rPr>
          <w:sz w:val="20"/>
          <w:szCs w:val="20"/>
          <w:color w:val="auto"/>
        </w:rPr>
      </w:pPr>
    </w:p>
    <w:p>
      <w:pPr>
        <w:jc w:val="both"/>
        <w:ind w:firstLine="464"/>
        <w:spacing w:after="0" w:line="273" w:lineRule="auto"/>
        <w:rPr>
          <w:sz w:val="20"/>
          <w:szCs w:val="20"/>
          <w:color w:val="auto"/>
        </w:rPr>
      </w:pPr>
      <w:r>
        <w:rPr>
          <w:rFonts w:ascii="Arial" w:cs="Arial" w:eastAsia="Arial" w:hAnsi="Arial"/>
          <w:sz w:val="17"/>
          <w:szCs w:val="17"/>
          <w:color w:val="auto"/>
        </w:rPr>
        <w:t>Effective November 4, 2022, Orion, with Bank of America, N.A. as lender, executed Amendment No. 1 to its Credit Agreement. The primary purpose of the amendment was to include the assets of the acquired subsidiaries, Stay-Lite Lighting, Inc. ("Stay-Lite Lighting") and Voltrek, as secured collateral under the Credit Agreement. Accordingly, eligible assets of Stay-Lite and Voltrek will be included in the borrowing base calculation for the purpose of establishing the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2023, Orion was in compliance with all debt covenants.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right="20" w:firstLine="469"/>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13 — INCOME TAXES</w:t>
      </w:r>
    </w:p>
    <w:p>
      <w:pPr>
        <w:spacing w:after="0" w:line="175"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7"/>
          <w:szCs w:val="17"/>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September 30, 2023 and 2022, Orion recorded income tax expense (benefit) of $15 thousand and $(0.6) million, respectively, using this methodology. For the six months ended September 30, 2023 and 2022, Orion recorded income tax (benefit)/expense of $0.1 million and $(1.5) million, respectively, using this methodology.</w:t>
      </w:r>
    </w:p>
    <w:p>
      <w:pPr>
        <w:spacing w:after="0" w:line="121" w:lineRule="exact"/>
        <w:rPr>
          <w:sz w:val="20"/>
          <w:szCs w:val="20"/>
          <w:color w:val="auto"/>
        </w:rPr>
      </w:pPr>
    </w:p>
    <w:p>
      <w:pPr>
        <w:jc w:val="both"/>
        <w:ind w:right="20" w:firstLine="464"/>
        <w:spacing w:after="0" w:line="259" w:lineRule="auto"/>
        <w:rPr>
          <w:sz w:val="20"/>
          <w:szCs w:val="20"/>
          <w:color w:val="auto"/>
        </w:rPr>
      </w:pPr>
      <w:r>
        <w:rPr>
          <w:rFonts w:ascii="Arial" w:cs="Arial" w:eastAsia="Arial" w:hAnsi="Arial"/>
          <w:sz w:val="18"/>
          <w:szCs w:val="18"/>
          <w:color w:val="auto"/>
        </w:rPr>
        <w:t>As of September 30, 2023 and March 31, 2023,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13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As of September 30, 2023, Orion’s balance of gross unrecognized tax benefits was approximately $0.2 million, all of which would reduce Orion’s effective tax rate if recognized.</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September 30, 2023, Orion issued 762 shares under the ESPP plan at a closing market price of $1.26. In the three months ended September 30, 2022, Orion issued 648 shares under the ESPP plan at a closing market price of $1.56.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5" w:name="page16"/>
    <w:bookmarkEnd w:id="15"/>
    <w:p>
      <w:pPr>
        <w:jc w:val="both"/>
        <w:ind w:firstLine="464"/>
        <w:spacing w:after="0" w:line="263"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effected pursuant to the ATM program through September 30,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 OPTIONS AND RESTRICTED SHARES</w:t>
      </w:r>
    </w:p>
    <w:p>
      <w:pPr>
        <w:spacing w:after="0" w:line="175" w:lineRule="exact"/>
        <w:rPr>
          <w:sz w:val="20"/>
          <w:szCs w:val="20"/>
          <w:color w:val="auto"/>
        </w:rPr>
      </w:pPr>
    </w:p>
    <w:p>
      <w:pPr>
        <w:jc w:val="both"/>
        <w:ind w:firstLine="469"/>
        <w:spacing w:after="0" w:line="279" w:lineRule="auto"/>
        <w:rPr>
          <w:sz w:val="20"/>
          <w:szCs w:val="20"/>
          <w:color w:val="auto"/>
        </w:rPr>
      </w:pPr>
      <w:r>
        <w:rPr>
          <w:rFonts w:ascii="Arial" w:cs="Arial" w:eastAsia="Arial" w:hAnsi="Arial"/>
          <w:sz w:val="17"/>
          <w:szCs w:val="17"/>
          <w:color w:val="auto"/>
        </w:rPr>
        <w:t>At Orion's 2023 annual meeting of shareholders (the “2023 Annual Meeting”) held on August 10, 2023, Orion's shareholders approved the Orion Energy Systems, Inc. 2016 Omnibus Incentive Plan, as amended and restated (the "Amended 2016 Plan"). The Amended 2016 Plan increased the number of shares of Orion's common stock available for issuance under the Amended 2016 Plan from 3,500,000 shares to 6,000,000 shares (an increase of 2,500,000 shares) and extended the term of the Amended 2016 Plan to the tenth anniversary of the date of the 2023 Annual Meeting.</w:t>
      </w:r>
    </w:p>
    <w:p>
      <w:pPr>
        <w:spacing w:after="0" w:line="116"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29"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During the three and six months ended September 30, 2023 and 2022, the following amounts of stock-based compensation were recorded in Orion’s Condensed Consolidated Statements of Operations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For the Six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w w:val="96"/>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product revenue</w:t>
            </w:r>
          </w:p>
        </w:tc>
        <w:tc>
          <w:tcPr>
            <w:tcW w:w="780" w:type="dxa"/>
            <w:vAlign w:val="bottom"/>
            <w:tcBorders>
              <w:top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729</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733</w:t>
            </w:r>
          </w:p>
        </w:tc>
        <w:tc>
          <w:tcPr>
            <w:tcW w:w="2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4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During the three and six months ended September 30, 2023, Orion had the following activity related to its stock-based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Time-Based</w:t>
            </w: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Performance-Based</w:t>
            </w:r>
          </w:p>
        </w:tc>
        <w:tc>
          <w:tcPr>
            <w:tcW w:w="220" w:type="dxa"/>
            <w:vAlign w:val="bottom"/>
          </w:tcPr>
          <w:p>
            <w:pPr>
              <w:spacing w:after="0"/>
              <w:rPr>
                <w:sz w:val="14"/>
                <w:szCs w:val="14"/>
                <w:color w:val="auto"/>
              </w:rPr>
            </w:pP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Restricted Shares</w:t>
            </w:r>
          </w:p>
        </w:tc>
        <w:tc>
          <w:tcPr>
            <w:tcW w:w="100" w:type="dxa"/>
            <w:vAlign w:val="bottom"/>
          </w:tcPr>
          <w:p>
            <w:pPr>
              <w:spacing w:after="0"/>
              <w:rPr>
                <w:sz w:val="16"/>
                <w:szCs w:val="16"/>
                <w:color w:val="auto"/>
              </w:rPr>
            </w:pPr>
          </w:p>
        </w:tc>
        <w:tc>
          <w:tcPr>
            <w:tcW w:w="120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Restricted Shares</w:t>
            </w: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outstanding at March 31, 2023</w:t>
            </w:r>
          </w:p>
        </w:tc>
        <w:tc>
          <w:tcPr>
            <w:tcW w:w="12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612,819</w:t>
            </w:r>
          </w:p>
        </w:tc>
        <w:tc>
          <w:tcPr>
            <w:tcW w:w="2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130,635</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Awards granted</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532,690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577,742</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vested or exercised</w:t>
            </w:r>
          </w:p>
        </w:tc>
        <w:tc>
          <w:tcPr>
            <w:tcW w:w="1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(206,451 )</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color w:val="auto"/>
              </w:rPr>
              <w:t>Awards forfeited</w:t>
            </w:r>
          </w:p>
        </w:tc>
        <w:tc>
          <w:tcPr>
            <w:tcW w:w="12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(5,250 )</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(73,136 )</w:t>
            </w:r>
          </w:p>
        </w:tc>
        <w:tc>
          <w:tcPr>
            <w:tcW w:w="0" w:type="dxa"/>
            <w:vAlign w:val="bottom"/>
          </w:tcPr>
          <w:p>
            <w:pPr>
              <w:spacing w:after="0"/>
              <w:rPr>
                <w:sz w:val="1"/>
                <w:szCs w:val="1"/>
                <w:color w:val="auto"/>
              </w:rPr>
            </w:pPr>
          </w:p>
        </w:tc>
      </w:tr>
      <w:tr>
        <w:trPr>
          <w:trHeight w:val="242"/>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Awards outstanding at September 30, 2023</w:t>
            </w:r>
          </w:p>
        </w:tc>
        <w:tc>
          <w:tcPr>
            <w:tcW w:w="12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933,808</w:t>
            </w: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708,377</w:t>
            </w:r>
          </w:p>
        </w:tc>
        <w:tc>
          <w:tcPr>
            <w:tcW w:w="220" w:type="dxa"/>
            <w:vAlign w:val="bottom"/>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Per share weighted average price on grant date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As of September 30, 2023, the amount of deferred stock-based compensation expense to be recognized, over a remaining period of 2.6 years, was approximately $1.8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17 — SEGMENTS</w:t>
      </w:r>
    </w:p>
    <w:p>
      <w:pPr>
        <w:spacing w:after="0" w:line="175" w:lineRule="exact"/>
        <w:rPr>
          <w:sz w:val="20"/>
          <w:szCs w:val="20"/>
          <w:color w:val="auto"/>
        </w:rPr>
      </w:pPr>
    </w:p>
    <w:p>
      <w:pPr>
        <w:jc w:val="both"/>
        <w:ind w:firstLine="469"/>
        <w:spacing w:after="0" w:line="29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Orion's CODM is the chief executive officer. Previously, Orion had four reportable segments: Orion Services Group Division ("OSG"), Orion Distribution Services Division ("ODS"), Orion U.S. Markets Division (“USM”) and Orion Electric Vehicle Charging Division (“EV Segment”). Effective during the first quarter of fiscal 2024, Orion began to evaluate and report the business using three segments: Orion Lighting Division, Orion Maintenance Division and Orion Electric Vehicle Charging Division. Orion configured its fiscal 2024 budget in order to compare actual performance to plan performance for these segments. Due to the change in composition of reportable segments in the first quarter of fiscal 2024, the corresponding segment information for fiscal year 2023 has been restated for presentation on a comparable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Lighting Segment</w:t>
      </w:r>
    </w:p>
    <w:p>
      <w:pPr>
        <w:spacing w:after="0" w:line="171" w:lineRule="exact"/>
        <w:rPr>
          <w:sz w:val="20"/>
          <w:szCs w:val="20"/>
          <w:color w:val="auto"/>
        </w:rPr>
      </w:pPr>
    </w:p>
    <w:p>
      <w:pPr>
        <w:jc w:val="both"/>
        <w:ind w:firstLine="469"/>
        <w:spacing w:after="0" w:line="301" w:lineRule="auto"/>
        <w:rPr>
          <w:sz w:val="20"/>
          <w:szCs w:val="20"/>
          <w:color w:val="auto"/>
        </w:rPr>
      </w:pPr>
      <w:r>
        <w:rPr>
          <w:rFonts w:ascii="Arial" w:cs="Arial" w:eastAsia="Arial" w:hAnsi="Arial"/>
          <w:sz w:val="16"/>
          <w:szCs w:val="16"/>
          <w:color w:val="auto"/>
        </w:rPr>
        <w:t>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The Lighting Segment sells mostly through direct sales, but it also sells lighting products though manufacturer representative agencies and to the wholesale contractor markets through energy service companies and contractors.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Segment</w:t>
      </w:r>
    </w:p>
    <w:p>
      <w:pPr>
        <w:spacing w:after="0" w:line="171"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The Maintenance Segment provides retailers, distributors and other businesses with maintenance, repair and replacement services for the lighting and related electrical components deployed in their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 Vehicle Charging Segment</w:t>
      </w:r>
    </w:p>
    <w:p>
      <w:pPr>
        <w:spacing w:after="0" w:line="171"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7"/>
          <w:szCs w:val="17"/>
          <w:color w:val="auto"/>
        </w:rPr>
        <w:t>The EV Charging Segment offers leading electric vehicle charging expertise, sells and installs sourced electric vehicle charging stations with related software subscriptions and renewals and provides EV turnkey installation solutions with ongoing support to all commercial verticals.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Corporate and Other is comprised of operating expenses not allocated to Orion’s segments and adjustments to reconcile to consolidated results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87"/>
              </w:rPr>
              <w:t>Revenues</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1"/>
              </w:rPr>
              <w:t>Operating Loss</w:t>
            </w:r>
          </w:p>
        </w:tc>
        <w:tc>
          <w:tcPr>
            <w:tcW w:w="140" w:type="dxa"/>
            <w:vAlign w:val="bottom"/>
          </w:tcPr>
          <w:p>
            <w:pPr>
              <w:spacing w:after="0"/>
              <w:rPr>
                <w:sz w:val="16"/>
                <w:szCs w:val="16"/>
                <w:color w:val="auto"/>
              </w:rPr>
            </w:pPr>
          </w:p>
        </w:tc>
        <w:tc>
          <w:tcPr>
            <w:tcW w:w="1840" w:type="dxa"/>
            <w:vAlign w:val="bottom"/>
            <w:gridSpan w:val="5"/>
          </w:tcPr>
          <w:p>
            <w:pPr>
              <w:jc w:val="right"/>
              <w:ind w:right="535"/>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4"/>
          </w:tcPr>
          <w:p>
            <w:pPr>
              <w:jc w:val="center"/>
              <w:ind w:right="33"/>
              <w:spacing w:after="0" w:line="133" w:lineRule="exact"/>
              <w:rPr>
                <w:sz w:val="20"/>
                <w:szCs w:val="20"/>
                <w:color w:val="auto"/>
              </w:rPr>
            </w:pPr>
            <w:r>
              <w:rPr>
                <w:rFonts w:ascii="Arial" w:cs="Arial" w:eastAsia="Arial" w:hAnsi="Arial"/>
                <w:sz w:val="14"/>
                <w:szCs w:val="14"/>
                <w:b w:val="1"/>
                <w:bCs w:val="1"/>
                <w:color w:val="auto"/>
                <w:w w:val="93"/>
              </w:rPr>
              <w:t>For the Three Months Ended</w:t>
            </w:r>
          </w:p>
        </w:tc>
        <w:tc>
          <w:tcPr>
            <w:tcW w:w="240" w:type="dxa"/>
            <w:vAlign w:val="bottom"/>
          </w:tcPr>
          <w:p>
            <w:pPr>
              <w:spacing w:after="0"/>
              <w:rPr>
                <w:sz w:val="11"/>
                <w:szCs w:val="11"/>
                <w:color w:val="auto"/>
              </w:rPr>
            </w:pPr>
          </w:p>
        </w:tc>
        <w:tc>
          <w:tcPr>
            <w:tcW w:w="1960" w:type="dxa"/>
            <w:vAlign w:val="bottom"/>
            <w:tcBorders>
              <w:top w:val="single" w:sz="8" w:color="auto"/>
            </w:tcBorders>
            <w:gridSpan w:val="6"/>
          </w:tcPr>
          <w:p>
            <w:pPr>
              <w:jc w:val="center"/>
              <w:spacing w:after="0" w:line="133" w:lineRule="exact"/>
              <w:rPr>
                <w:sz w:val="20"/>
                <w:szCs w:val="20"/>
                <w:color w:val="auto"/>
              </w:rPr>
            </w:pPr>
            <w:r>
              <w:rPr>
                <w:rFonts w:ascii="Arial" w:cs="Arial" w:eastAsia="Arial" w:hAnsi="Arial"/>
                <w:sz w:val="14"/>
                <w:szCs w:val="14"/>
                <w:b w:val="1"/>
                <w:bCs w:val="1"/>
                <w:color w:val="auto"/>
                <w:w w:val="94"/>
              </w:rPr>
              <w:t>For the Three Months Ended</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vMerge w:val="restart"/>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880" w:type="dxa"/>
            <w:vAlign w:val="bottom"/>
            <w:tcBorders>
              <w:top w:val="single" w:sz="8" w:color="auto"/>
            </w:tcBorders>
            <w:gridSpan w:val="2"/>
          </w:tcPr>
          <w:p>
            <w:pPr>
              <w:jc w:val="right"/>
              <w:ind w:right="35"/>
              <w:spacing w:after="0" w:line="133" w:lineRule="exact"/>
              <w:rPr>
                <w:sz w:val="20"/>
                <w:szCs w:val="20"/>
                <w:color w:val="auto"/>
              </w:rPr>
            </w:pPr>
            <w:r>
              <w:rPr>
                <w:rFonts w:ascii="Arial" w:cs="Arial" w:eastAsia="Arial" w:hAnsi="Arial"/>
                <w:sz w:val="14"/>
                <w:szCs w:val="14"/>
                <w:b w:val="1"/>
                <w:bCs w:val="1"/>
                <w:color w:val="auto"/>
              </w:rPr>
              <w:t>September</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9"/>
              </w:rPr>
              <w:t>30, 2023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Lighting Segment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13,573</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14,115</w:t>
            </w:r>
          </w:p>
        </w:tc>
        <w:tc>
          <w:tcPr>
            <w:tcW w:w="4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(1,962 )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(2,296 )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27,827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Maintenance Segment</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(1,760 )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(795 )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Electric Vehicle Charging Segment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(1,029 )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20,586</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17,560</w:t>
            </w:r>
          </w:p>
        </w:tc>
        <w:tc>
          <w:tcPr>
            <w:tcW w:w="2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(4,168 )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(2,943 )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65,830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71,579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3549650</wp:posOffset>
            </wp:positionH>
            <wp:positionV relativeFrom="paragraph">
              <wp:posOffset>-675640</wp:posOffset>
            </wp:positionV>
            <wp:extent cx="7683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4277360</wp:posOffset>
            </wp:positionH>
            <wp:positionV relativeFrom="paragraph">
              <wp:posOffset>-675640</wp:posOffset>
            </wp:positionV>
            <wp:extent cx="7683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-675640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-675640</wp:posOffset>
            </wp:positionV>
            <wp:extent cx="685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-675640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-675640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7" w:name="page18"/>
    <w:bookmarkEnd w:id="17"/>
    <w:p>
      <w:pPr>
        <w:ind w:left="682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15240</wp:posOffset>
            </wp:positionV>
            <wp:extent cx="1617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spacing w:after="0" w:line="8" w:lineRule="exact"/>
        <w:rPr>
          <w:sz w:val="20"/>
          <w:szCs w:val="20"/>
          <w:color w:val="auto"/>
        </w:rPr>
      </w:pPr>
    </w:p>
    <w:p>
      <w:pPr>
        <w:ind w:left="6300"/>
        <w:spacing w:after="0"/>
        <w:rPr>
          <w:sz w:val="20"/>
          <w:szCs w:val="20"/>
          <w:color w:val="auto"/>
        </w:rPr>
      </w:pPr>
      <w:r>
        <w:rPr>
          <w:rFonts w:ascii="Arial" w:cs="Arial" w:eastAsia="Arial" w:hAnsi="Arial"/>
          <w:sz w:val="13"/>
          <w:szCs w:val="13"/>
          <w:b w:val="1"/>
          <w:bCs w:val="1"/>
          <w:color w:val="auto"/>
        </w:rPr>
        <w:t>For the Six Months Ended</w:t>
      </w:r>
    </w:p>
    <w:p>
      <w:pPr>
        <w:spacing w:after="0" w:line="15"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3703955</wp:posOffset>
            </wp:positionH>
            <wp:positionV relativeFrom="paragraph">
              <wp:posOffset>5080</wp:posOffset>
            </wp:positionV>
            <wp:extent cx="1617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17980" cy="8255"/>
                    </a:xfrm>
                    <a:prstGeom prst="rect">
                      <a:avLst/>
                    </a:prstGeom>
                    <a:noFill/>
                  </pic:spPr>
                </pic:pic>
              </a:graphicData>
            </a:graphic>
          </wp:anchor>
        </w:drawing>
      </w:r>
    </w:p>
    <w:p>
      <w:pPr>
        <w:ind w:left="6260"/>
        <w:spacing w:after="0"/>
        <w:tabs>
          <w:tab w:leader="none" w:pos="766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22225</wp:posOffset>
            </wp:positionV>
            <wp:extent cx="1592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For the Six Months Ended</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5080</wp:posOffset>
            </wp:positionV>
            <wp:extent cx="1592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47" w:lineRule="exact"/>
        <w:rPr>
          <w:sz w:val="20"/>
          <w:szCs w:val="20"/>
          <w:color w:val="auto"/>
        </w:rPr>
      </w:pPr>
    </w:p>
    <w:p>
      <w:pPr>
        <w:sectPr>
          <w:pgSz w:w="11900" w:h="16838" w:orient="portrait"/>
          <w:cols w:equalWidth="0" w:num="2">
            <w:col w:w="8320" w:space="720"/>
            <w:col w:w="2200"/>
          </w:cols>
          <w:pgMar w:left="320" w:top="346" w:right="339" w:bottom="1440" w:gutter="0" w:footer="0" w:header="0"/>
        </w:sectPr>
      </w:pPr>
    </w:p>
    <w:tbl>
      <w:tblPr>
        <w:tblLayout w:type="fixed"/>
        <w:tblInd w:w="0" w:type="dxa"/>
        <w:tblCellMar>
          <w:top w:w="0" w:type="dxa"/>
          <w:left w:w="0" w:type="dxa"/>
          <w:bottom w:w="0" w:type="dxa"/>
          <w:right w:w="0" w:type="dxa"/>
        </w:tblCellMar>
      </w:tblPr>
      <w:tr>
        <w:trPr>
          <w:trHeight w:val="236"/>
        </w:trPr>
        <w:tc>
          <w:tcPr>
            <w:tcW w:w="58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Segments:</w:t>
            </w:r>
          </w:p>
        </w:tc>
        <w:tc>
          <w:tcPr>
            <w:tcW w:w="3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Lighting Segment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26,194</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27,967</w:t>
            </w:r>
          </w:p>
        </w:tc>
        <w:tc>
          <w:tcPr>
            <w:tcW w:w="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(2,728 )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(3,300 )</w:t>
            </w:r>
          </w:p>
        </w:tc>
      </w:tr>
      <w:tr>
        <w:trPr>
          <w:trHeight w:val="24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Maintenance Segment</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(3,600 )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(1,085 )</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Electric Vehicle Charging Segment</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4,617</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(2,963 )</w:t>
            </w: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and Other</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(1,274 )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(2,175 )</w:t>
            </w:r>
          </w:p>
        </w:tc>
      </w:tr>
      <w:tr>
        <w:trPr>
          <w:trHeight w:val="20"/>
        </w:trPr>
        <w:tc>
          <w:tcPr>
            <w:tcW w:w="58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38,199</w:t>
            </w:r>
          </w:p>
        </w:tc>
        <w:tc>
          <w:tcPr>
            <w:tcW w:w="2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35,466</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(10,565 )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(6,560 )</w:t>
            </w:r>
          </w:p>
        </w:tc>
      </w:tr>
      <w:tr>
        <w:trPr>
          <w:trHeight w:val="20"/>
        </w:trPr>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ACQUISITION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Voltrek</w:t>
      </w:r>
    </w:p>
    <w:p>
      <w:pPr>
        <w:spacing w:after="0" w:line="171"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7"/>
          <w:szCs w:val="17"/>
          <w:color w:val="auto"/>
        </w:rPr>
        <w:t>Effective on October 5, 2022, Orion acquired all the membership interests of Voltrek, an electric vehicle charging station solutions provider for a purchase price of $5.0 million in cash and $1.0 million of shares of common stock of Orion, subject to normal and customary closing adjustments of $0.9 million (the “Voltrek Acquisition”). In addition,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will be expensed over the course of the earn-out periods to the extent they are earned. As of September 30, 2023, Orion recorded $3.0 million to accrued expenses for its fiscal 2023 earn-out payment and an additional $2.1 million to other long-term liabilities for the cumulative potential earn-out opportunity which is anticipated to be paid in fiscal 2026. The Voltrek Acquisition was funded with cash and Orion shares. Voltrek operates as Voltrek, an Orion Energy Systems business. The Voltrek Acquisition leverages Orion’s project management and maintenance expertise into a rapidly growing sector.</w:t>
      </w:r>
    </w:p>
    <w:p>
      <w:pPr>
        <w:spacing w:after="0" w:line="340" w:lineRule="exact"/>
        <w:rPr>
          <w:sz w:val="20"/>
          <w:szCs w:val="20"/>
          <w:color w:val="auto"/>
        </w:rPr>
      </w:pPr>
    </w:p>
    <w:p>
      <w:pPr>
        <w:jc w:val="both"/>
        <w:ind w:firstLine="464"/>
        <w:spacing w:after="0" w:line="301" w:lineRule="auto"/>
        <w:rPr>
          <w:sz w:val="20"/>
          <w:szCs w:val="20"/>
          <w:color w:val="auto"/>
        </w:rPr>
      </w:pPr>
      <w:r>
        <w:rPr>
          <w:rFonts w:ascii="Arial" w:cs="Arial" w:eastAsia="Arial" w:hAnsi="Arial"/>
          <w:sz w:val="16"/>
          <w:szCs w:val="16"/>
          <w:color w:val="auto"/>
        </w:rPr>
        <w:t>Orion has accounted for the Voltrek Acquisition as a business combination. Orion has allocated a purchase price of approximately $6.9 million to the assets acquired and liabilities assumed at estimated fair values, and the excess of the purchase price over the aggregate fair values is recorded as goodwill. The purchase price and closing adjustments were paid in cash and 620,067 shares of common stock with a total fair market value of $1.0 million, which is recorded in the opening balance sheet at fair value of $0.8 million, the discount on which is due to lock-up requirements on the shares.</w:t>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purchase price allocation for Voltrek:</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Opening Balance Sheet</w:t>
            </w:r>
          </w:p>
        </w:tc>
      </w:tr>
      <w:tr>
        <w:trPr>
          <w:trHeight w:val="236"/>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51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20"/>
                <w:szCs w:val="20"/>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earned but not billed</w:t>
            </w:r>
          </w:p>
        </w:tc>
        <w:tc>
          <w:tcPr>
            <w:tcW w:w="5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Inventory</w:t>
            </w: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0"/>
                <w:szCs w:val="20"/>
                <w:color w:val="auto"/>
              </w:rPr>
            </w:pP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assets</w:t>
            </w:r>
          </w:p>
        </w:tc>
        <w:tc>
          <w:tcPr>
            <w:tcW w:w="5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21"/>
                <w:szCs w:val="21"/>
                <w:color w:val="auto"/>
              </w:rPr>
            </w:pP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(1,133 )</w:t>
            </w:r>
          </w:p>
        </w:tc>
      </w:tr>
      <w:tr>
        <w:trPr>
          <w:trHeight w:val="249"/>
        </w:trPr>
        <w:tc>
          <w:tcPr>
            <w:tcW w:w="4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w:t>
            </w:r>
          </w:p>
        </w:tc>
        <w:tc>
          <w:tcPr>
            <w:tcW w:w="5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(286 )</w:t>
            </w:r>
          </w:p>
        </w:tc>
      </w:tr>
      <w:tr>
        <w:trPr>
          <w:trHeight w:val="236"/>
        </w:trPr>
        <w:tc>
          <w:tcPr>
            <w:tcW w:w="4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(180 )</w:t>
            </w:r>
          </w:p>
        </w:tc>
      </w:tr>
      <w:tr>
        <w:trPr>
          <w:trHeight w:val="276"/>
        </w:trPr>
        <w:tc>
          <w:tcPr>
            <w:tcW w:w="4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purchase consideration</w:t>
            </w:r>
          </w:p>
        </w:tc>
        <w:tc>
          <w:tcPr>
            <w:tcW w:w="5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4260" w:type="dxa"/>
            <w:vAlign w:val="bottom"/>
          </w:tcPr>
          <w:p>
            <w:pPr>
              <w:spacing w:after="0"/>
              <w:rPr>
                <w:sz w:val="24"/>
                <w:szCs w:val="24"/>
                <w:color w:val="auto"/>
              </w:rPr>
            </w:pPr>
          </w:p>
        </w:tc>
        <w:tc>
          <w:tcPr>
            <w:tcW w:w="5140" w:type="dxa"/>
            <w:vAlign w:val="bottom"/>
          </w:tcPr>
          <w:p>
            <w:pPr>
              <w:jc w:val="right"/>
              <w:ind w:right="35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60" w:type="dxa"/>
            <w:vAlign w:val="bottom"/>
            <w:tcBorders>
              <w:bottom w:val="single" w:sz="8" w:color="9A9A9A"/>
            </w:tcBorders>
          </w:tcPr>
          <w:p>
            <w:pPr>
              <w:spacing w:after="0"/>
              <w:rPr>
                <w:sz w:val="9"/>
                <w:szCs w:val="9"/>
                <w:color w:val="auto"/>
              </w:rPr>
            </w:pPr>
          </w:p>
        </w:tc>
        <w:tc>
          <w:tcPr>
            <w:tcW w:w="5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type w:val="continuous"/>
        </w:sectPr>
      </w:pPr>
    </w:p>
    <w:bookmarkStart w:id="18" w:name="page19"/>
    <w:bookmarkEnd w:id="18"/>
    <w:p>
      <w:pPr>
        <w:jc w:val="both"/>
        <w:ind w:firstLine="464"/>
        <w:spacing w:after="0" w:line="263" w:lineRule="auto"/>
        <w:rPr>
          <w:sz w:val="20"/>
          <w:szCs w:val="20"/>
          <w:color w:val="auto"/>
        </w:rPr>
      </w:pPr>
      <w:r>
        <w:rPr>
          <w:rFonts w:ascii="Arial" w:cs="Arial" w:eastAsia="Arial" w:hAnsi="Arial"/>
          <w:sz w:val="18"/>
          <w:szCs w:val="18"/>
          <w:color w:val="auto"/>
        </w:rPr>
        <w:t>Goodwill recorded from the Voltrek Acquisition is attributable to the skillset of the acquired workforce. The goodwill resulting from the Voltrek Acquisition is expected to be deductible for tax purposes. The intangible assets include amounts recognized for the fair value of the trade name, vendor relationship and customer relationships.</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tradename intangible asset was valued using a relief from royalty method. The significant assumptions used include the estimated revenue and royalty rate, among other factors.</w:t>
      </w:r>
    </w:p>
    <w:p>
      <w:pPr>
        <w:spacing w:after="0" w:line="33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vendor relationship intangible asset was valued using the income approach – excess earnings method. The significant assumptions include estimated revenue, cost of goods sold, and probability of renewal, among other factors.</w:t>
      </w:r>
    </w:p>
    <w:p>
      <w:pPr>
        <w:spacing w:after="0" w:line="33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The customer relationship intangible asset was valued using the income approach – with-and-without method. The significant assumptions include estimated cash flows (including appropriate revenue, cost of revenue and operating expenses attributable to the asset, retention rate, among other factors), and discount rate, reflecting the risks inherent in the future cash flow stream, among other factors.</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categorization of the framework used to measure fair value of the intangible assets is considered to be within the Level 3 valuation hierarchy due to the subjective nature of the unobservable inputs used.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details of the intangible assets acquired at the date of Voltrek Acquisition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100" w:type="dxa"/>
            <w:vAlign w:val="bottom"/>
          </w:tcPr>
          <w:p>
            <w:pPr>
              <w:ind w:left="460"/>
              <w:spacing w:after="0"/>
              <w:rPr>
                <w:sz w:val="20"/>
                <w:szCs w:val="20"/>
                <w:color w:val="auto"/>
              </w:rPr>
            </w:pPr>
            <w:r>
              <w:rPr>
                <w:rFonts w:ascii="Arial" w:cs="Arial" w:eastAsia="Arial" w:hAnsi="Arial"/>
                <w:sz w:val="14"/>
                <w:szCs w:val="14"/>
                <w:b w:val="1"/>
                <w:bCs w:val="1"/>
                <w:color w:val="auto"/>
                <w:w w:val="92"/>
              </w:rPr>
              <w:t>Estimated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ind w:right="102"/>
              <w:spacing w:after="0"/>
              <w:rPr>
                <w:sz w:val="20"/>
                <w:szCs w:val="20"/>
                <w:color w:val="auto"/>
              </w:rPr>
            </w:pPr>
            <w:r>
              <w:rPr>
                <w:rFonts w:ascii="Arial" w:cs="Arial" w:eastAsia="Arial" w:hAnsi="Arial"/>
                <w:sz w:val="14"/>
                <w:szCs w:val="14"/>
                <w:b w:val="1"/>
                <w:bCs w:val="1"/>
                <w:color w:val="auto"/>
              </w:rPr>
              <w:t>Estimated Useful Life</w:t>
            </w:r>
          </w:p>
        </w:tc>
        <w:tc>
          <w:tcPr>
            <w:tcW w:w="100" w:type="dxa"/>
            <w:vAlign w:val="bottom"/>
          </w:tcPr>
          <w:p>
            <w:pPr>
              <w:spacing w:after="0"/>
              <w:rPr>
                <w:sz w:val="14"/>
                <w:szCs w:val="14"/>
                <w:color w:val="auto"/>
              </w:rPr>
            </w:pPr>
          </w:p>
        </w:tc>
      </w:tr>
      <w:tr>
        <w:trPr>
          <w:trHeight w:val="185"/>
        </w:trPr>
        <w:tc>
          <w:tcPr>
            <w:tcW w:w="7860" w:type="dxa"/>
            <w:vAlign w:val="bottom"/>
          </w:tcPr>
          <w:p>
            <w:pPr>
              <w:spacing w:after="0"/>
              <w:rPr>
                <w:sz w:val="16"/>
                <w:szCs w:val="16"/>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95"/>
              </w:rPr>
              <w:t>Fair Value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110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Arial" w:cs="Arial" w:eastAsia="Arial" w:hAnsi="Arial"/>
                <w:sz w:val="18"/>
                <w:szCs w:val="18"/>
                <w:color w:val="auto"/>
              </w:rPr>
              <w:t>Vendor relationship</w:t>
            </w: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2,600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r>
      <w:tr>
        <w:trPr>
          <w:trHeight w:val="249"/>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11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1,400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1"/>
                <w:szCs w:val="21"/>
                <w:color w:val="auto"/>
              </w:rPr>
            </w:pPr>
          </w:p>
        </w:tc>
      </w:tr>
    </w:tbl>
    <w:p>
      <w:pPr>
        <w:spacing w:after="0" w:line="147"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Voltrek's post-acquisition results of operations since October 5, 2022 are included in Orion’s Condensed Consolidated Statements of Operations. The operating results of Voltrek are included in the EV segment. See note 17 – Segments, for results.</w:t>
      </w:r>
    </w:p>
    <w:p>
      <w:pPr>
        <w:spacing w:after="0" w:line="116"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Transaction costs related to the Voltrek Acquisition are recorded in acquisition costs in the Condensed Consolidated Statements of Operations. Transaction costs totaled $3 thousand and $0.1 million in the three and six months ended September 30, 2023, respectively, and $0.3 million in each of the three and six months ended September 30, 2022, respectively.</w:t>
      </w:r>
    </w:p>
    <w:p>
      <w:pPr>
        <w:spacing w:after="0" w:line="129"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If Voltrek had been acquired on April 1, 2022, the pro forma Orion revenue for the three and six months ended September 30, 2022 would have been $18.8 million and $37.9 million, respectively. Proforma net loss for the three and six months ended September 30, 2022 would have been $(2.7) million and $(6.0) million, respectively.</w:t>
      </w:r>
    </w:p>
    <w:p>
      <w:pPr>
        <w:spacing w:after="0" w:line="129"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The pro forma information was determined based on the historical results of Orion and unaudited financial results from Voltrek. These proforma results reflect additional depreciation and amortization that would have been charged assuming the fair value adjustments to property, plant, and equipment and intangible asset occurred at the beginning of the period, along with consequential tax effects. The unaudited pro forma results have been prepared for comparative purposes only and are not necessarily indicative of what would have occurred had the business combinations been completed at the beginning of the period or the results that may occur in the future. Furthermore, the unaudited pro forma financial information does not reflect the impact of any synergies resulting from the acquisitions.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64"/>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2023.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We provide state-of-the-art light emitting diode (“LED”) lighting systems, sourced wireless Internet of Things (“IoT”) enabled control solutions, commercial and industrial electric vehicle (“EV”) charging infrastructure solutions and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and system maintenance. Virtually all of our sales occur within North America.</w:t>
      </w:r>
    </w:p>
    <w:p>
      <w:pPr>
        <w:spacing w:after="0" w:line="137"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8"/>
          <w:szCs w:val="18"/>
          <w:color w:val="auto"/>
        </w:rPr>
        <w:t>Our lighting products consist primarily of LED lighting fixtures, many of which include sourced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We differentiate ourselves from our competitors through offering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In addition, we began to offer lighting and electrical maintenance services in fiscal 2021 which enables us to support a lifetime business relationship with our customer (which we call “Customers for Life”). We completed the Stay-Lite Lighting acquisition on January 1, 2022, which has allowed us to further expand our maintenance services capabilities. We completed the acquisition of Voltrek on October 5, 2022, which has allowed us to further expand our turnkey services capabilities as well as capitalize on the rapidly growing market for EV charging solutions.</w:t>
      </w:r>
    </w:p>
    <w:p>
      <w:pPr>
        <w:spacing w:after="0" w:line="127"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We believe the market for LED lighting products and related controls continues to grow. Due to their size and flexibility in application, we also believe that LED lighting systems can address opportunities for retrofit applications that cannot be satisfied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by other lighting technologies. Our LED lighting technologies have been the primary component of our revenue as we continue to strive to be a leader in the LED market.</w:t>
      </w:r>
    </w:p>
    <w:p>
      <w:pPr>
        <w:spacing w:after="0" w:line="116"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7"/>
          <w:szCs w:val="17"/>
          <w:color w:val="auto"/>
        </w:rPr>
        <w:t>In fiscal 2022, we continued to successfully capitalize on our capability of being a full service, turn-key provider of LED lighting and controls systems with design, build, installation and project management services, as we continued a very large project for a major national account. As a result of this success, we have evolved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are pursuing the expansion of our IoT, “smart-building” and “connected ceiling” and other related technology, software and controls products and services that we offer to our customers. While we currently intend to primarily pursue these expansion strategies organically, we also may explore potential additional business acquisitions, like our acquisition of Stay-Lite Lighting and Voltrek, which have more quickly added these types of expanded and different capabilities to our product and services offerings.</w:t>
      </w:r>
    </w:p>
    <w:p>
      <w:pPr>
        <w:spacing w:after="0" w:line="124" w:lineRule="exact"/>
        <w:rPr>
          <w:sz w:val="20"/>
          <w:szCs w:val="20"/>
          <w:color w:val="auto"/>
        </w:rPr>
      </w:pPr>
    </w:p>
    <w:p>
      <w:pPr>
        <w:jc w:val="both"/>
        <w:ind w:firstLine="464"/>
        <w:spacing w:after="0" w:line="270" w:lineRule="auto"/>
        <w:rPr>
          <w:sz w:val="20"/>
          <w:szCs w:val="20"/>
          <w:color w:val="auto"/>
        </w:rPr>
      </w:pPr>
      <w:r>
        <w:rPr>
          <w:rFonts w:ascii="Arial" w:cs="Arial" w:eastAsia="Arial" w:hAnsi="Arial"/>
          <w:sz w:val="17"/>
          <w:szCs w:val="17"/>
          <w:color w:val="auto"/>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4"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29"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The gross margins of our products can vary significantly depending upon the types of products we sell, with margins typically ranging from 10% to 50%. As a result, a change in the total mix of our sales among higher or lower margin products can cause our profitability to fluctuate from period to period.</w:t>
      </w:r>
    </w:p>
    <w:p>
      <w:pPr>
        <w:spacing w:after="0" w:line="129"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Our fiscal year ends on March 31. Our current fiscal year ends on March 31, 2024 and is referred to as “fiscal 2024”. We refer to our just completed fiscal year, which ended on March 31, 2023, as "fiscal 2023", and our prior fiscal year which ended on March 31, 2022 as "fiscal 2022". Our fiscal first quarter of each fiscal year ends on June 30, our fiscal second quarter ends on September 30, our fiscal third quarter ends on December 31 and our fiscal fourth quarter ends on March 31.</w:t>
      </w:r>
    </w:p>
    <w:p>
      <w:pPr>
        <w:spacing w:after="0" w:line="131"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7"/>
          <w:szCs w:val="17"/>
          <w:color w:val="auto"/>
        </w:rPr>
        <w:t>Reportable segments are components of an entity that have separate financial data that the entity's chief operating decision maker ("CODM") regularly reviews when allocating resources and assessing performance. Our CODM is our chief executive officer. Previously, we had four reportable segments: Orion Services Group Division ("OSG"), Orion Distribution Services Division ("ODS"), Orion U.S. Markets Division (“USM”) and Orion Electric Vehicle Charging Division (“EV Segment”). Effective during the first quarter of fiscal 2024, we began to evaluate and report the business using three segments: Orion Lighting Division, Orion Maintenance Division and Orion Electric Vehicle Charging Division.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Voltrek</w:t>
      </w:r>
    </w:p>
    <w:p>
      <w:pPr>
        <w:spacing w:after="0" w:line="171" w:lineRule="exact"/>
        <w:rPr>
          <w:sz w:val="20"/>
          <w:szCs w:val="20"/>
          <w:color w:val="auto"/>
        </w:rPr>
      </w:pPr>
    </w:p>
    <w:p>
      <w:pPr>
        <w:jc w:val="both"/>
        <w:ind w:right="100" w:firstLine="464"/>
        <w:spacing w:after="0" w:line="296" w:lineRule="auto"/>
        <w:rPr>
          <w:sz w:val="20"/>
          <w:szCs w:val="20"/>
          <w:color w:val="auto"/>
        </w:rPr>
      </w:pPr>
      <w:r>
        <w:rPr>
          <w:rFonts w:ascii="Arial" w:cs="Arial" w:eastAsia="Arial" w:hAnsi="Arial"/>
          <w:sz w:val="16"/>
          <w:szCs w:val="16"/>
          <w:color w:val="auto"/>
        </w:rPr>
        <w:t>Effective on October 5, 2022, we acquired all of the outstanding membership interests of Voltrek LLC, a leading electric vehicle charging company that provides turnkey installation solutions with ongoing support to all commercial verticals. The initial purchase price consisted of $5.0 million cash and $1.0 million of stock. We also paid an additional $3.0 million based on Voltrek's performance in fiscal 2023 and could pay up to an additional $3.5 million and $7.15 million in compensatory consideration if Voltrek exceeds certain earnings targets in fiscal 2024 and 2025, respectively. The acquisition was funded from existing cash and credit resources and has been operating as Voltrek, a division of Orion Energy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September 30, 2023 versus Three Months Ended September 30, 2022</w:t>
      </w:r>
    </w:p>
    <w:p>
      <w:pPr>
        <w:spacing w:after="0" w:line="175"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3"/>
              </w:rPr>
              <w:t>Three Months Ended September 30,</w:t>
            </w:r>
          </w:p>
        </w:tc>
        <w:tc>
          <w:tcPr>
            <w:tcW w:w="9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113"/>
              <w:spacing w:after="0" w:line="13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15,588</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12,833</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28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4,727</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24.3 %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20,586</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17,560</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10,897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9,287</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52.9 %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3,838</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16,017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13,125</w:t>
            </w:r>
          </w:p>
        </w:tc>
        <w:tc>
          <w:tcPr>
            <w:tcW w:w="2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color w:val="auto"/>
                <w:highlight w:val="white"/>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xml:space="preserve">77.8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74.7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3,945</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(99.1 )%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(15.3 )%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(4,168 )</w:t>
            </w: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(2,943 )</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1100.0 %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(192 )</w:t>
            </w: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1100.0 %</w:t>
            </w:r>
          </w:p>
        </w:tc>
        <w:tc>
          <w:tcPr>
            <w:tcW w:w="100" w:type="dxa"/>
            <w:vAlign w:val="bottom"/>
          </w:tcPr>
          <w:p>
            <w:pPr>
              <w:spacing w:after="0"/>
              <w:rPr>
                <w:sz w:val="21"/>
                <w:szCs w:val="21"/>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(0.9 )%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56.3 %</w:t>
            </w:r>
          </w:p>
        </w:tc>
        <w:tc>
          <w:tcPr>
            <w:tcW w:w="100" w:type="dxa"/>
            <w:vAlign w:val="bottom"/>
          </w:tcPr>
          <w:p>
            <w:pPr>
              <w:spacing w:after="0"/>
              <w:rPr>
                <w:sz w:val="21"/>
                <w:szCs w:val="21"/>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(0.1 )%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Loss before income tax</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(4,373 )</w:t>
            </w: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(2,974 )</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(47.0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(643 )</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(4,388 )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(2,331 )</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(88.2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-2816860</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-2499995</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-2192020</wp:posOffset>
            </wp:positionV>
            <wp:extent cx="7132320" cy="4794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-1558290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-1250315</wp:posOffset>
            </wp:positionV>
            <wp:extent cx="7132320" cy="4711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659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65913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NM - Not Meaningful</w:t>
      </w:r>
    </w:p>
    <w:p>
      <w:pPr>
        <w:spacing w:after="0" w:line="176" w:lineRule="exact"/>
        <w:rPr>
          <w:sz w:val="20"/>
          <w:szCs w:val="20"/>
          <w:color w:val="auto"/>
        </w:rPr>
      </w:pPr>
    </w:p>
    <w:p>
      <w:pPr>
        <w:jc w:val="both"/>
        <w:ind w:right="100" w:firstLine="464"/>
        <w:spacing w:after="0" w:line="271" w:lineRule="auto"/>
        <w:rPr>
          <w:sz w:val="20"/>
          <w:szCs w:val="20"/>
          <w:color w:val="auto"/>
        </w:rPr>
      </w:pPr>
      <w:r>
        <w:rPr>
          <w:rFonts w:ascii="Arial" w:cs="Arial" w:eastAsia="Arial" w:hAnsi="Arial"/>
          <w:sz w:val="17"/>
          <w:szCs w:val="17"/>
          <w:i w:val="1"/>
          <w:iCs w:val="1"/>
          <w:color w:val="auto"/>
        </w:rPr>
        <w:t xml:space="preserve">Revenue, Cost of Revenue and Gross Margin. </w:t>
      </w:r>
      <w:r>
        <w:rPr>
          <w:rFonts w:ascii="Arial" w:cs="Arial" w:eastAsia="Arial" w:hAnsi="Arial"/>
          <w:sz w:val="17"/>
          <w:szCs w:val="17"/>
          <w:color w:val="auto"/>
        </w:rPr>
        <w:t>Product revenue increased 21.5%, or $2.8 million, for the second quarter of fiscal 2024 versus the</w:t>
      </w:r>
      <w:r>
        <w:rPr>
          <w:rFonts w:ascii="Arial" w:cs="Arial" w:eastAsia="Arial" w:hAnsi="Arial"/>
          <w:sz w:val="17"/>
          <w:szCs w:val="17"/>
          <w:i w:val="1"/>
          <w:iCs w:val="1"/>
          <w:color w:val="auto"/>
        </w:rPr>
        <w:t xml:space="preserve"> </w:t>
      </w:r>
      <w:r>
        <w:rPr>
          <w:rFonts w:ascii="Arial" w:cs="Arial" w:eastAsia="Arial" w:hAnsi="Arial"/>
          <w:sz w:val="17"/>
          <w:szCs w:val="17"/>
          <w:color w:val="auto"/>
        </w:rPr>
        <w:t>second quarter of fiscal 2023. Service revenue increased 5.7%, or $0.3 million, for the second quarter of fiscal 2024 versus the second quarter of fiscal 2023. The increase in total revenue was due to the addition of EV revenue from the Voltrek acquistion and a new 3-year preventive maintenance contract. Cost of product revenue increased by 17.3%, or $1.6 million, in the second quarter of fiscal 2024 versus the comparable period in fiscal 2023. Cost of service revenue increased by 33.4%, or $1.3 million, in the second quarter of fiscal 2024 versus the comparable period in fiscal 2023. Gross margin decreased from 25.3% of revenue in the second quarter of fiscal 2023 to 22.2% in the second quarter of fiscal 2024, due primarily to inflationary cost pressures related to subcontractor costs and maintenance technician costs on fixed price contracts.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100" w:firstLine="464"/>
        <w:spacing w:after="0" w:line="34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27.8%, or $1.1 million, in the second quarter of fiscal 2024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fiscal 2023. This comparative increase was primarily due to the $1.1 million accrual of the expected Voltrek earn-out payment.</w:t>
      </w:r>
    </w:p>
    <w:p>
      <w:pPr>
        <w:spacing w:after="0" w:line="12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3" w:right="239" w:bottom="1440" w:gutter="0" w:footer="0" w:header="0"/>
        </w:sectPr>
      </w:pPr>
    </w:p>
    <w:bookmarkStart w:id="22" w:name="page23"/>
    <w:bookmarkEnd w:id="22"/>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Acquisition Related Costs. </w:t>
      </w:r>
      <w:r>
        <w:rPr>
          <w:rFonts w:ascii="Arial" w:cs="Arial" w:eastAsia="Arial" w:hAnsi="Arial"/>
          <w:sz w:val="18"/>
          <w:szCs w:val="18"/>
          <w:color w:val="auto"/>
        </w:rPr>
        <w:t>Acquisition related costs decreased 99.1% or $0.3 million, in the second quarter of fiscal 2024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2023.</w:t>
      </w:r>
    </w:p>
    <w:p>
      <w:pPr>
        <w:spacing w:after="0" w:line="116" w:lineRule="exact"/>
        <w:rPr>
          <w:sz w:val="20"/>
          <w:szCs w:val="20"/>
          <w:color w:val="auto"/>
        </w:rPr>
      </w:pPr>
    </w:p>
    <w:p>
      <w:pPr>
        <w:jc w:val="both"/>
        <w:ind w:right="100" w:firstLine="464"/>
        <w:spacing w:after="0" w:line="34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25.0%, or $0.7 million, in the second quarter of fiscal 2024 compared to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2023. This comparative increase was primarily due to the inclusion of Voltrek in the current year and commissions on higher revenues.</w:t>
      </w:r>
    </w:p>
    <w:p>
      <w:pPr>
        <w:spacing w:after="0" w:line="70"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15.3% or $0.1 million, in the second quarter of fiscal 2024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2023. This comparative decrease was primarily due to the reduction of site testing costs.</w:t>
      </w:r>
    </w:p>
    <w:p>
      <w:pPr>
        <w:spacing w:after="0" w:line="116" w:lineRule="exact"/>
        <w:rPr>
          <w:sz w:val="20"/>
          <w:szCs w:val="20"/>
          <w:color w:val="auto"/>
        </w:rPr>
      </w:pPr>
    </w:p>
    <w:p>
      <w:pPr>
        <w:ind w:right="100" w:firstLine="464"/>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expenses increased 1100.0% or $0.2 million, in the second quarter of fiscal 2024 compared to the second quarter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2023. This comparative increase was primarily due to the interest on increased outstanding borrowings.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Lighting Division</w:t>
      </w:r>
    </w:p>
    <w:p>
      <w:pPr>
        <w:spacing w:after="0" w:line="175" w:lineRule="exact"/>
        <w:rPr>
          <w:sz w:val="20"/>
          <w:szCs w:val="20"/>
          <w:color w:val="auto"/>
        </w:rPr>
      </w:pPr>
    </w:p>
    <w:p>
      <w:pPr>
        <w:jc w:val="both"/>
        <w:ind w:right="100" w:firstLine="469"/>
        <w:spacing w:after="0" w:line="279" w:lineRule="auto"/>
        <w:rPr>
          <w:sz w:val="20"/>
          <w:szCs w:val="20"/>
          <w:color w:val="auto"/>
        </w:rPr>
      </w:pPr>
      <w:r>
        <w:rPr>
          <w:rFonts w:ascii="Arial" w:cs="Arial" w:eastAsia="Arial" w:hAnsi="Arial"/>
          <w:sz w:val="17"/>
          <w:szCs w:val="17"/>
          <w:color w:val="auto"/>
        </w:rPr>
        <w:t>Our lighting division develops and sells lighting products and provides construction and engineering services for our commercial lighting and energy management systems. Our lighting division provides engineering, design, lighting products and in many cases turnkey solutions for large national accounts, governments, municipalities, schools and other customers. Our lighting division sells mostly through direct sales and also through manufacturer representative agencies and to the wholesale contractor markets through ESCOs and contractors.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lighting division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ind w:right="57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24"/>
        </w:trPr>
        <w:tc>
          <w:tcPr>
            <w:tcW w:w="68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13,573</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(1,962 )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(2,296 )</w:t>
            </w:r>
          </w:p>
        </w:tc>
        <w:tc>
          <w:tcPr>
            <w:tcW w:w="44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(14.5 )%</w:t>
            </w:r>
          </w:p>
        </w:tc>
        <w:tc>
          <w:tcPr>
            <w:tcW w:w="28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(16.3 )%</w:t>
            </w: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7"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Lighting division revenue in the second quarter of fiscal 2024 decreased by 3.8%, or $0.5 million, compared to the second quarter of fiscal 2023. The decrease in lighting division revenue was due to variability in the timing of larger lighting projects. The decrease in corresponding operating loss in this segment is a result of a decrease in under absorption of fixed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Division</w:t>
      </w:r>
    </w:p>
    <w:p>
      <w:pPr>
        <w:spacing w:after="0" w:line="175" w:lineRule="exact"/>
        <w:rPr>
          <w:sz w:val="20"/>
          <w:szCs w:val="20"/>
          <w:color w:val="auto"/>
        </w:rPr>
      </w:pPr>
    </w:p>
    <w:p>
      <w:pPr>
        <w:jc w:val="both"/>
        <w:ind w:right="100" w:firstLine="469"/>
        <w:spacing w:after="0" w:line="277" w:lineRule="auto"/>
        <w:rPr>
          <w:sz w:val="20"/>
          <w:szCs w:val="20"/>
          <w:color w:val="auto"/>
        </w:rPr>
      </w:pPr>
      <w:r>
        <w:rPr>
          <w:rFonts w:ascii="Arial" w:cs="Arial" w:eastAsia="Arial" w:hAnsi="Arial"/>
          <w:sz w:val="18"/>
          <w:szCs w:val="18"/>
          <w:color w:val="auto"/>
        </w:rPr>
        <w:t>Our maintenance division provides retailers, distributors and other businesses with maintenance, repair and replacement services for the lighting and related electrical components deployed in their facilities.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maintenance division operating results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Pr>
          <w:p>
            <w:pPr>
              <w:jc w:val="right"/>
              <w:ind w:right="57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24"/>
        </w:trPr>
        <w:tc>
          <w:tcPr>
            <w:tcW w:w="68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6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(1,760 )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(795 )</w:t>
            </w:r>
          </w:p>
        </w:tc>
        <w:tc>
          <w:tcPr>
            <w:tcW w:w="4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(121.4 )%</w:t>
            </w:r>
          </w:p>
        </w:tc>
        <w:tc>
          <w:tcPr>
            <w:tcW w:w="0" w:type="dxa"/>
            <w:vAlign w:val="bottom"/>
          </w:tcPr>
          <w:p>
            <w:pPr>
              <w:spacing w:after="0"/>
              <w:rPr>
                <w:sz w:val="1"/>
                <w:szCs w:val="1"/>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(48.4 )%</w:t>
            </w:r>
          </w:p>
        </w:tc>
        <w:tc>
          <w:tcPr>
            <w:tcW w:w="280" w:type="dxa"/>
            <w:vAlign w:val="bottom"/>
            <w:shd w:val="clear" w:color="auto" w:fill="CFF0FC"/>
          </w:tcPr>
          <w:p>
            <w:pPr>
              <w:spacing w:after="0"/>
              <w:rPr>
                <w:sz w:val="21"/>
                <w:szCs w:val="21"/>
                <w:color w:val="auto"/>
              </w:rPr>
            </w:pPr>
          </w:p>
        </w:tc>
        <w:tc>
          <w:tcPr>
            <w:tcW w:w="1560" w:type="dxa"/>
            <w:vAlign w:val="bottom"/>
            <w:gridSpan w:val="3"/>
            <w:shd w:val="clear" w:color="auto" w:fill="CFF0FC"/>
          </w:tcPr>
          <w:p>
            <w:pPr>
              <w:jc w:val="right"/>
              <w:ind w:right="440"/>
              <w:spacing w:after="0"/>
              <w:rPr>
                <w:sz w:val="20"/>
                <w:szCs w:val="20"/>
                <w:color w:val="auto"/>
              </w:rPr>
            </w:pPr>
            <w:r>
              <w:rPr>
                <w:rFonts w:ascii="Arial" w:cs="Arial" w:eastAsia="Arial" w:hAnsi="Arial"/>
                <w:sz w:val="18"/>
                <w:szCs w:val="18"/>
                <w:color w:val="auto"/>
              </w:rPr>
              <w:t>(23.1 )%</w:t>
            </w: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30" w:lineRule="exact"/>
        <w:rPr>
          <w:sz w:val="20"/>
          <w:szCs w:val="20"/>
          <w:color w:val="auto"/>
        </w:rPr>
      </w:pPr>
    </w:p>
    <w:p>
      <w:pPr>
        <w:jc w:val="both"/>
        <w:ind w:right="100" w:firstLine="464"/>
        <w:spacing w:after="0" w:line="286" w:lineRule="auto"/>
        <w:rPr>
          <w:sz w:val="20"/>
          <w:szCs w:val="20"/>
          <w:color w:val="auto"/>
        </w:rPr>
      </w:pPr>
      <w:r>
        <w:rPr>
          <w:rFonts w:ascii="Arial" w:cs="Arial" w:eastAsia="Arial" w:hAnsi="Arial"/>
          <w:sz w:val="17"/>
          <w:szCs w:val="17"/>
          <w:color w:val="auto"/>
        </w:rPr>
        <w:t>Maintenance division revenue in the second quarter of fiscal 2024 increased by 5.5%, or $0.2 million, compared to the second quarter of fiscal 2023, primarily due to a new 3-year preventive maintenance contract. Operating loss in this segment increased as a result of a decrease in gross margins primarily due to inflationary cost pressures related to subcontractor costs and maintenance technician costs on fixed price contracts.</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0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Electric Vehicle Charging Division</w:t>
      </w:r>
    </w:p>
    <w:p>
      <w:pPr>
        <w:spacing w:after="0" w:line="175"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color w:val="auto"/>
        </w:rPr>
        <w:t>Our EV division offers leading electric vehicle charging expertise and provides EV turnkey installation solutions with ongoing support to all commercial verticals.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EV segment operations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w w:val="95"/>
              </w:rPr>
              <w:t>Three Months Ended September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jc w:val="right"/>
              <w:ind w:right="579"/>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(1,029 )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40" w:type="dxa"/>
            <w:vAlign w:val="bottom"/>
          </w:tcPr>
          <w:p>
            <w:pPr>
              <w:ind w:left="74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(30.5 )%</w:t>
            </w:r>
          </w:p>
        </w:tc>
        <w:tc>
          <w:tcPr>
            <w:tcW w:w="30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6"/>
                <w:szCs w:val="16"/>
                <w:color w:val="auto"/>
              </w:rPr>
              <w:t>* NM - Not Meaningful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100" w:firstLine="464"/>
        <w:spacing w:after="0" w:line="307" w:lineRule="auto"/>
        <w:rPr>
          <w:sz w:val="20"/>
          <w:szCs w:val="20"/>
          <w:color w:val="auto"/>
        </w:rPr>
      </w:pPr>
      <w:r>
        <w:rPr>
          <w:rFonts w:ascii="Arial" w:cs="Arial" w:eastAsia="Arial" w:hAnsi="Arial"/>
          <w:sz w:val="17"/>
          <w:szCs w:val="17"/>
          <w:color w:val="auto"/>
        </w:rPr>
        <w:t>EV segment revenue generated by Voltrek in the second quarter of fiscal 2024 was $3.4 million. Operating loss in this segment was primarily a result of the $1.1 million of earn-out expense included in general and administrative costs and the allocation of corporate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September 30, 2023 versus Six Months Ended September 30, 2022</w:t>
      </w:r>
    </w:p>
    <w:p>
      <w:pPr>
        <w:spacing w:after="0" w:line="175" w:lineRule="exact"/>
        <w:rPr>
          <w:sz w:val="20"/>
          <w:szCs w:val="20"/>
          <w:color w:val="auto"/>
        </w:rPr>
      </w:pPr>
    </w:p>
    <w:p>
      <w:pPr>
        <w:jc w:val="both"/>
        <w:ind w:right="120" w:firstLine="464"/>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w w:val="93"/>
              </w:rPr>
              <w:t>Six Months Ended 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29,259</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26,316</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9"/>
        </w:trPr>
        <w:tc>
          <w:tcPr>
            <w:tcW w:w="528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9,150</w:t>
            </w:r>
          </w:p>
        </w:tc>
        <w:tc>
          <w:tcPr>
            <w:tcW w:w="2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(2.3 )%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38,199</w:t>
            </w: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35,466</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Cost of product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20,956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19,672</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54.9 %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9,503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7,805</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27,477</w:t>
            </w:r>
          </w:p>
        </w:tc>
        <w:tc>
          <w:tcPr>
            <w:tcW w:w="2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color w:val="auto"/>
                <w:highlight w:val="white"/>
              </w:rPr>
              <w:t>%</w:t>
            </w: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xml:space="preserve">79.7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 xml:space="preserve">77.5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7,740</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10,779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7,699</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28.2 %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(83.9 )%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6,608</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5,538</w:t>
            </w: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17.3 %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(10.7 )%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(10,565 )</w:t>
            </w: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(6,560 )</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(27.7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NM</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0.0 %</w:t>
            </w:r>
          </w:p>
        </w:tc>
        <w:tc>
          <w:tcPr>
            <w:tcW w:w="1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(368 )</w:t>
            </w: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1015.2 %</w:t>
            </w:r>
          </w:p>
        </w:tc>
        <w:tc>
          <w:tcPr>
            <w:tcW w:w="10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5"/>
        </w:trPr>
        <w:tc>
          <w:tcPr>
            <w:tcW w:w="5280" w:type="dxa"/>
            <w:vAlign w:val="bottom"/>
          </w:tcPr>
          <w:p>
            <w:pPr>
              <w:ind w:left="20"/>
              <w:spacing w:after="0"/>
              <w:rPr>
                <w:sz w:val="20"/>
                <w:szCs w:val="20"/>
                <w:color w:val="auto"/>
              </w:rPr>
            </w:pPr>
            <w:r>
              <w:rPr>
                <w:rFonts w:ascii="Arial" w:cs="Arial" w:eastAsia="Arial" w:hAnsi="Arial"/>
                <w:sz w:val="18"/>
                <w:szCs w:val="18"/>
                <w:color w:val="auto"/>
              </w:rPr>
              <w:t>Amortization of debt issue costs</w:t>
            </w:r>
          </w:p>
        </w:tc>
        <w:tc>
          <w:tcPr>
            <w:tcW w:w="18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(49 )</w:t>
            </w:r>
          </w:p>
        </w:tc>
        <w:tc>
          <w:tcPr>
            <w:tcW w:w="16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58.1 %</w:t>
            </w:r>
          </w:p>
        </w:tc>
        <w:tc>
          <w:tcPr>
            <w:tcW w:w="100" w:type="dxa"/>
            <w:vAlign w:val="bottom"/>
          </w:tcPr>
          <w:p>
            <w:pPr>
              <w:spacing w:after="0"/>
              <w:rPr>
                <w:sz w:val="22"/>
                <w:szCs w:val="22"/>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(0.1 )%</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Loss before income tax</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(10,970 )</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(6,624 )</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(65.6 )%</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(28.7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(1,458 )</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NM</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4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(11,027 )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(5,166 )</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xml:space="preserve">(113.5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 xml:space="preserve">(28.9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-2850515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-2225675</wp:posOffset>
            </wp:positionV>
            <wp:extent cx="7132320" cy="4794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316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659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659130"/>
                    </a:xfrm>
                    <a:prstGeom prst="rect">
                      <a:avLst/>
                    </a:prstGeom>
                    <a:noFill/>
                  </pic:spPr>
                </pic:pic>
              </a:graphicData>
            </a:graphic>
          </wp:anchor>
        </w:drawing>
      </w:r>
    </w:p>
    <w:p>
      <w:pPr>
        <w:spacing w:after="0" w:line="127" w:lineRule="exact"/>
        <w:rPr>
          <w:sz w:val="20"/>
          <w:szCs w:val="20"/>
          <w:color w:val="auto"/>
        </w:rPr>
      </w:pPr>
    </w:p>
    <w:p>
      <w:pPr>
        <w:jc w:val="both"/>
        <w:ind w:right="100" w:firstLine="464"/>
        <w:spacing w:after="0" w:line="271" w:lineRule="auto"/>
        <w:rPr>
          <w:sz w:val="20"/>
          <w:szCs w:val="20"/>
          <w:color w:val="auto"/>
        </w:rPr>
      </w:pPr>
      <w:r>
        <w:rPr>
          <w:rFonts w:ascii="Arial" w:cs="Arial" w:eastAsia="Arial" w:hAnsi="Arial"/>
          <w:sz w:val="17"/>
          <w:szCs w:val="17"/>
          <w:i w:val="1"/>
          <w:iCs w:val="1"/>
          <w:color w:val="auto"/>
        </w:rPr>
        <w:t xml:space="preserve">Revenue, Cost of Revenue and Gross Margin. </w:t>
      </w:r>
      <w:r>
        <w:rPr>
          <w:rFonts w:ascii="Arial" w:cs="Arial" w:eastAsia="Arial" w:hAnsi="Arial"/>
          <w:sz w:val="17"/>
          <w:szCs w:val="17"/>
          <w:color w:val="auto"/>
        </w:rPr>
        <w:t>Product revenue increased 11.2%, or $2.9 million, for the first six months of fiscal 2024 versus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of fiscal 2023. Service revenue decreased 2.3%, or $0.2 million, for the first six months of fiscal 2024 versus the first six months of fiscal 2023. The resulting increase in total revenue was due to the addition of EV revenue from the Voltrek acquisition, offset by variability in the timing of larger lighting projects. Cost of product revenue increased by 6.5%, or $1.3 million, in the first six months of fiscal 2024 versus the comparable period in fiscal 2023. Cost of service revenue increased by 21.8%, or $1.7 million, in the first six months of fiscal 2024 versus the comparable period in fiscal 2023. Gross margin decreased from 22.5% of revenue in the first six months of fiscal 2023 to 20.3% in the first six months of fiscal 2024, due primarily to inflationary cost pressures related to subcontractor costs and maintenance technician costs on fixed price contracts.</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3" w:right="239" w:bottom="1440" w:gutter="0" w:footer="0" w:header="0"/>
        </w:sectPr>
      </w:pPr>
    </w:p>
    <w:bookmarkStart w:id="24" w:name="page25"/>
    <w:bookmarkEnd w:id="24"/>
    <w:p>
      <w:pPr>
        <w:ind w:left="48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100" w:firstLine="464"/>
        <w:spacing w:after="0" w:line="34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40.0%, or $3.1 million, in the first six months of fiscal 2024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six months of fiscal 2023. This comparative increase was primarily due to the $2.3 million accrual of the expected Voltrek earn-out payment.</w:t>
      </w:r>
    </w:p>
    <w:p>
      <w:pPr>
        <w:spacing w:after="0" w:line="70" w:lineRule="exact"/>
        <w:rPr>
          <w:sz w:val="20"/>
          <w:szCs w:val="20"/>
          <w:color w:val="auto"/>
        </w:rPr>
      </w:pPr>
    </w:p>
    <w:p>
      <w:pPr>
        <w:jc w:val="both"/>
        <w:ind w:right="100" w:firstLine="464"/>
        <w:spacing w:after="0" w:line="277" w:lineRule="auto"/>
        <w:rPr>
          <w:sz w:val="20"/>
          <w:szCs w:val="20"/>
          <w:color w:val="auto"/>
        </w:rPr>
      </w:pPr>
      <w:r>
        <w:rPr>
          <w:rFonts w:ascii="Arial" w:cs="Arial" w:eastAsia="Arial" w:hAnsi="Arial"/>
          <w:sz w:val="18"/>
          <w:szCs w:val="18"/>
          <w:i w:val="1"/>
          <w:iCs w:val="1"/>
          <w:color w:val="auto"/>
        </w:rPr>
        <w:t xml:space="preserve">Acquisition Related Costs. </w:t>
      </w:r>
      <w:r>
        <w:rPr>
          <w:rFonts w:ascii="Arial" w:cs="Arial" w:eastAsia="Arial" w:hAnsi="Arial"/>
          <w:sz w:val="18"/>
          <w:szCs w:val="18"/>
          <w:color w:val="auto"/>
        </w:rPr>
        <w:t>Acquisition related costs decreased 83.9%, or $0.3 million, in the first six months of fiscal 2024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2023.</w:t>
      </w:r>
    </w:p>
    <w:p>
      <w:pPr>
        <w:spacing w:after="0" w:line="116" w:lineRule="exact"/>
        <w:rPr>
          <w:sz w:val="20"/>
          <w:szCs w:val="20"/>
          <w:color w:val="auto"/>
        </w:rPr>
      </w:pPr>
    </w:p>
    <w:p>
      <w:pPr>
        <w:jc w:val="both"/>
        <w:ind w:right="100" w:firstLine="464"/>
        <w:spacing w:after="0" w:line="307"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19.3%, or $1.1 million, in the first six months of fiscal 2024 compared to the first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fiscal 2023. This comparative increase was primarily due to the acquisition of Voltrek and commissions on higher revenues.</w:t>
      </w:r>
    </w:p>
    <w:p>
      <w:pPr>
        <w:spacing w:after="0" w:line="93" w:lineRule="exact"/>
        <w:rPr>
          <w:sz w:val="20"/>
          <w:szCs w:val="20"/>
          <w:color w:val="auto"/>
        </w:rPr>
      </w:pPr>
    </w:p>
    <w:p>
      <w:pPr>
        <w:jc w:val="both"/>
        <w:ind w:right="120" w:firstLine="464"/>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10.7%, or $0.1 million, in the first six months of fiscal 2024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fiscal 2023. This comparative decrease was primarily due to the reduction of employment costs.</w:t>
      </w:r>
    </w:p>
    <w:p>
      <w:pPr>
        <w:spacing w:after="0" w:line="116" w:lineRule="exact"/>
        <w:rPr>
          <w:sz w:val="20"/>
          <w:szCs w:val="20"/>
          <w:color w:val="auto"/>
        </w:rPr>
      </w:pPr>
    </w:p>
    <w:p>
      <w:pPr>
        <w:ind w:right="100" w:firstLine="464"/>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expenses increased 1015.2% or $0.3 million, in the first six months of fiscal 2024 compared to the first six months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2023. This comparative increase was primarily due to the interest on outstanding borrowings.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Lighting Division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lighting division operating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Six Months Ended 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jc w:val="right"/>
              <w:ind w:right="57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8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26,194</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27,967</w:t>
            </w: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(2,728 )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(3,300 )</w:t>
            </w:r>
          </w:p>
        </w:tc>
        <w:tc>
          <w:tcPr>
            <w:tcW w:w="400" w:type="dxa"/>
            <w:vAlign w:val="bottom"/>
          </w:tcPr>
          <w:p>
            <w:pPr>
              <w:spacing w:after="0"/>
              <w:rPr>
                <w:sz w:val="21"/>
                <w:szCs w:val="21"/>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(10.4 )%</w:t>
            </w:r>
          </w:p>
        </w:tc>
        <w:tc>
          <w:tcPr>
            <w:tcW w:w="28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(11.8 )%</w:t>
            </w: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7" w:lineRule="exact"/>
        <w:rPr>
          <w:sz w:val="20"/>
          <w:szCs w:val="20"/>
          <w:color w:val="auto"/>
        </w:rPr>
      </w:pPr>
    </w:p>
    <w:p>
      <w:pPr>
        <w:jc w:val="both"/>
        <w:ind w:right="100" w:firstLine="469"/>
        <w:spacing w:after="0" w:line="263" w:lineRule="auto"/>
        <w:rPr>
          <w:sz w:val="20"/>
          <w:szCs w:val="20"/>
          <w:color w:val="auto"/>
        </w:rPr>
      </w:pPr>
      <w:r>
        <w:rPr>
          <w:rFonts w:ascii="Arial" w:cs="Arial" w:eastAsia="Arial" w:hAnsi="Arial"/>
          <w:sz w:val="18"/>
          <w:szCs w:val="18"/>
          <w:color w:val="auto"/>
        </w:rPr>
        <w:t>Lighting division revenue in the first six months of fiscal 2024 decreased by 6.3%, or $1.8 million compared to the first six months of fiscal 2023. The decrease in lighting division revenue was due to variability in the timing of larger lighting projects. The decrease in corresponding operating loss in this segment is a result of a decrease in under absorption of fixed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Division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maintenance division operating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Six Months Ended 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jc w:val="right"/>
              <w:ind w:right="619"/>
              <w:spacing w:after="0" w:line="13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2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2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9"/>
        </w:trPr>
        <w:tc>
          <w:tcPr>
            <w:tcW w:w="674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(3,600 )</w:t>
            </w: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(1,085 )</w:t>
            </w:r>
          </w:p>
        </w:tc>
        <w:tc>
          <w:tcPr>
            <w:tcW w:w="4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(231.8 )%</w:t>
            </w:r>
          </w:p>
        </w:tc>
        <w:tc>
          <w:tcPr>
            <w:tcW w:w="0" w:type="dxa"/>
            <w:vAlign w:val="bottom"/>
          </w:tcPr>
          <w:p>
            <w:pPr>
              <w:spacing w:after="0"/>
              <w:rPr>
                <w:sz w:val="1"/>
                <w:szCs w:val="1"/>
                <w:color w:val="auto"/>
              </w:rPr>
            </w:pPr>
          </w:p>
        </w:tc>
      </w:tr>
      <w:tr>
        <w:trPr>
          <w:trHeight w:val="24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(48.7 )%</w:t>
            </w:r>
          </w:p>
        </w:tc>
        <w:tc>
          <w:tcPr>
            <w:tcW w:w="28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(14.5 )%</w:t>
            </w: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7" w:lineRule="exact"/>
        <w:rPr>
          <w:sz w:val="20"/>
          <w:szCs w:val="20"/>
          <w:color w:val="auto"/>
        </w:rPr>
      </w:pPr>
    </w:p>
    <w:p>
      <w:pPr>
        <w:jc w:val="both"/>
        <w:ind w:right="100" w:firstLine="464"/>
        <w:spacing w:after="0" w:line="286" w:lineRule="auto"/>
        <w:rPr>
          <w:sz w:val="20"/>
          <w:szCs w:val="20"/>
          <w:color w:val="auto"/>
        </w:rPr>
      </w:pPr>
      <w:r>
        <w:rPr>
          <w:rFonts w:ascii="Arial" w:cs="Arial" w:eastAsia="Arial" w:hAnsi="Arial"/>
          <w:sz w:val="17"/>
          <w:szCs w:val="17"/>
          <w:color w:val="auto"/>
        </w:rPr>
        <w:t>Maintenance division revenue in the first six months of fiscal 2024 increased by 1.5%, or $0.1 million, compared to the first six months of fiscal 2023, primarily due to a new 3-year preventive maintenance contract. Operating loss in this segment increased as a result of a decrease in gross margins primarily due to inflationary cost pressures related to subcontractor costs and maintenance technician costs on fixed price contracts.</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9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Electric Vehicle Charging Division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EV segment operations results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Six Months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jc w:val="right"/>
              <w:ind w:right="579"/>
              <w:spacing w:after="0" w:line="13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6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180" w:type="dxa"/>
            <w:vAlign w:val="bottom"/>
            <w:gridSpan w:val="2"/>
          </w:tcPr>
          <w:p>
            <w:pPr>
              <w:jc w:val="right"/>
              <w:ind w:right="128"/>
              <w:spacing w:after="0"/>
              <w:rPr>
                <w:sz w:val="20"/>
                <w:szCs w:val="20"/>
                <w:color w:val="auto"/>
              </w:rPr>
            </w:pPr>
            <w:r>
              <w:rPr>
                <w:rFonts w:ascii="Arial" w:cs="Arial" w:eastAsia="Arial" w:hAnsi="Arial"/>
                <w:sz w:val="18"/>
                <w:szCs w:val="18"/>
                <w:color w:val="auto"/>
              </w:rPr>
              <w:t>(2,963 )</w:t>
            </w:r>
          </w:p>
        </w:tc>
        <w:tc>
          <w:tcPr>
            <w:tcW w:w="300" w:type="dxa"/>
            <w:vAlign w:val="bottom"/>
          </w:tcPr>
          <w:p>
            <w:pPr>
              <w:spacing w:after="0"/>
              <w:rPr>
                <w:sz w:val="20"/>
                <w:szCs w:val="20"/>
                <w:color w:val="auto"/>
              </w:rPr>
            </w:pPr>
          </w:p>
        </w:tc>
        <w:tc>
          <w:tcPr>
            <w:tcW w:w="16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(64.2 )%</w:t>
            </w:r>
          </w:p>
        </w:tc>
        <w:tc>
          <w:tcPr>
            <w:tcW w:w="30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ind w:left="76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6"/>
                <w:szCs w:val="16"/>
                <w:color w:val="auto"/>
              </w:rPr>
              <w:t>* NM - Not Meaningful</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7"/>
          <w:szCs w:val="17"/>
          <w:color w:val="auto"/>
        </w:rPr>
        <w:t>EV segment revenue generated by Voltrek in the first six months of fiscal 2024 was $4.6 million. Operating loss in this segment was primarily a result of the $2.3 million of earn-out expense included in general and administrative costs and the allocation of corporate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69"/>
        <w:spacing w:after="0" w:line="286" w:lineRule="auto"/>
        <w:rPr>
          <w:sz w:val="20"/>
          <w:szCs w:val="20"/>
          <w:color w:val="auto"/>
        </w:rPr>
      </w:pPr>
      <w:r>
        <w:rPr>
          <w:rFonts w:ascii="Arial" w:cs="Arial" w:eastAsia="Arial" w:hAnsi="Arial"/>
          <w:sz w:val="17"/>
          <w:szCs w:val="17"/>
          <w:color w:val="auto"/>
        </w:rPr>
        <w:t>We believe our existing cash and operating cash flow provide us with the financial flexibility needed to meet our capital requirements, based on our current cash flow forecast, including to fund our budgeted capital expenditures and working capital needs for at least one year from the date of this report, as well as our currently anticipated longer-term capital requirements for periods beyond at least one year from the date of this report.</w:t>
      </w:r>
    </w:p>
    <w:p>
      <w:pPr>
        <w:spacing w:after="0" w:line="110"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We had approximately $4.0 million in cash and cash equivalents as of September 30, 2023, compared to $16.0 million at March 31, 2023. Our cash position decreased as a result of an operating loss and an overall use of working capital during the first six months of fiscal 2024. We expect our operating cash flows to be positive during the second half of fiscal 2024.</w:t>
      </w:r>
    </w:p>
    <w:p>
      <w:pPr>
        <w:spacing w:after="0" w:line="129"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We are also currently pursuing other potential supplemental liquidity 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cash flows for the six months ended September 30, 2023 and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(11,315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960" w:type="dxa"/>
            <w:vAlign w:val="bottom"/>
          </w:tcPr>
          <w:p>
            <w:pPr>
              <w:spacing w:after="0"/>
              <w:rPr>
                <w:sz w:val="20"/>
                <w:szCs w:val="20"/>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(647 )</w:t>
            </w:r>
          </w:p>
        </w:tc>
        <w:tc>
          <w:tcPr>
            <w:tcW w:w="10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(397 )</w:t>
            </w: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(5 )</w:t>
            </w:r>
          </w:p>
        </w:tc>
        <w:tc>
          <w:tcPr>
            <w:tcW w:w="10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5,046</w:t>
            </w:r>
          </w:p>
        </w:tc>
        <w:tc>
          <w:tcPr>
            <w:tcW w:w="10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(11,967 )</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(1,946 )</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amortization of intangible assets, stock-based compensation, amortization of debt issue costs, provisions for reserves, and the effect of changes in working capital and other activities.</w:t>
      </w:r>
    </w:p>
    <w:p>
      <w:pPr>
        <w:spacing w:after="0" w:line="129"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Cash used in operating activities for the first six months of fiscal 2024 was $11.3 million and consisted of our net loss of $11.1 million adjusted for non-cash expense items and net cash used in changes in operating assets of $0.2 million, the largest of which was a $2.6 million increase in accounts receivable.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6" w:name="page27"/>
    <w:bookmarkEnd w:id="26"/>
    <w:p>
      <w:pPr>
        <w:jc w:val="both"/>
        <w:ind w:firstLine="464"/>
        <w:spacing w:after="0" w:line="263" w:lineRule="auto"/>
        <w:rPr>
          <w:sz w:val="20"/>
          <w:szCs w:val="20"/>
          <w:color w:val="auto"/>
        </w:rPr>
      </w:pPr>
      <w:r>
        <w:rPr>
          <w:rFonts w:ascii="Arial" w:cs="Arial" w:eastAsia="Arial" w:hAnsi="Arial"/>
          <w:sz w:val="18"/>
          <w:szCs w:val="18"/>
          <w:color w:val="auto"/>
        </w:rPr>
        <w:t>Cash used in operating activities for the first six months of fiscal 2023 was $6.6 million and consisted of our net loss of $5.2 million adjusted for non-cash expense items and net cash used in changes in working capital of $1.3 million, the largest of which was a $4.0 million decrease in accounts payable.</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$0.6 million in the first six months of fiscal 2024 consisted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purchases of property and equipment, partially offset by proceeds from sale of property and equipment.</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Cash used in investing activities of $0.4 million in the first six months of fiscal 2023 consisted primarily of purchases of property and equipment.</w:t>
      </w:r>
    </w:p>
    <w:p>
      <w:pPr>
        <w:spacing w:after="0" w:line="182"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by financing activities of $5 thousand in the first six months of fiscal 2024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payment of long-term debt.</w:t>
      </w:r>
    </w:p>
    <w:p>
      <w:pPr>
        <w:spacing w:after="0" w:line="116"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Cash provided by financing activities of $5.0 million in the first six months of fiscal 2023 consisted primarily of proceeds from our revolving credit facility, which was drawn down to subsequently pay the cash purchase price to acquire Voltrek.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Our net working capital as of September 30, 2023 was $16.2 million, consisting of $45.3 million in current assets and $29.0 million in current liabilities. Our net working capital as of March 31, 2023 was $25.9 million, consisting of $50.4 million in current assets and $24.5 million in current liabilities.</w:t>
      </w:r>
    </w:p>
    <w:p>
      <w:pPr>
        <w:spacing w:after="0" w:line="129" w:lineRule="exact"/>
        <w:rPr>
          <w:sz w:val="20"/>
          <w:szCs w:val="20"/>
          <w:color w:val="auto"/>
        </w:rPr>
      </w:pPr>
    </w:p>
    <w:p>
      <w:pPr>
        <w:jc w:val="both"/>
        <w:ind w:right="20" w:firstLine="464"/>
        <w:spacing w:after="0" w:line="277"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29"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16"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2023, the borrowing base of the Credit Facility supports $18.9 million of availability, with $8.9 million of remaining availability net of $10.0 million borrowed.</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171"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Effective November 4, 2022, we, along with the Lender, executed Amendment No. 1 to the Credit Agreement. The primary purpose of the amendment was to include the assets of our acquired subsidiaries, Stay-Lite Lighting and Voltrek as secured collateral under the Credit Agreement. Accordingly, eligible assets of Stay-Lite and Voltrek are now included in our borrowing base calculation for the purpose of establishing our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$21.2 million and $17.2 million as of September 30, 2023 and March 31, 2023, respectively. We generally expect our backlog to be recognized as revenue within one year. Backlog does not include any amounts for contracted maintenance services.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have no off-balance sheet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We have experienced increases in various input costs including labor, components and transportation in the past year. In response, we have implemented multiple price increases, and we have substantially mitigated the inflationary pressures, such that our results from operations have not been materially affected to date by inflation.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69"/>
        <w:spacing w:after="0" w:line="28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stock-based compensation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2023. For the quarter ended September 30, 2023, there were no material changes in our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469"/>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2023. There have been no material changes to such exposures since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69"/>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2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auto"/>
        </w:rPr>
        <w:t>As of September 30, 2023,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69"/>
        <w:spacing w:after="0" w:line="341"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quarter ended September 30, 2023,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69"/>
        <w:spacing w:after="0" w:line="307"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24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69"/>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2023, which we filed with the SEC on June 12, 2023 and in Part 1 - Item 2 under the heading "Management's Discussion and Analysis of Financial Condition and Results of Operations" in this 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0" w:type="dxa"/>
            <w:vAlign w:val="bottom"/>
          </w:tcPr>
          <w:p>
            <w:pPr>
              <w:ind w:left="100"/>
              <w:spacing w:after="0"/>
              <w:rPr>
                <w:sz w:val="20"/>
                <w:szCs w:val="20"/>
                <w:color w:val="auto"/>
              </w:rPr>
            </w:pPr>
            <w:r>
              <w:rPr>
                <w:rFonts w:ascii="Arial" w:cs="Arial" w:eastAsia="Arial" w:hAnsi="Arial"/>
                <w:sz w:val="18"/>
                <w:szCs w:val="18"/>
                <w:color w:val="auto"/>
              </w:rPr>
              <w:t>10.1</w:t>
            </w:r>
          </w:p>
        </w:tc>
        <w:tc>
          <w:tcPr>
            <w:tcW w:w="10080" w:type="dxa"/>
            <w:vAlign w:val="bottom"/>
            <w:gridSpan w:val="7"/>
          </w:tcPr>
          <w:p>
            <w:pPr>
              <w:spacing w:after="0"/>
              <w:rPr>
                <w:rFonts w:ascii="Arial" w:cs="Arial" w:eastAsia="Arial" w:hAnsi="Arial"/>
                <w:sz w:val="18"/>
                <w:szCs w:val="18"/>
                <w:color w:val="0000FF"/>
                <w:w w:val="97"/>
              </w:rPr>
            </w:pPr>
            <w:hyperlink r:id="rId210">
              <w:r>
                <w:rPr>
                  <w:rFonts w:ascii="Arial" w:cs="Arial" w:eastAsia="Arial" w:hAnsi="Arial"/>
                  <w:sz w:val="18"/>
                  <w:szCs w:val="18"/>
                  <w:color w:val="0000FF"/>
                  <w:w w:val="97"/>
                </w:rPr>
                <w:t>Orion Energy Systems, Inc. 2016 Omnibus Incentive Plan, as amended and restated [Incorporated by reference to Annex A to the</w:t>
              </w:r>
            </w:hyperlink>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7"/>
          </w:tcPr>
          <w:p>
            <w:pPr>
              <w:spacing w:after="0" w:line="195" w:lineRule="exact"/>
              <w:rPr>
                <w:rFonts w:ascii="Arial" w:cs="Arial" w:eastAsia="Arial" w:hAnsi="Arial"/>
                <w:sz w:val="18"/>
                <w:szCs w:val="18"/>
                <w:color w:val="0000FF"/>
                <w:w w:val="92"/>
              </w:rPr>
            </w:pPr>
            <w:hyperlink r:id="rId210">
              <w:r>
                <w:rPr>
                  <w:rFonts w:ascii="Arial" w:cs="Arial" w:eastAsia="Arial" w:hAnsi="Arial"/>
                  <w:sz w:val="18"/>
                  <w:szCs w:val="18"/>
                  <w:color w:val="0000FF"/>
                  <w:w w:val="92"/>
                </w:rPr>
                <w:t>Registrant’s Definitive Proxy Statement on Schedule 14A filed with the Securities and Exchange Commission on June 30, 2023 (File No.</w:t>
              </w:r>
            </w:hyperlink>
          </w:p>
        </w:tc>
      </w:tr>
      <w:tr>
        <w:trPr>
          <w:trHeight w:val="20"/>
        </w:trPr>
        <w:tc>
          <w:tcPr>
            <w:tcW w:w="110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shd w:val="clear" w:color="auto" w:fill="0000FF"/>
          </w:tcPr>
          <w:p>
            <w:pPr>
              <w:spacing w:after="0" w:line="20" w:lineRule="exact"/>
              <w:rPr>
                <w:sz w:val="1"/>
                <w:szCs w:val="1"/>
                <w:color w:val="auto"/>
              </w:rPr>
            </w:pPr>
          </w:p>
        </w:tc>
        <w:tc>
          <w:tcPr>
            <w:tcW w:w="59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3440" w:type="dxa"/>
            <w:vAlign w:val="bottom"/>
            <w:gridSpan w:val="2"/>
          </w:tcPr>
          <w:p>
            <w:pPr>
              <w:spacing w:after="0" w:line="195" w:lineRule="exact"/>
              <w:rPr>
                <w:rFonts w:ascii="Arial" w:cs="Arial" w:eastAsia="Arial" w:hAnsi="Arial"/>
                <w:sz w:val="18"/>
                <w:szCs w:val="18"/>
                <w:color w:val="0000FF"/>
              </w:rPr>
            </w:pPr>
            <w:hyperlink r:id="rId210">
              <w:r>
                <w:rPr>
                  <w:rFonts w:ascii="Arial" w:cs="Arial" w:eastAsia="Arial" w:hAnsi="Arial"/>
                  <w:sz w:val="18"/>
                  <w:szCs w:val="18"/>
                  <w:color w:val="0000FF"/>
                </w:rPr>
                <w:t>001-33887)].</w:t>
              </w:r>
            </w:hyperlink>
          </w:p>
        </w:tc>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5"/>
        </w:trPr>
        <w:tc>
          <w:tcPr>
            <w:tcW w:w="1100" w:type="dxa"/>
            <w:vAlign w:val="bottom"/>
          </w:tcPr>
          <w:p>
            <w:pPr>
              <w:ind w:left="100"/>
              <w:spacing w:after="0"/>
              <w:rPr>
                <w:sz w:val="20"/>
                <w:szCs w:val="20"/>
                <w:color w:val="auto"/>
              </w:rPr>
            </w:pPr>
            <w:r>
              <w:rPr>
                <w:rFonts w:ascii="Arial" w:cs="Arial" w:eastAsia="Arial" w:hAnsi="Arial"/>
                <w:sz w:val="18"/>
                <w:szCs w:val="18"/>
                <w:color w:val="auto"/>
              </w:rPr>
              <w:t>31.1</w:t>
            </w:r>
          </w:p>
        </w:tc>
        <w:tc>
          <w:tcPr>
            <w:tcW w:w="10080" w:type="dxa"/>
            <w:vAlign w:val="bottom"/>
            <w:gridSpan w:val="7"/>
          </w:tcPr>
          <w:p>
            <w:pPr>
              <w:spacing w:after="0"/>
              <w:rPr>
                <w:sz w:val="20"/>
                <w:szCs w:val="20"/>
                <w:color w:val="auto"/>
              </w:rPr>
            </w:pPr>
            <w:r>
              <w:rPr>
                <w:rFonts w:ascii="Arial" w:cs="Arial" w:eastAsia="Arial" w:hAnsi="Arial"/>
                <w:sz w:val="18"/>
                <w:szCs w:val="18"/>
                <w:color w:val="0000FF"/>
                <w:w w:val="91"/>
              </w:rPr>
              <w:t>Certification of Chief Executive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60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7"/>
          </w:tcPr>
          <w:p>
            <w:pPr>
              <w:spacing w:after="0" w:line="195" w:lineRule="exact"/>
              <w:rPr>
                <w:sz w:val="20"/>
                <w:szCs w:val="20"/>
                <w:color w:val="auto"/>
              </w:rPr>
            </w:pPr>
            <w:r>
              <w:rPr>
                <w:rFonts w:ascii="Arial" w:cs="Arial" w:eastAsia="Arial" w:hAnsi="Arial"/>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2"/>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31.2</w:t>
            </w:r>
          </w:p>
        </w:tc>
        <w:tc>
          <w:tcPr>
            <w:tcW w:w="10080" w:type="dxa"/>
            <w:vAlign w:val="bottom"/>
            <w:gridSpan w:val="7"/>
          </w:tcPr>
          <w:p>
            <w:pPr>
              <w:spacing w:after="0"/>
              <w:rPr>
                <w:sz w:val="20"/>
                <w:szCs w:val="20"/>
                <w:color w:val="auto"/>
              </w:rPr>
            </w:pPr>
            <w:r>
              <w:rPr>
                <w:rFonts w:ascii="Arial" w:cs="Arial" w:eastAsia="Arial" w:hAnsi="Arial"/>
                <w:sz w:val="18"/>
                <w:szCs w:val="18"/>
                <w:color w:val="0000FF"/>
                <w:w w:val="91"/>
              </w:rPr>
              <w:t>Certification of Chief Financial Officer of Orion Energy Systems, Inc. pursuant to Rule 13a-14(a) or Rule 15d-14(a) promulgated under the</w:t>
            </w:r>
          </w:p>
        </w:tc>
      </w:tr>
      <w:tr>
        <w:trPr>
          <w:trHeight w:val="20"/>
        </w:trPr>
        <w:tc>
          <w:tcPr>
            <w:tcW w:w="1100" w:type="dxa"/>
            <w:vAlign w:val="bottom"/>
          </w:tcPr>
          <w:p>
            <w:pPr>
              <w:spacing w:after="0" w:line="20" w:lineRule="exact"/>
              <w:rPr>
                <w:sz w:val="1"/>
                <w:szCs w:val="1"/>
                <w:color w:val="auto"/>
              </w:rPr>
            </w:pPr>
          </w:p>
        </w:tc>
        <w:tc>
          <w:tcPr>
            <w:tcW w:w="948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7"/>
          </w:tcPr>
          <w:p>
            <w:pPr>
              <w:spacing w:after="0" w:line="195" w:lineRule="exact"/>
              <w:rPr>
                <w:sz w:val="20"/>
                <w:szCs w:val="20"/>
                <w:color w:val="auto"/>
              </w:rPr>
            </w:pPr>
            <w:r>
              <w:rPr>
                <w:rFonts w:ascii="Arial" w:cs="Arial" w:eastAsia="Arial" w:hAnsi="Arial"/>
                <w:sz w:val="18"/>
                <w:szCs w:val="18"/>
                <w:color w:val="0000FF"/>
              </w:rPr>
              <w:t>Securities Exchange Act of 1934, as amended.+</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gridSpan w:val="2"/>
            <w:shd w:val="clear" w:color="auto" w:fill="0000FF"/>
          </w:tcPr>
          <w:p>
            <w:pPr>
              <w:spacing w:after="0" w:line="20" w:lineRule="exact"/>
              <w:rPr>
                <w:sz w:val="1"/>
                <w:szCs w:val="1"/>
                <w:color w:val="auto"/>
              </w:rPr>
            </w:pPr>
          </w:p>
        </w:tc>
        <w:tc>
          <w:tcPr>
            <w:tcW w:w="6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32.1</w:t>
            </w:r>
          </w:p>
        </w:tc>
        <w:tc>
          <w:tcPr>
            <w:tcW w:w="10080" w:type="dxa"/>
            <w:vAlign w:val="bottom"/>
            <w:gridSpan w:val="7"/>
          </w:tcPr>
          <w:p>
            <w:pPr>
              <w:spacing w:after="0"/>
              <w:rPr>
                <w:sz w:val="20"/>
                <w:szCs w:val="20"/>
                <w:color w:val="auto"/>
              </w:rPr>
            </w:pPr>
            <w:r>
              <w:rPr>
                <w:rFonts w:ascii="Arial" w:cs="Arial" w:eastAsia="Arial" w:hAnsi="Arial"/>
                <w:sz w:val="18"/>
                <w:szCs w:val="18"/>
                <w:color w:val="0000FF"/>
                <w:w w:val="96"/>
              </w:rPr>
              <w:t>Certification of Chief Executive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48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7"/>
          </w:tcPr>
          <w:p>
            <w:pPr>
              <w:spacing w:after="0" w:line="195" w:lineRule="exact"/>
              <w:rPr>
                <w:sz w:val="20"/>
                <w:szCs w:val="20"/>
                <w:color w:val="auto"/>
              </w:rPr>
            </w:pPr>
            <w:r>
              <w:rPr>
                <w:rFonts w:ascii="Arial" w:cs="Arial" w:eastAsia="Arial" w:hAnsi="Arial"/>
                <w:sz w:val="18"/>
                <w:szCs w:val="18"/>
                <w:color w:val="0000FF"/>
                <w:w w:val="90"/>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48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71"/>
        </w:trPr>
        <w:tc>
          <w:tcPr>
            <w:tcW w:w="1100" w:type="dxa"/>
            <w:vAlign w:val="bottom"/>
          </w:tcPr>
          <w:p>
            <w:pPr>
              <w:ind w:left="100"/>
              <w:spacing w:after="0"/>
              <w:rPr>
                <w:sz w:val="20"/>
                <w:szCs w:val="20"/>
                <w:color w:val="auto"/>
              </w:rPr>
            </w:pPr>
            <w:r>
              <w:rPr>
                <w:rFonts w:ascii="Arial" w:cs="Arial" w:eastAsia="Arial" w:hAnsi="Arial"/>
                <w:sz w:val="18"/>
                <w:szCs w:val="18"/>
                <w:color w:val="auto"/>
              </w:rPr>
              <w:t>32.2</w:t>
            </w:r>
          </w:p>
        </w:tc>
        <w:tc>
          <w:tcPr>
            <w:tcW w:w="10080" w:type="dxa"/>
            <w:vAlign w:val="bottom"/>
            <w:gridSpan w:val="7"/>
          </w:tcPr>
          <w:p>
            <w:pPr>
              <w:spacing w:after="0"/>
              <w:rPr>
                <w:sz w:val="20"/>
                <w:szCs w:val="20"/>
                <w:color w:val="auto"/>
              </w:rPr>
            </w:pPr>
            <w:r>
              <w:rPr>
                <w:rFonts w:ascii="Arial" w:cs="Arial" w:eastAsia="Arial" w:hAnsi="Arial"/>
                <w:sz w:val="18"/>
                <w:szCs w:val="18"/>
                <w:color w:val="0000FF"/>
                <w:w w:val="97"/>
              </w:rPr>
              <w:t>Certification of Chief Financial Officer of Orion Energy Systems, Inc. pursuant to Rule 13a-14(b) promulgated under the Securities</w:t>
            </w:r>
          </w:p>
        </w:tc>
      </w:tr>
      <w:tr>
        <w:trPr>
          <w:trHeight w:val="20"/>
        </w:trPr>
        <w:tc>
          <w:tcPr>
            <w:tcW w:w="1100" w:type="dxa"/>
            <w:vAlign w:val="bottom"/>
          </w:tcPr>
          <w:p>
            <w:pPr>
              <w:spacing w:after="0" w:line="20" w:lineRule="exact"/>
              <w:rPr>
                <w:sz w:val="1"/>
                <w:szCs w:val="1"/>
                <w:color w:val="auto"/>
              </w:rPr>
            </w:pPr>
          </w:p>
        </w:tc>
        <w:tc>
          <w:tcPr>
            <w:tcW w:w="9480" w:type="dxa"/>
            <w:vAlign w:val="bottom"/>
            <w:gridSpan w:val="4"/>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80" w:type="dxa"/>
            <w:vAlign w:val="bottom"/>
            <w:gridSpan w:val="7"/>
          </w:tcPr>
          <w:p>
            <w:pPr>
              <w:spacing w:after="0" w:line="195" w:lineRule="exact"/>
              <w:rPr>
                <w:sz w:val="20"/>
                <w:szCs w:val="20"/>
                <w:color w:val="auto"/>
              </w:rPr>
            </w:pPr>
            <w:r>
              <w:rPr>
                <w:rFonts w:ascii="Arial" w:cs="Arial" w:eastAsia="Arial" w:hAnsi="Arial"/>
                <w:sz w:val="18"/>
                <w:szCs w:val="18"/>
                <w:color w:val="0000FF"/>
                <w:w w:val="90"/>
              </w:rPr>
              <w:t>Exchange Act of 1934, as amended, and 18 U.S.C. Section 1350, as adopted pursuant to Section 906 of the Sarbanes-Oxley Act of 2002.+</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9920" w:type="dxa"/>
            <w:vAlign w:val="bottom"/>
            <w:gridSpan w:val="5"/>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100" w:hanging="107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7"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2023.</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ORION ENERGY SYSTEMS, INC.</w:t>
      </w:r>
    </w:p>
    <w:p>
      <w:pPr>
        <w:spacing w:after="0" w:line="265"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23495</wp:posOffset>
            </wp:positionV>
            <wp:extent cx="35617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H. Jenkins, certify that:</w:t>
      </w:r>
    </w:p>
    <w:p>
      <w:pPr>
        <w:spacing w:after="0" w:line="22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160" w:hanging="512"/>
        <w:spacing w:after="0" w:line="307"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020" w:right="740" w:hanging="504"/>
        <w:spacing w:after="0" w:line="341" w:lineRule="auto"/>
        <w:tabs>
          <w:tab w:leader="none" w:pos="10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2023</w:t>
      </w:r>
    </w:p>
    <w:p>
      <w:pPr>
        <w:spacing w:after="0" w:line="26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2023, as filed with the Securities and Exchange Commission on the date hereof (the “Report”), I, Michael H. Jenkins, Chief Executive Officer of the Company, certify, pursuant to 18 U.S.C. 1350, as adopted pursuant to Section 906 of the Sarbanes-Oxley Act of 2002, that, based on my knowledge:</w:t>
      </w:r>
    </w:p>
    <w:p>
      <w:pPr>
        <w:spacing w:after="0" w:line="77" w:lineRule="exact"/>
        <w:rPr>
          <w:sz w:val="20"/>
          <w:szCs w:val="20"/>
          <w:color w:val="auto"/>
        </w:rPr>
      </w:pPr>
    </w:p>
    <w:p>
      <w:pPr>
        <w:ind w:left="1020" w:hanging="50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November 9, 2023</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Michael H.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Michael H. Jenkins</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2023,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40" w:lineRule="exact"/>
        <w:rPr>
          <w:sz w:val="20"/>
          <w:szCs w:val="20"/>
          <w:color w:val="auto"/>
        </w:rPr>
      </w:pPr>
    </w:p>
    <w:p>
      <w:pPr>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right="560" w:hanging="50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Date: November 9, 2023</w:t>
      </w:r>
    </w:p>
    <w:p>
      <w:pPr>
        <w:spacing w:after="0" w:line="27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23495</wp:posOffset>
            </wp:positionV>
            <wp:extent cx="24917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491740" cy="8255"/>
                    </a:xfrm>
                    <a:prstGeom prst="rect">
                      <a:avLst/>
                    </a:prstGeom>
                    <a:noFill/>
                  </pic:spPr>
                </pic:pic>
              </a:graphicData>
            </a:graphic>
          </wp:anchor>
        </w:drawing>
      </w:r>
    </w:p>
    <w:p>
      <w:pPr>
        <w:spacing w:after="0" w:line="2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 Per Brodin</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2"/>
      <w:numFmt w:val="decimal"/>
      <w:start w:val="104"/>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10" Type="http://schemas.openxmlformats.org/officeDocument/2006/relationships/hyperlink" Target="https://www.sec.gov/Archives/edgar/data/1409375/000119312523180384/d506406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2023-11-09T06:20:48Z</dcterms:created>
  <dcterms:modified xsi:type="dcterms:W3CDTF">2023-11-09T06:20:48Z</dcterms:modified>
</cp:coreProperties>
</file>