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1204 Pilgrim Road, Plymouth,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53073</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“accelerated filer,” “large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80"/>
          </w:cols>
          <w:pgMar w:left="240" w:top="122"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680" w:space="240"/>
            <w:col w:w="2500"/>
          </w:cols>
          <w:pgMar w:left="240" w:top="1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There were 26,393,321 shares of the Registrant’s common stock outstanding on 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2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0"/>
            <w:vMerge w:val="continue"/>
          </w:tcPr>
          <w:p>
            <w:pPr>
              <w:spacing w:after="0"/>
              <w:rPr>
                <w:sz w:val="14"/>
                <w:szCs w:val="14"/>
                <w:color w:val="auto"/>
              </w:rPr>
            </w:pPr>
          </w:p>
        </w:tc>
        <w:tc>
          <w:tcPr>
            <w:tcW w:w="752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7280" w:type="dxa"/>
            <w:vAlign w:val="bottom"/>
            <w:gridSpan w:val="8"/>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2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 as of March 31, 2008 and September 30, 2008</w:t>
              </w:r>
            </w:hyperlink>
          </w:p>
        </w:tc>
        <w:tc>
          <w:tcPr>
            <w:tcW w:w="312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for the Three and Six Months Ended September 30, 2007 and 2008</w:t>
              </w:r>
            </w:hyperlink>
          </w:p>
        </w:tc>
        <w:tc>
          <w:tcPr>
            <w:tcW w:w="90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for the Six Months Ended September 30, 2007 and 2008</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162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9860" w:type="dxa"/>
            <w:vAlign w:val="bottom"/>
            <w:gridSpan w:val="18"/>
          </w:tcPr>
          <w:p>
            <w:pPr>
              <w:ind w:left="2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w:t>
              </w:r>
            </w:hyperlink>
          </w:p>
        </w:tc>
        <w:tc>
          <w:tcPr>
            <w:tcW w:w="468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302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Controls and Procedures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2"/>
              </w:rPr>
            </w:pPr>
            <w:hyperlink w:anchor="page30">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17"/>
                <w:szCs w:val="17"/>
                <w:color w:val="auto"/>
              </w:rPr>
            </w:pPr>
          </w:p>
        </w:tc>
        <w:tc>
          <w:tcPr>
            <w:tcW w:w="7840" w:type="dxa"/>
            <w:vAlign w:val="bottom"/>
            <w:gridSpan w:val="11"/>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30">
              <w:r>
                <w:rPr>
                  <w:rFonts w:ascii="Arial" w:cs="Arial" w:eastAsia="Arial" w:hAnsi="Arial"/>
                  <w:sz w:val="18"/>
                  <w:szCs w:val="18"/>
                  <w:b w:val="1"/>
                  <w:bCs w:val="1"/>
                  <w:color w:val="0000EE"/>
                  <w:w w:val="95"/>
                </w:rPr>
                <w:t>ITEM 1A. Risk Factors</w:t>
              </w:r>
            </w:hyperlink>
          </w:p>
        </w:tc>
        <w:tc>
          <w:tcPr>
            <w:tcW w:w="8740" w:type="dxa"/>
            <w:vAlign w:val="bottom"/>
            <w:gridSpan w:val="1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w:t>
              </w:r>
            </w:hyperlink>
          </w:p>
        </w:tc>
        <w:tc>
          <w:tcPr>
            <w:tcW w:w="9860" w:type="dxa"/>
            <w:vAlign w:val="bottom"/>
            <w:gridSpan w:val="18"/>
          </w:tcPr>
          <w:p>
            <w:pPr>
              <w:ind w:left="20"/>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Unregistered Sales of Equity Securities and Use of Proceeds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w:t>
              </w:r>
            </w:hyperlink>
          </w:p>
        </w:tc>
        <w:tc>
          <w:tcPr>
            <w:tcW w:w="246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Defaults Upon Senior Securities</w:t>
              </w:r>
            </w:hyperlink>
          </w:p>
        </w:tc>
        <w:tc>
          <w:tcPr>
            <w:tcW w:w="2120" w:type="dxa"/>
            <w:vAlign w:val="bottom"/>
            <w:tcBorders>
              <w:top w:val="single" w:sz="8" w:color="0000EE"/>
            </w:tcBorders>
            <w:gridSpan w:val="3"/>
          </w:tcPr>
          <w:p>
            <w:pPr>
              <w:spacing w:after="0"/>
              <w:rPr>
                <w:sz w:val="17"/>
                <w:szCs w:val="17"/>
                <w:color w:val="auto"/>
              </w:rPr>
            </w:pPr>
          </w:p>
        </w:tc>
        <w:tc>
          <w:tcPr>
            <w:tcW w:w="528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ITEM 4. Submission Of Matters To A Vote Of Security Holders</w:t>
              </w:r>
            </w:hyperlink>
          </w:p>
        </w:tc>
        <w:tc>
          <w:tcPr>
            <w:tcW w:w="5680" w:type="dxa"/>
            <w:vAlign w:val="bottom"/>
            <w:gridSpan w:val="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ITEM 5. Other Information</w:t>
              </w:r>
            </w:hyperlink>
          </w:p>
        </w:tc>
        <w:tc>
          <w:tcPr>
            <w:tcW w:w="8400" w:type="dxa"/>
            <w:vAlign w:val="bottom"/>
            <w:gridSpan w:val="1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ITEM 6. Exhibits</w:t>
              </w:r>
            </w:hyperlink>
          </w:p>
        </w:tc>
        <w:tc>
          <w:tcPr>
            <w:tcW w:w="9200" w:type="dxa"/>
            <w:vAlign w:val="bottom"/>
            <w:gridSpan w:val="1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78,312</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Accounts receivable, net of allowances of $79 and $100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17,666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116,896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130,702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7,521</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7"/>
              </w:rPr>
              <w:t>Preferred stock, $0.01 par value: Shares authorized: 30,000,000 shares at March 31, 2008 and September 30, 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spacing w:after="0" w:line="201" w:lineRule="exact"/>
              <w:rPr>
                <w:sz w:val="20"/>
                <w:szCs w:val="20"/>
                <w:color w:val="auto"/>
              </w:rPr>
            </w:pPr>
            <w:r>
              <w:rPr>
                <w:rFonts w:ascii="Arial" w:cs="Arial" w:eastAsia="Arial" w:hAnsi="Arial"/>
                <w:sz w:val="18"/>
                <w:szCs w:val="18"/>
                <w:color w:val="auto"/>
                <w:w w:val="98"/>
              </w:rPr>
              <w:t>Common stock, no par value: Shares authorized: 200,000,000 at March 31, 2008 and September 30, 2008;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w w:val="98"/>
              </w:rPr>
              <w:t>issued: 27,339,414 and 28,200,268 at March 31, 2008 and September 30, 2008; shares outstanding: 26,963,408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and 26,383,321 at March 31, 2008 and September 30,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114,090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Treasury stock: 376,006 common shares at March 31, 2008 and 1,816,947 at September 30, 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113,190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130,702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28,752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4,158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18,760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9,375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redeemable preferred stock and preferred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dividends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common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11,283,160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26,959,790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10,711,695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26,998,857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income per share attributable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and share equivalents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20,394,499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29,018,991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19,782,208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29,613,684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420" w:type="dxa"/>
            <w:vAlign w:val="bottom"/>
            <w:gridSpan w:val="8"/>
          </w:tcPr>
          <w:p>
            <w:pPr>
              <w:ind w:left="1280"/>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1,801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Deferred income tax benefit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Additions to patents and licenses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long term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Gain on sale of long term investment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amount due from shareholder</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(4,844)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(24,855)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10,666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long-term debt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shareholder notes receivable, net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Net activity in revolving line of credit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benefit for deferred taxes on stock-based compensation</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Deferred financing costs and offering costs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46,407</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Long term note receivable received on sale of investment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surrendered for payment of stock note receivable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Preferred stock accretion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The corporate offices are located in Plymouth, Wisconsin and manufacturing and operations facilities are located in Plymouth and Manitowoc, Wisconsin.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December 2007, the Company completed its initial public offering (IPO) of common stock in which a total of 8,846,154 shares were sold, including 1,997,062 shares sold by selling shareholders, at an issuance price of $13.00 per share. The Company raised a total of $89.0 million in gross proceeds from the IPO, or approximately $78.6 in net proceeds after deducting underwriting discounts and commissions of $6.2 million and offering costs of approximately $4.2 million. Concurrent with the closing of the initial public offering on December 24, 2007, all of the Company’s then outstanding Series B preferred stock and Series C preferred stock converted on a one share to one share basis to common stock. The numbers of shares converted were 2,989,830 and 1,818,182 of Series B preferred stock and Series C preferred stock, respectively. On December 24, 2007, the holders of convertible debt converted $10.8 million of such debt and accreted interest into 2,360,802 shares of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2009 or other interim periods.</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2008 has been derived from the audited consolidated financial statements at that date but does not include all of the information required by GAAP for complete financial statements.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2008 filed with the Securities and Exchange Commission on June 27,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amortized cost and fair value of marketable securities, with gross unrealized gains and losses, as of September 30, 2008 and March 31, 2008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September 30, 2008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vMerge w:val="restart"/>
          </w:tcPr>
          <w:p>
            <w:pPr>
              <w:spacing w:after="0"/>
              <w:rPr>
                <w:sz w:val="10"/>
                <w:szCs w:val="10"/>
                <w:color w:val="auto"/>
              </w:rPr>
            </w:pPr>
          </w:p>
        </w:tc>
        <w:tc>
          <w:tcPr>
            <w:tcW w:w="190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$ 27,955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$ 27,955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paper</w:t>
            </w:r>
          </w:p>
        </w:tc>
        <w:tc>
          <w:tcPr>
            <w:tcW w:w="680" w:type="dxa"/>
            <w:vAlign w:val="bottom"/>
          </w:tcPr>
          <w:p>
            <w:pPr>
              <w:jc w:val="right"/>
              <w:spacing w:after="0"/>
              <w:rPr>
                <w:sz w:val="20"/>
                <w:szCs w:val="20"/>
                <w:color w:val="auto"/>
              </w:rPr>
            </w:pPr>
            <w:r>
              <w:rPr>
                <w:rFonts w:ascii="Arial" w:cs="Arial" w:eastAsia="Arial" w:hAnsi="Arial"/>
                <w:sz w:val="18"/>
                <w:szCs w:val="18"/>
                <w:color w:val="auto"/>
              </w:rPr>
              <w:t>9,124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6,183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agency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23,572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(195)</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23,377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8,974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$ 65,162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$ 64,944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45,361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March 31, 2008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vMerge w:val="restart"/>
          </w:tcPr>
          <w:p>
            <w:pPr>
              <w:spacing w:after="0"/>
              <w:rPr>
                <w:sz w:val="10"/>
                <w:szCs w:val="10"/>
                <w:color w:val="auto"/>
              </w:rPr>
            </w:pPr>
          </w:p>
        </w:tc>
        <w:tc>
          <w:tcPr>
            <w:tcW w:w="190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$ 63,356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$ 63,356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paper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14,466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14,473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14,473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$ 80,232</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0"/>
                <w:szCs w:val="20"/>
                <w:color w:val="auto"/>
              </w:rPr>
            </w:pPr>
            <w:r>
              <w:rPr>
                <w:rFonts w:ascii="Arial" w:cs="Arial" w:eastAsia="Arial" w:hAnsi="Arial"/>
                <w:sz w:val="18"/>
                <w:szCs w:val="18"/>
                <w:color w:val="auto"/>
                <w:w w:val="91"/>
              </w:rPr>
              <w:t>$ 80,233</w:t>
            </w:r>
          </w:p>
        </w:tc>
        <w:tc>
          <w:tcPr>
            <w:tcW w:w="3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77,829</w:t>
            </w:r>
          </w:p>
        </w:tc>
        <w:tc>
          <w:tcPr>
            <w:tcW w:w="6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 xml:space="preserve">Effective April 1, 2008, the Company adopted Statement of Financial Accounting Standards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In February 2008, The Financial Accounting Standards Board (FASB) issued FASB Staff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which provides a one year deferral of the effective date of SFAS 157 for non-financial assets and non-financial liabilities, except those that are recognized or disclosed in the financial statements at fair value at least annually. Therefore, the Company has adopted the provisions of SFAS No. 157 with respect to its financial assets and liabilities only.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adoption of SFAS No. 157 did not have a material impact on the Company’s results of operations or financial position. As of September 30, 2008, the Company’s financial assets were measured at fair value in accordance with SFAS No. 157 employing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carrying amounts of the Company’s financial instruments, which include cash and cash equivalents, short-term investments, accounts receivable, and accounts payable, approximate their respective fair values due to the relatively short-term nature of these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instruments. Based upon interest rates currently available to the Company for debt with similar terms, the carrying value of the Company’s long-term debt is also approximately equal to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222"/>
        <w:spacing w:after="0" w:line="288"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w:t>
      </w:r>
    </w:p>
    <w:p>
      <w:pPr>
        <w:ind w:right="160"/>
        <w:spacing w:after="0" w:line="25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8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September 30, 2008, the following amounts were due from the third party finance company in future periods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2010</w:t>
            </w:r>
          </w:p>
        </w:tc>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2008 and September 30, 2008, the Company had inventory obsolescence reserves of $530,000 and $591,000.</w:t>
      </w:r>
    </w:p>
    <w:p>
      <w:pPr>
        <w:spacing w:after="0" w:line="8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2008</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 in process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6,161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$ 16,789</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40"/>
              <w:spacing w:after="0"/>
              <w:rPr>
                <w:sz w:val="20"/>
                <w:szCs w:val="20"/>
                <w:color w:val="auto"/>
              </w:rPr>
            </w:pPr>
            <w:r>
              <w:rPr>
                <w:rFonts w:ascii="Arial" w:cs="Arial" w:eastAsia="Arial" w:hAnsi="Arial"/>
                <w:sz w:val="18"/>
                <w:szCs w:val="18"/>
                <w:color w:val="auto"/>
                <w:w w:val="92"/>
              </w:rPr>
              <w:t>Property and equipment were comprised of the following (in thousands):</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2008</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Buildings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4,803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Plant equipment</w:t>
            </w:r>
          </w:p>
        </w:tc>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4,543</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4"/>
                <w:szCs w:val="24"/>
                <w:color w:val="auto"/>
              </w:rPr>
            </w:pPr>
          </w:p>
        </w:tc>
        <w:tc>
          <w:tcPr>
            <w:tcW w:w="3500" w:type="dxa"/>
            <w:vAlign w:val="bottom"/>
          </w:tcPr>
          <w:p>
            <w:pPr>
              <w:jc w:val="right"/>
              <w:ind w:right="32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2008</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15,223</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property and equipment</w:t>
            </w:r>
          </w:p>
        </w:tc>
        <w:tc>
          <w:tcPr>
            <w:tcW w:w="1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11,539</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220"/>
              <w:spacing w:after="0"/>
              <w:rPr>
                <w:sz w:val="20"/>
                <w:szCs w:val="20"/>
                <w:color w:val="auto"/>
              </w:rPr>
            </w:pPr>
            <w:r>
              <w:rPr>
                <w:rFonts w:ascii="Arial" w:cs="Arial" w:eastAsia="Arial" w:hAnsi="Arial"/>
                <w:sz w:val="18"/>
                <w:szCs w:val="18"/>
                <w:color w:val="auto"/>
              </w:rPr>
              <w:t>Equipment included above under capital leases were as follows (in thousands):</w:t>
            </w: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2008</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capitalized $57,000 and $96,000 of interest for construction in progress for the three and six months ended September 30, 2008. There was no interest capitalized for the three and six months ended September 30,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April 2008, the Company entered into a new employment agreement with the Company’s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$298,000.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Other long-term assets include $62,000 and $44,000 of deferred financing costs as of March 31, 2008 and September 30, 2008 and $298,000 of a note receivable as of September 30, 2008. Upon the sales of the long-term investment noted above, we received a promissory note. The note provides for interest only payments at 7% for the first year and 15% for the second year and thereafter. The full principal amount of the note is due in June 2011. The note is secured by a personal guarantee from the CEO of the specialty aluminum products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500" w:firstLine="215"/>
        <w:spacing w:after="0" w:line="264" w:lineRule="auto"/>
        <w:rPr>
          <w:sz w:val="20"/>
          <w:szCs w:val="20"/>
          <w:color w:val="auto"/>
        </w:rPr>
      </w:pPr>
      <w:r>
        <w:rPr>
          <w:rFonts w:ascii="Arial" w:cs="Arial" w:eastAsia="Arial" w:hAnsi="Arial"/>
          <w:sz w:val="18"/>
          <w:szCs w:val="18"/>
          <w:color w:val="auto"/>
        </w:rPr>
        <w:t>Accrued expenses include warranty accruals, accrued wages, accrued vacations, sales tax payable and other various unpaid expenses. Accrued subcontractor fees amounted to $916,000 as of March 31, 2008 and accrued bonus costs amounted to $968,000 as of March 31, 2008. No accrued costs exceeded 5% of current liabilities as of September 30, 2008.</w:t>
      </w:r>
    </w:p>
    <w:p>
      <w:pPr>
        <w:spacing w:after="0" w:line="73"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 xml:space="preserve">The Company recognizes revenue in accordance with Staff Accounting Bulletin (SAB)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Based upon SAB 104, revenue is recognized when the following four criteria are met: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$82,000 and $602,000 as of March 31, 2008 and September 30, 2008.</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and FIN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 an Interpretation of FASB Statement No. 109. </w:t>
      </w:r>
      <w:r>
        <w:rPr>
          <w:rFonts w:ascii="Arial" w:cs="Arial" w:eastAsia="Arial" w:hAnsi="Arial"/>
          <w:sz w:val="18"/>
          <w:szCs w:val="18"/>
          <w:color w:val="auto"/>
        </w:rPr>
        <w:t>SFAS 109 requires recognition of deferred tax assets and liabilities for the future tax consequences of</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differences between financial reporting and income tax basis of assets and liabilities and are measured using the enacted tax rates and laws expected to be in effect when the temporary differences will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8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color w:val="auto"/>
              </w:rPr>
              <w:t>Six Months Ended</w:t>
            </w:r>
          </w:p>
        </w:tc>
      </w:tr>
      <w:tr>
        <w:trPr>
          <w:trHeight w:val="167"/>
        </w:trPr>
        <w:tc>
          <w:tcPr>
            <w:tcW w:w="101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w w:val="97"/>
              </w:rPr>
              <w:t>September 30, 2008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upon adoption on March 31, 2008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4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Unrecognized tax benefits as of September 30, 2008</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income tax provision for the six months ended September 30, 2008 was determined by applying an estimated annual effective tax rate of 43.98% to income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March 31, 2008</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State taxes, net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4.20%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Federal tax credit</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(1.50)%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net</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(0.30)%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38.10%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The current benefit of $1.4 million was recorded as a reduction in taxes payable and a credit to additional paid-in capital based on the amount that was utilized year to date. As of September 30, 2008, the Company has approximately $4.8 million of net operating losses that resulted from the exercise of non-qualified stock options in the current and prior years that have not been recognized as a reduction to current income taxes payable.</w:t>
      </w:r>
    </w:p>
    <w:p>
      <w:pPr>
        <w:spacing w:after="0" w:line="64"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As of July 30, 2008, all future stock option grants will be issued as non-qualified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fair value of each option grant for the three and six months ended September 30, 2007 and 2008 was determined using the assumptions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8"/>
              </w:rPr>
              <w:t>Three months ended September 30,</w:t>
            </w:r>
          </w:p>
        </w:tc>
        <w:tc>
          <w:tcPr>
            <w:tcW w:w="52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Six months ended September 30,</w:t>
            </w:r>
          </w:p>
        </w:tc>
      </w:tr>
      <w:tr>
        <w:trPr>
          <w:trHeight w:val="142"/>
        </w:trPr>
        <w:tc>
          <w:tcPr>
            <w:tcW w:w="5780" w:type="dxa"/>
            <w:vAlign w:val="bottom"/>
          </w:tcPr>
          <w:p>
            <w:pPr>
              <w:spacing w:after="0"/>
              <w:rPr>
                <w:sz w:val="12"/>
                <w:szCs w:val="12"/>
                <w:color w:val="auto"/>
              </w:rPr>
            </w:pPr>
          </w:p>
        </w:tc>
        <w:tc>
          <w:tcPr>
            <w:tcW w:w="10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15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0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2007</w:t>
            </w:r>
          </w:p>
        </w:tc>
        <w:tc>
          <w:tcPr>
            <w:tcW w:w="15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0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2.6 years</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 years</w:t>
            </w: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2.4 years</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 years</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4.57%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3.35%</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4.74%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3.24%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62"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 xml:space="preserve">Prior to the Company’s IPO on December 24, 2007, all series of the Company’s preferred stock participated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6"/>
          <w:szCs w:val="16"/>
          <w:i w:val="1"/>
          <w:iCs w:val="1"/>
          <w:color w:val="auto"/>
        </w:rPr>
        <w:t>Participating Securities and the Two-Class Method under FASB Statement No. 128</w:t>
      </w:r>
      <w:r>
        <w:rPr>
          <w:rFonts w:ascii="Arial" w:cs="Arial" w:eastAsia="Arial" w:hAnsi="Arial"/>
          <w:sz w:val="16"/>
          <w:szCs w:val="16"/>
          <w:color w:val="auto"/>
        </w:rPr>
        <w:t>.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 All preferred stock outstanding as of the IPO was automatically converted to common stock upon closing of the IPO.</w:t>
      </w:r>
    </w:p>
    <w:p>
      <w:pPr>
        <w:spacing w:after="0" w:line="58"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Diluted net income per common share reflects the dilution that would have occurred if preferred stock was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income per share of common stock for the three and six months ended September 30, 2007 and 2008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1,801</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7"/>
              </w:rPr>
              <w:t>Accretion of redeemable preferred stock and preferred stock dividends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net income per common share</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Adjustment for interest, net of income tax effect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Numerator for diluted net income per common share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11,283,160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26,959,790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10,711,695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26,998,857</w:t>
            </w: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effect of preferred stock, restricted stock, convertible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and assumed conversion of stock options and 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9,111,339</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2,059,201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9,070,513</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2,614,827</w:t>
            </w: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color w:val="auto"/>
              </w:rPr>
              <w:t>Weighted-average common shares and common share equivalents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20,394,499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29,018,991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19,782,208</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29,613,684</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 Company’s cash is deposited with one major financial institution. At times, deposits in this institution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62.5% and 14.9% of total cost of revenue for the three months ended September 30, 2007 and 2008 and 45.8% and 22.1% of total cost of revenue for six months ended September 30, 2007 and 2008.</w:t>
      </w:r>
    </w:p>
    <w:p>
      <w:pPr>
        <w:spacing w:after="0" w:line="8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For the three and six months ended September 30, 2007, one customer accounted for 19% and 20% of revenue. For the three and six months ended September 30, 2008, no customers accounted for more than 10% of revenue.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One customer accounted for 19% of accounts receivable as of March 31, 2008. As of September 30, 2008, no customer accounted for more than 10% of the accounts receivable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 xml:space="preserve">The Company has determined that it operates in only one segment in accordance with SFAS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does not disaggregate profit and loss information on a segment basis for internal management reporting purposes to its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maker.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In February 2008, the FASB issued FASB Staff Position No. 157-2 (“FSP 157-2”), which delayed the effective date by which companies must adopt the provisions of SFAS 157. FSP 157-2 defers the effective date of SFAS 157 to fiscal years beginning after November 15, 2008, and interim periods within those fiscal years. The adoption of this standard is not anticipated to have a material impact on our financial position, results of operations, or cash flows.</w:t>
      </w:r>
    </w:p>
    <w:p>
      <w:pPr>
        <w:spacing w:after="0" w:line="39"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SFAS No. 159 permits entities to choose to measure at fair value some financial instruments and certain other items that are not currently required to be measured at fair value. Subsequent changes in fair value for designated items will be required to be reported in earnings in the current period. SFAS 159 also establishes presentation and disclosure requirements for similar type of assets and liabilities measured at fair value. SFAS 159 is effective for years beginning after November 15, 2007. The Company did not elect to measure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of our financial assets or liabilities using the fair value option of SFAS 159. The Company will assess at each measurement date whether to use the fair value option on any future financial assets or liabilities as permitted pursuant to the provisions of SFAS 159.</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principles and requirements for how the acquirer of a business recognizes and measures in its financial statements the identifiable assets acquired, the liabilities assumed, and any noncontrolling interest in the acquiree. SFAS 141R also provides guidance for recognizing and measuring goodwill acquired in the business combination and determines what information to disclose to enable users of the financial statements to evaluate the nature and financial effects of the business combination. SFAS 141R is effective for fiscal years beginning after December 15, 2008. Early adoption is not permitted. The Company is currently evaluating the effect of the adoption of SFAS 141R, but does not presently anticipate that it will have a material impact on its consolidated financial statements.</w:t>
      </w:r>
    </w:p>
    <w:p>
      <w:pPr>
        <w:spacing w:after="0" w:line="5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Noncontrolling Interests in Consolidated Financial Statements – An Amendment to ARB No. 51</w:t>
      </w:r>
      <w:r>
        <w:rPr>
          <w:rFonts w:ascii="Arial" w:cs="Arial" w:eastAsia="Arial" w:hAnsi="Arial"/>
          <w:sz w:val="17"/>
          <w:szCs w:val="17"/>
          <w:color w:val="auto"/>
        </w:rPr>
        <w:t xml:space="preserve"> (“SFAS 160”). The objective of this statement is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160 requires reclassifying noncontrolling interests, also referred to as minority interest, to the equity section of the consolidated balance sheet presented upon adoption. This pronouncement is effective for fiscal years beginning after December 15, 2008. The Company has determined that there would be no current impact of adopting SFAS 160.</w:t>
      </w:r>
    </w:p>
    <w:p>
      <w:pPr>
        <w:spacing w:after="0" w:line="70"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requires companies to provide qualitative disclosures about the objectives and strategies for using derivatives,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data about the fair value of and gains and losses on derivative contracts, and details of credit-risk-related contingent features in their hedged positions. The statement also requires companies to disclose more information about the location and amounts of derivative instruments in financial statements; how derivatives and related hedges are accounted for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133); and how the hedges affect the entity’s financial position, financial performance and cash flows. SFAS 161 is effective for years beginning after November 15, 2008. The Company is in the process of evaluating what effect, if any, adoption of SFAS 161 may have on the consolidated financial statements.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Useful Life of Intangible Assets</w:t>
      </w:r>
      <w:r>
        <w:rPr>
          <w:rFonts w:ascii="Arial" w:cs="Arial" w:eastAsia="Arial" w:hAnsi="Arial"/>
          <w:sz w:val="18"/>
          <w:szCs w:val="18"/>
          <w:color w:val="auto"/>
        </w:rPr>
        <w:t xml:space="preserve"> (“FSP FAS</w:t>
      </w:r>
    </w:p>
    <w:p>
      <w:pPr>
        <w:spacing w:after="0" w:line="23"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142-3”), which amends the factors that should be considered in developing the renewal or extension assumptions used to determine the useful life of a recognized intangible asset under SFAS 142, “Goodwill and Other Intangible Assets.” FSP FAS 142-3 also requires expanded disclosure related to the determination of intangible asset useful lives. FSP FAS 142-3 is effective for fiscal years beginning after December 15, 2008. The Company is currently evaluating the potential impact, if any, of the adoption of FSP FAS 142-3 on its financial position and results of operations.</w:t>
      </w:r>
    </w:p>
    <w:p>
      <w:pPr>
        <w:spacing w:after="0" w:line="6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defines the order in which accounting principles that are generally accepted should be followed. SFAS No. 162 is effective 60 days following the SEC’s approval of the Public Company Accounting Oversight Board (“PCAOB”) amendments to AU Section 411, </w:t>
      </w:r>
      <w:r>
        <w:rPr>
          <w:rFonts w:ascii="Arial" w:cs="Arial" w:eastAsia="Arial" w:hAnsi="Arial"/>
          <w:sz w:val="16"/>
          <w:szCs w:val="16"/>
          <w:i w:val="1"/>
          <w:iCs w:val="1"/>
          <w:color w:val="auto"/>
        </w:rPr>
        <w:t>The Meaning of Presented Fairly in Conformity with Generally Accepted</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Principles</w:t>
      </w:r>
      <w:r>
        <w:rPr>
          <w:rFonts w:ascii="Arial" w:cs="Arial" w:eastAsia="Arial" w:hAnsi="Arial"/>
          <w:sz w:val="16"/>
          <w:szCs w:val="16"/>
          <w:color w:val="auto"/>
        </w:rPr>
        <w:t>. The Company does not expect the adoption of SFAS No. 162 to have a material impact on the consolidated financial statements.</w:t>
      </w:r>
    </w:p>
    <w:p>
      <w:pPr>
        <w:spacing w:after="0" w:line="46"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In September 2008, the FASB issued Staff Position No. 133-1 </w:t>
      </w:r>
      <w:r>
        <w:rPr>
          <w:rFonts w:ascii="Arial" w:cs="Arial" w:eastAsia="Arial" w:hAnsi="Arial"/>
          <w:sz w:val="18"/>
          <w:szCs w:val="18"/>
          <w:i w:val="1"/>
          <w:iCs w:val="1"/>
          <w:color w:val="auto"/>
        </w:rPr>
        <w:t>Disclosures about Credit Derivatives and Certain Guarantees: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133. </w:t>
      </w:r>
      <w:r>
        <w:rPr>
          <w:rFonts w:ascii="Arial" w:cs="Arial" w:eastAsia="Arial" w:hAnsi="Arial"/>
          <w:sz w:val="18"/>
          <w:szCs w:val="18"/>
          <w:color w:val="auto"/>
        </w:rPr>
        <w:t>This FSP is intended to improve disclosures about credit derivatives by requiring more information about the potential adverse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credit risk on the financial position, financial performance, and cash flows of the sellers of credit derivatives. It amends FAS 133,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to require disclosures by sellers of credit derivatives, including credit derivatives embedded in hybrid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provisions of the FSP that amend FAS 133 are effective for reporting periods (annual or interim) ending after November 15, 2008. Because the FSP amends only the disclosure requirements for credit derivatives and certain guarantees, the adoption of the FSP will not affect our consolidated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For the three and six months ended September 30, 2007, the Company forgave $28,000 and $37,000 of shareholder advances as part of a contractual employment relationship.</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incurred fees of $24,000 for the six months ended September 30, 2007 paid to a shareholder as consideration for guaranteeing notes payable and certain accounts payable. These guarantees were released in fiscal 2008.</w:t>
      </w:r>
    </w:p>
    <w:p>
      <w:pPr>
        <w:spacing w:after="0" w:line="62"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incurred fees of $42,000 and $12,000 for the six months ended September 30, 2007 and 2008 respectively, which were for intellectual property fees paid to an executive pursuant to an employment agreement. In April 2008, the intellectual property rights were purchased from the executive for a cash payment of $950,000.</w:t>
      </w:r>
    </w:p>
    <w:p>
      <w:pPr>
        <w:spacing w:after="0" w:line="7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 leases, on a month-to-month basis, an aircraft owned by an entity controlled by a former director. Amounts paid for the six months ended September 30, 2007 and 2008 were $16,000 and $20,000.</w:t>
      </w:r>
    </w:p>
    <w:p>
      <w:pPr>
        <w:spacing w:after="0" w:line="62"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During the six months ended September 30, 2007 and 2008, the Company recorded revenue of $46,000 and $8,000 for products and services sold to an entity for which the Company’s Chairman of the Board was the executive chairman. During the six months ended September 30, 2007 and 2008, the Company purchased goods and services from the same entity in the amounts of $0 and $114,000.</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six months ended September 30, 2007 and 2008, the Company recorded revenue of $0 and $1,000 for products and services sold to an entity for which a member of the board of directors serves as an executive vice president.</w:t>
      </w:r>
    </w:p>
    <w:p>
      <w:pPr>
        <w:spacing w:after="0" w:line="62"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During the six months ended September 30, 2007 and 2008, the Company recorded revenue of $67,000 and $52,000 for products and services sold to an entity for which a member of the board of directors serves as the chief executive officer. During the six months ended September 30, 2007 and 2008, the Company purchased goods and services from the same entity in the amounts of $106,000 and $42,000.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2008 and September 30, 2008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As of September 30, 2008, the Company had not drawn any funds on the Line of Credit. Borrowings allowed under the Line of Credit as of September 30, 2008 were $18.6 million based upon available working capital, as defined.</w:t>
      </w:r>
    </w:p>
    <w:p>
      <w:pPr>
        <w:spacing w:after="0" w:line="59"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must pay a fee of 0.20% on the average daily unused amount of the Line of Credit, fees upon the issuance of each letter of credit equal to 1.25% per annum of the principal amount thereof, and a fee equal to 1.0% of the principal amount of the Line of Credit then in effect if the Company terminates the Line of Credit prior to December 23, 2008.</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Credit Agreement provides that the Company has the option to select the interest rate applicable to all or a portion of the outstanding principal balance of the Line of Credit either (i) at a fluctuating rate per annum one percent (1.00%) below the prime 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effect from time to time, or (ii) at a fixed rate per annum determined by Wells Fargo to be one and one quarter percent (1.25%) above LIBOR. Interest is payable on the last day of each month.</w:t>
      </w:r>
    </w:p>
    <w:p>
      <w:pPr>
        <w:spacing w:after="0" w:line="62"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As of September 30, 2008 the Company was in compliance with all covenant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September 30, 2008, the Company had US Federal net operating loss carryforwards of approximately $4.8 million that are associated with the exercise of non-qualified stock options that have not yet been recognized by the Company in its financial statements. The Company also has US state net operating loss carryforwards of approximately $3.1 million, of which $2.1 million are associated with the exercise of non-qualified stock options. The Company also has federal and state tax credit carryforwards of approximately $296,000 and $472,000 as of March 31, 2008. Both the net operating losses and tax credit carryforwards expire between 2016 and 2027.</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fiscal 2007 and prior to its IPO, the Company’s past issuances and transfers of stock caused an ownership change. When certain ownership changes occur, tax laws require that a calculation be made to establish a limitation on the use of net operating loss carryforwards created in periods prior to such ownership change. For the fiscal year ended March 31, 2008, utilization of the federal loss carryforwards was limited to $3.0 million. For the fiscal year 2009, there is only $1.8 million of net operating loss carryforward remaining from periods prior to the ownership change, however, if there were more net operating loss available from those time periods, the Company believes that utilization of the federal loss carryforwards would again be limited to $3.0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$199,000 and $318,000 for the three months ended September 30, 2007 and 2008; and $443,000 and $581,000 for the six months ended September 30, 2007 and 2008. Total annual commitments under non-cancelable operating leases as of September 30, 2008 were $1.1 million. In addition, the Company enters into non-cancellable purchase commitments for certain inventory items in order to secure better pricing and ensure materials on hand, as well as for capital expenditures. As of September 30, 2008, the Company had entered into $5.2 million of purchase commitments related to fiscal 2009, including $4.6 million related to the remaining capital committed for construction of its technology center and manufacturing and system improvements and $0.6 million for inventory purchases.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the Company, several of its officers, all members of the board of directors, and certain underwriters relating to the Company’s December 2007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7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defendants filed a brief in support of the Company’s motion to dismiss the consolidated complaint. Response and reply briefs are currently scheduled to be filed by the end of December 2008.</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effect on the Company’s consolidated financial position and results of operations. In addition, although the Company carries insurance for these types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claims, a judgment significantly in excess of the Company’s insurance coverage could materially and adversely affect the Company’s financial condition, results of operations and cash flows. The Company is not presently able to reasonably estimate potential losses, if any, related to the lawsuit.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In July 2008, the Company’s board of directors approved a share repurchase program authorizing the Company to repurchase in the aggregate up to a maximum of $20 million of the Company’s outstanding common stock. As of September 30, 2008, the Company had repurchased 1,440,941 shares of common stock at a cost of $8.1 million under the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(the Plans). Under the terms of the Plans, the Company has reserved 9,000,000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ten years. In the past, the Company has granted both incentive stock options and non-qualified stock options. Restricted stock awards have no vesting period and have been issued to certain non-employee directors pursuant to elections made under the non-employee director compensation plan, which became effective upon the closing of the Company’s IPO. The Plans also provide to certain employees accelerated vesting in the event of certain changes of control of the Company. In December 2007, upon the closing of our IPO, an additional 1,500,000 option shares were made available for grant under our 2004 Stock and Incentive Awards Plan.</w:t>
      </w:r>
    </w:p>
    <w:p>
      <w:pPr>
        <w:spacing w:after="0" w:line="5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Prior to the Company’s IPO, certain non-employee directors elected to receive stock awards in lieu of cash compensation under the non-employee director compensation plan which became effective upon the closing of the Company’s IPO. The Company granted 3,738 shares from the 2004 Stock Incentive Awards Plan to non-employee directors as compensation for the three months ended September 30, 2008. The shares were issued in August 2008 and valued at the market price as of the grant date of $5.35 per share.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accordance with the adoption of SFAS 123(R), the following amounts of stock-based compensation were recorded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14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38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As of September 30, 2008, compensation cost related to non-vested common stock-based compensation amounted to $5.5 million over a remaining weighted average expected term of 6.6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Options Outstanding</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40" w:type="dxa"/>
            <w:vAlign w:val="bottom"/>
          </w:tcPr>
          <w:p>
            <w:pPr>
              <w:spacing w:after="0"/>
              <w:rPr>
                <w:sz w:val="12"/>
                <w:szCs w:val="12"/>
                <w:color w:val="auto"/>
              </w:rPr>
            </w:pPr>
          </w:p>
        </w:tc>
        <w:tc>
          <w:tcPr>
            <w:tcW w:w="1060" w:type="dxa"/>
            <w:vAlign w:val="bottom"/>
            <w:gridSpan w:val="2"/>
          </w:tcPr>
          <w:p>
            <w:pPr>
              <w:jc w:val="right"/>
              <w:ind w:right="176"/>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460" w:type="dxa"/>
            <w:vAlign w:val="bottom"/>
          </w:tcPr>
          <w:p>
            <w:pPr>
              <w:spacing w:after="0"/>
              <w:rPr>
                <w:sz w:val="14"/>
                <w:szCs w:val="14"/>
                <w:color w:val="auto"/>
              </w:rPr>
            </w:pPr>
          </w:p>
        </w:tc>
        <w:tc>
          <w:tcPr>
            <w:tcW w:w="1040" w:type="dxa"/>
            <w:vAlign w:val="bottom"/>
          </w:tcPr>
          <w:p>
            <w:pPr>
              <w:jc w:val="right"/>
              <w:ind w:right="162"/>
              <w:spacing w:after="0"/>
              <w:rPr>
                <w:sz w:val="20"/>
                <w:szCs w:val="20"/>
                <w:color w:val="auto"/>
              </w:rPr>
            </w:pPr>
            <w:r>
              <w:rPr>
                <w:rFonts w:ascii="Arial" w:cs="Arial" w:eastAsia="Arial" w:hAnsi="Arial"/>
                <w:sz w:val="14"/>
                <w:szCs w:val="14"/>
                <w:b w:val="1"/>
                <w:bCs w:val="1"/>
                <w:color w:val="auto"/>
              </w:rPr>
              <w:t>of Shares</w:t>
            </w: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4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1,482</w:t>
            </w:r>
          </w:p>
        </w:tc>
        <w:tc>
          <w:tcPr>
            <w:tcW w:w="4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4,716</w:t>
            </w:r>
          </w:p>
        </w:tc>
        <w:tc>
          <w:tcPr>
            <w:tcW w:w="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97"/>
              <w:spacing w:after="0"/>
              <w:rPr>
                <w:sz w:val="20"/>
                <w:szCs w:val="20"/>
                <w:color w:val="auto"/>
              </w:rPr>
            </w:pPr>
            <w:r>
              <w:rPr>
                <w:rFonts w:ascii="Arial" w:cs="Arial" w:eastAsia="Arial" w:hAnsi="Arial"/>
                <w:sz w:val="18"/>
                <w:szCs w:val="18"/>
                <w:color w:val="auto"/>
              </w:rPr>
              <w:t>(580)</w:t>
            </w:r>
          </w:p>
        </w:tc>
        <w:tc>
          <w:tcPr>
            <w:tcW w:w="1500" w:type="dxa"/>
            <w:vAlign w:val="bottom"/>
            <w:gridSpan w:val="2"/>
          </w:tcPr>
          <w:p>
            <w:pPr>
              <w:jc w:val="right"/>
              <w:ind w:right="242"/>
              <w:spacing w:after="0"/>
              <w:rPr>
                <w:sz w:val="20"/>
                <w:szCs w:val="20"/>
                <w:color w:val="auto"/>
              </w:rPr>
            </w:pPr>
            <w:r>
              <w:rPr>
                <w:rFonts w:ascii="Arial" w:cs="Arial" w:eastAsia="Arial" w:hAnsi="Arial"/>
                <w:sz w:val="18"/>
                <w:szCs w:val="18"/>
                <w:color w:val="auto"/>
              </w:rPr>
              <w:t>580</w:t>
            </w:r>
          </w:p>
        </w:tc>
        <w:tc>
          <w:tcPr>
            <w:tcW w:w="1400" w:type="dxa"/>
            <w:vAlign w:val="bottom"/>
            <w:gridSpan w:val="2"/>
          </w:tcPr>
          <w:p>
            <w:pPr>
              <w:jc w:val="right"/>
              <w:ind w:right="244"/>
              <w:spacing w:after="0"/>
              <w:rPr>
                <w:sz w:val="20"/>
                <w:szCs w:val="20"/>
                <w:color w:val="auto"/>
              </w:rPr>
            </w:pPr>
            <w:r>
              <w:rPr>
                <w:rFonts w:ascii="Arial" w:cs="Arial" w:eastAsia="Arial" w:hAnsi="Arial"/>
                <w:sz w:val="18"/>
                <w:szCs w:val="18"/>
                <w:color w:val="auto"/>
              </w:rPr>
              <w:t>8.37</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221</w:t>
            </w:r>
          </w:p>
        </w:tc>
        <w:tc>
          <w:tcPr>
            <w:tcW w:w="15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(221)</w:t>
            </w:r>
          </w:p>
        </w:tc>
        <w:tc>
          <w:tcPr>
            <w:tcW w:w="140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2"/>
              <w:spacing w:after="0"/>
              <w:rPr>
                <w:sz w:val="20"/>
                <w:szCs w:val="20"/>
                <w:color w:val="auto"/>
              </w:rPr>
            </w:pPr>
            <w:r>
              <w:rPr>
                <w:rFonts w:ascii="Arial" w:cs="Arial" w:eastAsia="Arial" w:hAnsi="Arial"/>
                <w:sz w:val="18"/>
                <w:szCs w:val="18"/>
                <w:color w:val="auto"/>
              </w:rPr>
              <w:t>(781)</w:t>
            </w:r>
          </w:p>
        </w:tc>
        <w:tc>
          <w:tcPr>
            <w:tcW w:w="1400" w:type="dxa"/>
            <w:vAlign w:val="bottom"/>
            <w:gridSpan w:val="2"/>
          </w:tcPr>
          <w:p>
            <w:pPr>
              <w:jc w:val="right"/>
              <w:ind w:right="244"/>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1,123</w:t>
            </w:r>
          </w:p>
        </w:tc>
        <w:tc>
          <w:tcPr>
            <w:tcW w:w="150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4,295</w:t>
            </w:r>
          </w:p>
        </w:tc>
        <w:tc>
          <w:tcPr>
            <w:tcW w:w="140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3.09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7"/>
              </w:rPr>
              <w:t>13,049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Exercisable at September 30, 2008</w:t>
            </w:r>
          </w:p>
        </w:tc>
        <w:tc>
          <w:tcPr>
            <w:tcW w:w="1080" w:type="dxa"/>
            <w:vAlign w:val="bottom"/>
          </w:tcPr>
          <w:p>
            <w:pPr>
              <w:spacing w:after="0"/>
              <w:rPr>
                <w:sz w:val="20"/>
                <w:szCs w:val="20"/>
                <w:color w:val="auto"/>
              </w:rPr>
            </w:pPr>
          </w:p>
        </w:tc>
        <w:tc>
          <w:tcPr>
            <w:tcW w:w="1500" w:type="dxa"/>
            <w:vAlign w:val="bottom"/>
            <w:gridSpan w:val="2"/>
          </w:tcPr>
          <w:p>
            <w:pPr>
              <w:jc w:val="right"/>
              <w:ind w:right="242"/>
              <w:spacing w:after="0"/>
              <w:rPr>
                <w:sz w:val="20"/>
                <w:szCs w:val="20"/>
                <w:color w:val="auto"/>
              </w:rPr>
            </w:pPr>
            <w:r>
              <w:rPr>
                <w:rFonts w:ascii="Arial" w:cs="Arial" w:eastAsia="Arial" w:hAnsi="Arial"/>
                <w:sz w:val="18"/>
                <w:szCs w:val="18"/>
                <w:color w:val="auto"/>
              </w:rPr>
              <w:t>2,010</w:t>
            </w:r>
          </w:p>
        </w:tc>
        <w:tc>
          <w:tcPr>
            <w:tcW w:w="1400" w:type="dxa"/>
            <w:vAlign w:val="bottom"/>
            <w:gridSpan w:val="2"/>
          </w:tcPr>
          <w:p>
            <w:pPr>
              <w:jc w:val="right"/>
              <w:ind w:right="244"/>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$5.61 as of September 30, 2008.</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status of the Company’s outstanding non-vested stock options as of September 30, 2008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r>
      <w:tr>
        <w:trPr>
          <w:trHeight w:val="216"/>
        </w:trPr>
        <w:tc>
          <w:tcPr>
            <w:tcW w:w="20" w:type="dxa"/>
            <w:vAlign w:val="bottom"/>
          </w:tcPr>
          <w:p>
            <w:pPr>
              <w:spacing w:after="0"/>
              <w:rPr>
                <w:sz w:val="18"/>
                <w:szCs w:val="18"/>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r>
      <w:tr>
        <w:trPr>
          <w:trHeight w:val="223"/>
        </w:trPr>
        <w:tc>
          <w:tcPr>
            <w:tcW w:w="20" w:type="dxa"/>
            <w:vAlign w:val="bottom"/>
          </w:tcPr>
          <w:p>
            <w:pPr>
              <w:spacing w:after="0"/>
              <w:rPr>
                <w:sz w:val="19"/>
                <w:szCs w:val="19"/>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Prior to the Company’s IPO, the Company issued warrants in connection with various stock offerings and services rendered. The warrants granted the holder the option to purchase common stock at specified prices for a specified period of time. No warrants were issued in fiscal 2008 or for the six months ended September 30, 2008.</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1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578,788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Issued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(71,580)</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7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507,208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 summary of outstanding warrants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24"/>
                <w:szCs w:val="2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Pr>
          <w:p>
            <w:pPr>
              <w:spacing w:after="0"/>
              <w:rPr>
                <w:sz w:val="24"/>
                <w:szCs w:val="24"/>
                <w:color w:val="auto"/>
              </w:rPr>
            </w:pPr>
          </w:p>
        </w:tc>
        <w:tc>
          <w:tcPr>
            <w:tcW w:w="8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146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$2.25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3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Fiscal 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$2.30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430,968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380" w:type="dxa"/>
            <w:vAlign w:val="bottom"/>
            <w:tcBorders>
              <w:lef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507,208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Factors” in our 2008 Annual Report filed on Form 10-K for the year ended March 31, 2008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sold and installed more than 1,310,000 of our HIF lighting systems in over 4,000 facilities from December 1, 2001 through September 30, 2008. We have sold our products to 108 Fortune 500 companies, many of which have installed our HIF lighting systems in multiple facilities. Our top customers by revenue in fiscal 2008 included Coca-Cola Enterprises Inc., Kraft Foods Inc., Sherwin Williams Co., Kroger Co., SYSCO Corp. and Anheuser-Busch Companies, Inc.</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2008 , “fiscal 2008”. We call our current fiscal year, which will end on March 31, 2009, “fiscal 2009.” Our fiscal first quarter ends on June 30, our fiscal second quarter ends on September 30, our fiscal third quarter ends on December 31 and our fiscal fourth quarter ends on March 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historically have been completed prior to product shipment and revenue from such services was included in product revenue because evidence of fair value for these services did not exist. We are continuing to increase our selling efforts through our contractor and value-added reseller channels with increased marketing through mass mailings, participating in national trade organizations and providing training to channel partners on our sales methodologies. These wholesale channels accounted for approximately 25% of our total revenue volume in fiscal 2008 and 47% of our total revenue for the first half of fiscal 2009. The increase in wholesale revenue is due to our marketing and training efforts within this channel, and we expect that revenue from these channels will exceed 30% of our total revenue in fiscal 2009.</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October 2008, we introduced to the market a new financing program for our customer’s purchase of our energy management systems called the Orion Virtual Power Plant (OVPP). The OVPP is structured as a supply contract in which we commit to deliver a defined amount of energy savings at a fixed rate over the life of the contract, typically 60 months. We collect payments from our customer on a monthly basis across the delivery period. This program creates a revenue stream, but may lessen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former financing program, in which case the revenue would be recognized at the net present value of the total future payments from the finance company upon completion of the project. The OVPP program was established to assist customers who are interested in purchasing our energy management systems but who have capital expenditure budget limitations. In the future, we expect an increase in the volume of sales that utilize the OVPP financing program.</w:t>
      </w:r>
    </w:p>
    <w:p>
      <w:pPr>
        <w:spacing w:after="0" w:line="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53% and 38% of our total revenue for the first six months of fiscal 2008 and fiscal 2009, respectively. One customer accounted for approximately 20% of our total revenue for the first six months of fiscal 2008.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including the OVPP; (ii) the number and timing of large retrofit and multi-facility retrofit, or “roll-out,” projects; (iii) the level of our wholesale sales; (iv) our ability to realize revenue from our services and our sales-type financing programs, including whether we decide to either retain or resell the expected future cash flows under our OVPP program and the relative timing of the resultant 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Such orders must be evidenced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signed proposal acceptance or purchase order from the customer. Our backlog does not include national contracts that have been negotiated, but for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not yet received a purchase order for the specific location. As of September 30, 2008, we had a backlog of firm purchase orders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We generally expect this level of firm purchase order backlog to be converted into revenue within the following quarter. Principally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continued lengthening of our customer’s purchasing decisions, the continued shortening of our installation cycles and the increasing number of projects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through national contracts, a comparison of backlog from period to period is not necessarily meaningful and may not be indicative of actual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in future periods.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 aluminum; (ii)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22.1% of our total cost of revenue for the first six months of fiscal 2009 and were 28% of total cost of revenue for fiscal 2008. Our production labor force is non-union and, as a result, our production labor costs have been relatively stable. We have been expanding our network of qualified third-party installers to realize efficiencies in the installation process. Toward the end of fiscal 2008, we began to internalize some of our processes performed at outside suppliers to help us better manage delivery lead time, control process quality and inventory supply. We installed a coating line and acquired production fabrication equipment. Each of these production items provide us with additional capacity to continue to support our potential future revenue growth. We expect that these processes will help to reduce overall unit costs as the equipment becomes fully utilized.</w:t>
      </w:r>
    </w:p>
    <w:p>
      <w:pPr>
        <w:spacing w:after="0" w:line="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(iv) our project pricing; (v) our level of warranty claims; (vi) our level of utilization of our manufacturing facilities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and we expect these costs to stabilize over the remaining half of fiscal 2009. We may choose to selectively add to our sales staff based upon opportunities in regional markets.</w:t>
      </w:r>
    </w:p>
    <w:p>
      <w:pPr>
        <w:spacing w:after="0" w:line="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3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been incurring increased general and administrative expenses in connection with our being a public company, including increased accounting, audit, investor relations, legal and support services and Sarbanes-Oxley compliance fees and expenses. Additionally, we anticipate operating expenses to increase at the end of fiscal 2009 based upon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We recognize compensation expense for the fair value of our stock option awards granted over their related vesting period using the modified prospective method of adoption under the provisions of the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We recognized $1.4 million of stock-based compensation expense in fiscal 2008 and $0.8 million in the first six months of fiscal 2009. As a result of prior option grants, including option grants in fiscal 2008, we expect to recognize an additional $5.5 million of stock-based compensation over a weighted average period of approximately</w:t>
      </w:r>
    </w:p>
    <w:p>
      <w:pPr>
        <w:spacing w:after="0" w:line="2"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6.6 years, including $0.7 million in the last six months of fiscal 2009.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our revolving credit facility and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obligations described under “— Liquidity and Capital Resources — Indebtedness” below, including the amortization of previously incurred financing costs. We amortize deferred financing costs to interest expense over the life of the related debt instrument, ranging from six to 15 years. We have incurred no interest expense under our revolving credit agreement since December 2007.</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income consists of dividends paid on preferred shares that we acquired in July 2006. The terms of these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provided for annual dividend payments to us of $0.1 million. The preferred shares were sold back to the issuer in June 2008 and all dividends accrued were paid upon sale. We also report interest income earned on our cash and cash equivalents. We expect our interest income to increase in fiscal 2009 as a result of our investment of the net proceeds from our initial public offering in short-term, interest-bearing, investment-grade securities until final application of such net proceeds.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September 30, 2008, we had net operating loss carryforwards of approximately $4.8 million for federal tax purposes and $3.1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state tax purposes. Included in these loss carryforwards were $4.8 million for federal and $2.1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of approximately $0.3 million and $0.5 million, respectively, as of March 31, 2008. These federal and state net operating losses and credit carryforwards are available, subject to the discussion in the following paragraph, to offset future taxable income and, if not utilized, will begin to expire in varying amounts between 2016 and 2027. Our income before income tax in fiscal 2008 was $7.2 million. If we maintain this level of income before income tax in future fiscal years, we would expect to utilize our federal net operating loss carryforwards in fiscal 2009. State net operating loss carryforwards would be utilized over approximately five fiscal years or a shorter period if our income before income taxes increases further.</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the IPO, past issuances and transfers of our stock caused an ownership change. When certain ownership changes occur, tax laws require that a calculation be made to establish a limitation on the use of net operating loss carryforwards created in periods prior to such ownership change. For the fiscal year ended March 31, 2008, utilization of the federal loss carryforwards was limited to $3.0 million. For the fiscal year 2009, there is only $1.8 million of net operating loss carryforward remaining from periods prior to the ownership change, however, if there were more net operating loss available from those time periods, we believe that utilization of the federal loss carryforwards would again be limited to $3.0 million.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28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8"/>
              </w:rPr>
              <w:t>Three Months ended September 30,</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26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Six Months ended September 30,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vMerge w:val="restart"/>
          </w:tcPr>
          <w:p>
            <w:pPr>
              <w:spacing w:after="0"/>
              <w:rPr>
                <w:sz w:val="10"/>
                <w:szCs w:val="10"/>
                <w:color w:val="auto"/>
              </w:rPr>
            </w:pPr>
          </w:p>
        </w:tc>
        <w:tc>
          <w:tcPr>
            <w:tcW w:w="8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vMerge w:val="restart"/>
          </w:tcPr>
          <w:p>
            <w:pPr>
              <w:spacing w:after="0"/>
              <w:rPr>
                <w:sz w:val="10"/>
                <w:szCs w:val="10"/>
                <w:color w:val="auto"/>
              </w:rPr>
            </w:pPr>
          </w:p>
        </w:tc>
        <w:tc>
          <w:tcPr>
            <w:tcW w:w="9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 of</w:t>
            </w:r>
          </w:p>
        </w:tc>
        <w:tc>
          <w:tcPr>
            <w:tcW w:w="9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3"/>
            <w:vMerge w:val="continue"/>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Revenue</w:t>
            </w:r>
          </w:p>
        </w:tc>
        <w:tc>
          <w:tcPr>
            <w:tcW w:w="940" w:type="dxa"/>
            <w:vAlign w:val="bottom"/>
            <w:gridSpan w:val="3"/>
            <w:vMerge w:val="continue"/>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14,247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17,280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28,752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30,169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4,158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1,480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6,374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4,697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18,405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18,760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35,126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34,866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9,375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11,467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18,821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20,080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12,084</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12,425</w:t>
            </w:r>
          </w:p>
        </w:tc>
        <w:tc>
          <w:tcPr>
            <w:tcW w:w="300" w:type="dxa"/>
            <w:vAlign w:val="bottom"/>
            <w:vMerge w:val="continue"/>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66.2%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23,202</w:t>
            </w:r>
          </w:p>
        </w:tc>
        <w:tc>
          <w:tcPr>
            <w:tcW w:w="340" w:type="dxa"/>
            <w:vAlign w:val="bottom"/>
            <w:vMerge w:val="continue"/>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23,334</w:t>
            </w:r>
          </w:p>
        </w:tc>
        <w:tc>
          <w:tcPr>
            <w:tcW w:w="34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24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11,924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11,532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1,907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2,893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3,478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5,508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880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624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and interest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09"/>
        </w:trPr>
        <w:tc>
          <w:tcPr>
            <w:tcW w:w="2020" w:type="dxa"/>
            <w:vAlign w:val="bottom"/>
            <w:gridSpan w:val="2"/>
          </w:tcPr>
          <w:p>
            <w:pPr>
              <w:spacing w:after="0"/>
              <w:rPr>
                <w:sz w:val="20"/>
                <w:szCs w:val="20"/>
                <w:color w:val="auto"/>
              </w:rPr>
            </w:pPr>
            <w:r>
              <w:rPr>
                <w:rFonts w:ascii="Arial" w:cs="Arial" w:eastAsia="Arial" w:hAnsi="Arial"/>
                <w:sz w:val="18"/>
                <w:szCs w:val="18"/>
                <w:color w:val="auto"/>
              </w:rPr>
              <w:t>Income before income</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1,858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807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3,087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1,053</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vMerge w:val="continue"/>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1,801</w:t>
            </w:r>
          </w:p>
        </w:tc>
        <w:tc>
          <w:tcPr>
            <w:tcW w:w="340" w:type="dxa"/>
            <w:vAlign w:val="bottom"/>
            <w:vMerge w:val="continue"/>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487</w:t>
            </w:r>
          </w:p>
        </w:tc>
        <w:tc>
          <w:tcPr>
            <w:tcW w:w="34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4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redeemable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and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Participation rights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preferred stock in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undistributed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common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from $14.2 million for the second quarter ended September 30, 2007 to $17.3 million for the second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2008, an increase of $3.0 million, or 21%. Product revenue increased from $28.8 million for the first half ended September 30, 2007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$30.2 million for the first half ended September 30, 2008, an increase of $1.4 million, or 5%. The increase in product revenue was a result of increased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HIF lighting systems through our wholesale channel. Service revenue decreased from $4.2 million for the second quarter ended September 30, 2007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for the second quarter ended September 30, 2008, a decrease of $2.7 million, or 64%. Service revenue decreased from $6.4 million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half ended September 30, 2007 to $4.7 million for the first half ended September 30, 2008, a decrease of $1.7 million, or 26%. The decrease in service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was a result of the increased revenues to our wholesale channels where services are not provided. Additionally, our first half fiscal 2009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impacted by a lengthening sales cycle in the marketplace. We attribute this to general conservatism in the marketplace concerning capital spending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purchase decisions due to adverse economic and credit market conditions.</w:t>
      </w:r>
    </w:p>
    <w:p>
      <w:pPr>
        <w:spacing w:after="0" w:line="103" w:lineRule="exact"/>
        <w:rPr>
          <w:sz w:val="20"/>
          <w:szCs w:val="20"/>
          <w:color w:val="auto"/>
        </w:rPr>
      </w:pPr>
    </w:p>
    <w:p>
      <w:pPr>
        <w:ind w:right="960"/>
        <w:spacing w:after="0" w:line="291"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$9.4 million for the second quarter ended September 30, 2007 to</w:t>
      </w:r>
      <w:r>
        <w:rPr>
          <w:rFonts w:ascii="Arial" w:cs="Arial" w:eastAsia="Arial" w:hAnsi="Arial"/>
          <w:sz w:val="16"/>
          <w:szCs w:val="16"/>
          <w:i w:val="1"/>
          <w:iCs w:val="1"/>
          <w:color w:val="auto"/>
        </w:rPr>
        <w:t xml:space="preserve"> </w:t>
      </w:r>
      <w:r>
        <w:rPr>
          <w:rFonts w:ascii="Arial" w:cs="Arial" w:eastAsia="Arial" w:hAnsi="Arial"/>
          <w:sz w:val="16"/>
          <w:szCs w:val="16"/>
          <w:color w:val="auto"/>
        </w:rPr>
        <w:t>$11.4 million for the second quarter ended September 30, 2008, an increase of $2.0 million, or 22%. Our cost of product revenue increased from</w:t>
      </w:r>
    </w:p>
    <w:p>
      <w:pPr>
        <w:ind w:right="20"/>
        <w:spacing w:after="0" w:line="268" w:lineRule="auto"/>
        <w:rPr>
          <w:sz w:val="20"/>
          <w:szCs w:val="20"/>
          <w:color w:val="auto"/>
        </w:rPr>
      </w:pPr>
      <w:r>
        <w:rPr>
          <w:rFonts w:ascii="Arial" w:cs="Arial" w:eastAsia="Arial" w:hAnsi="Arial"/>
          <w:sz w:val="17"/>
          <w:szCs w:val="17"/>
          <w:color w:val="auto"/>
        </w:rPr>
        <w:t>$18.8 million for the first half ended September 30, 2007 to $20.1 million for the first half ended September 30, 2008, an increase of $1.3 million, or 7%. Our cost of service revenues decreased from $2.7 million for the second quarter ended September 30, 2007 to $1.0 million for the second quarter ended September 30, 2008, a decrease of $1.7 million, or 65%. Total gross margin decreased from 34.3% for the second quarter ended September 30, 2007 to 33.8% for the second quarter ended September 30, 2008 and decreased from 33.9% for the first half ended September 30, 2007 to 33.1% for the first half ended September 30, 2008. The decrease in gross margin was attributable to unabsorbed manufacturing capacity costs related to additions of new process capabilities added in the fiscal 2008 fourth quarter for product coating and fabrication equipment. Gross margins may increase slightly in the near future to the extent our production volumes increase to support our planned roll-out programs and proposal pipeline and to the extent that we reduce excess capacity in our new manufacturing process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$1.9 million for the second quarter ended September 30, 2007 to</w:t>
      </w:r>
    </w:p>
    <w:p>
      <w:pPr>
        <w:spacing w:after="0" w:line="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$2.9 million for the second quarter ended September 30, 2008, an increase of $1.0 million, or 52%. The increase was a result of: (i) $0.4 million in increased compensation as a result of executive employment contracts and increased compensation costs related to hiring additional employees in our accounting, information technology and administration departments; (ii) additional legal expenses including $0.2 million incurred for costs related to the class action</w:t>
      </w:r>
    </w:p>
    <w:p>
      <w:pPr>
        <w:sectPr>
          <w:pgSz w:w="11900" w:h="16838" w:orient="portrait"/>
          <w:cols w:equalWidth="0" w:num="1">
            <w:col w:w="11420"/>
          </w:cols>
          <w:pgMar w:left="240" w:top="419" w:right="239" w:bottom="0" w:gutter="0" w:footer="0" w:header="0"/>
        </w:sectPr>
      </w:pPr>
    </w:p>
    <w:bookmarkStart w:id="24" w:name="page25"/>
    <w:bookmarkEnd w:id="24"/>
    <w:p>
      <w:pPr>
        <w:spacing w:after="0" w:line="342" w:lineRule="auto"/>
        <w:rPr>
          <w:sz w:val="20"/>
          <w:szCs w:val="20"/>
          <w:color w:val="auto"/>
        </w:rPr>
      </w:pPr>
      <w:r>
        <w:rPr>
          <w:rFonts w:ascii="Arial" w:cs="Arial" w:eastAsia="Arial" w:hAnsi="Arial"/>
          <w:sz w:val="16"/>
          <w:szCs w:val="16"/>
          <w:color w:val="auto"/>
        </w:rPr>
        <w:t>litigation ; (iii) $0.1 million for increases related to consulting and depreciation costs for technology improvements; and (iv) $0.5 million increase for public company costs related to audit and tax support, investor relations, compliance and SOX initiatives that were not incurred in the second quarter of fiscal 2008.</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General and administrative expenses increased from $3.5 million for the first half ended September 30, 2007 to $5.5 million for the first half ended September 30, 2008 , an increase of $2.0 million, or 58%. Total headcount increased by ten from the prior year as we added staff support in our accounting, information technology and administrative functions resulting in increased compensation costs. Legal expenses increased as a result of the class action litigation and public company reporting and compliance costs. Additionally as a result of being a public company, we have incurred increased costs for audit and tax support, SOX compliance and other public company administrative costs. For the first half ended September 30, 2008, we recorded a $0.4 million gain on the sale of an asset in our general and administrative expenses.</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$1.9 million for the second quarter ended September 30, 2007 to $2.8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ended September 30, 2008, an increase of $0.9 million, or 44%. The increase was a result of increased employee compensation and recruiting costs of $0.6 million and stock option compensation expenses of $0.1 million resulting from our hiring additional sales and marketing personnel during our fiscal 2009 first quarter. Our marketing costs increased by $0.2 million as a result of our efforts to increase our brand awareness through direct mail campaigns into the wholesale channel and participation in national trade shows.</w:t>
      </w:r>
    </w:p>
    <w:p>
      <w:pPr>
        <w:spacing w:after="0" w:line="8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Sales and marketing expenses increased from $4.0 million for the first half ended September 30, 2008 to $5.4 million for the first half ended September 30, 2008, an increase of $1.4 million, or 35%. Total headcount increased by 15 from the prior year as we added staff in our direct sales, sales support and marketing functions which resulted in increased compensation and recruiting costs. Sales costs increased for internal training of new sales employees and external training for resellers. Marketing costs increased as a result of direct mail expenditures for brand awareness and participation in national trade shows.</w:t>
      </w:r>
    </w:p>
    <w:p>
      <w:pPr>
        <w:spacing w:after="0" w:line="46"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decreased for the second quarter and first half ended September 30, 2008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and first half ended September 30, 2007 on an absolute dollar basis and as a percentage of total revenue as a result of decreased research consulting expenses and a reduction in sample and material costs as our wireless control product transitioned into production stages.</w:t>
      </w:r>
    </w:p>
    <w:p>
      <w:pPr>
        <w:spacing w:after="0" w:line="3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Our interest expense decreased for the second quarter and first half ended September 30, 2008 from the second quarter and first half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primarily as a result of reduced interest expense of $0.4 million due to the payoff of our revolving line of credit balance in December 2007. For the six months ended September 30, 2008, we capitalized $96,000 of interest for construction in progress.</w:t>
      </w:r>
    </w:p>
    <w:p>
      <w:pPr>
        <w:spacing w:after="0" w:line="5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Dividend and Interest Income. </w:t>
      </w:r>
      <w:r>
        <w:rPr>
          <w:rFonts w:ascii="Arial" w:cs="Arial" w:eastAsia="Arial" w:hAnsi="Arial"/>
          <w:sz w:val="16"/>
          <w:szCs w:val="16"/>
          <w:color w:val="auto"/>
        </w:rPr>
        <w:t>Dividend and interest income increased for the three and six months ended September 30, 2008 from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2007 due to interest income earned on the invested proceeds from our initial public offering completed in December 2007.</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decreased for the three and six months ended September 30, 2008 from the three and six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due to the reduction in taxable income. Our effective income tax rate for the six months ended September 30, 2008 was 43.98%, compared to 41.6% for the six months ended September 30, 2007. The increase in our effective tax rate was due to a mix change in state tax rates, an increase in non-deductible stock compensation expense and a reduction in federal tax credits due to credit phase-outs as a result of higher threshold requirements which are based upon our most recent four year revenue average.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December 24, 2007, we completed our initial public offering. Net proceeds to us from the offering were approximately $82.8 million (net of underwriting discounts and commissions but before the deduction of offering expenses). We invested the net proceeds from the IPO in money market funds and short term government agency bonds.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approximately $46.4 million in cash and cash equivalents and $19.6 million in short term investments as of September 30, 2008. Our cash equivalents are invested in money market accounts and commercial paper with maturities of less than 90 days and an average yield of 3.9%. Our short-term investment account consists of high-grade government agency bonds and AAA rated corporate debt with expiration dates ranging from October 2008 through May 2009 and an average yield of 2.6%.</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September 30, 2008 and 2007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(24,855)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(31,905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adjusted for certain non-cash items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stock based compensation expenses, income taxes and the effect of changes in working capital and other activities.</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Cash used in operating activities for the first half ended September 30, 2008 was $0.4 million and consisted of net cash of $2.8 million used for working capital purposes partially offset by net income adjusted for non-cash expense items of $2.4 million. Cash used for working capital consisted of an increase of $2.1 million in inventory to provide safety stock inventories on key components, a $0.6 million increase in prepaids due to advanced payments for income taxes and services, a $0.4 million increase in deferred costs due to incomplete projects where revenue has not yet been recognized, a $0.5 million increase for interest receivable on short-term investments and a $0.5 million decrease in accrued expenses due to payments of accrued contractors for project services performed. This amount was offset by a decrease in trade receivables of $1.3 million as a result of timing of cash receipts.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for the first half ended September 30, 2007 was $1.9 million and consisted of net income adjusted for non-cash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items of $3.2 million offset by cash used for working capital purposes of $1.3 million. Cash used for working capital purposes consisted of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 million increase in trade receivables as result of increased revenues, an increase of $6.2 million in inventory due to purchases of raw materials to support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order backlogs and an increase of $1.7 million in prepaids due to advanced payments for services. These amounts were offset by an increase of</w:t>
      </w:r>
    </w:p>
    <w:p>
      <w:pPr>
        <w:spacing w:after="0" w:line="2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$7.6 million in accounts payable as a result of increased inventories and services, and an increase in accrued expenses of $1.4 million due to increased service contracting activities, increased legal costs for the public offering preparation, and an increase in sales tax accruals resulting from the revenue increase.</w:t>
      </w:r>
    </w:p>
    <w:p>
      <w:pPr>
        <w:spacing w:after="0" w:line="3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first half ended September 30, 2008, cash used in investing activities was $24.9 million. This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$17.4 million for short-term investments with maturity dates ranging from 91 to 360 days, $6.9 million for capital expenditures related to the technology center, operating software systems and processing equipment for capacity and cost improvement measures, $1.0 million for the purchase of intellectual property rights from an executive, offset by net proceeds from the sale of an investment of $0.9 million.</w:t>
      </w:r>
    </w:p>
    <w:p>
      <w:pPr>
        <w:spacing w:after="0" w:line="6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Cash used in investing activities for the first half ended September 30, 2007 was $4.8 million. This included $3.9 million for short-term investments in government agency bonds with maturities ranging from 91 to 125 days, $1.0 million for capital expenditures for purchases of processing equipment for capacity and cost improvement measures and $0.1 million for the continued development of intellectual property. Cash provided from investing activities included a $0.2 million payment received on a shareholder advance.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half ended September 30, 2008, cash flows used in financing activities was $6.7 million.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$8.1 million used for common share repurchases and $0.4 million for repayment of long-term debt. Cash flows provided by financing activities included proceeds of $1.4 million received from stock option and warrant exercises and $0.5 million in deferred tax benefits from non-qualified stock option exercises.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Cash provided by financing activities for the first half ended September 30, 2007 was $9.6 million. This included $10.6 million in proceeds from issuance of convertible debt, $1.3 million for proceeds received from stock option and warrant exercises, $0.8 million received in payments of shareholder note receivables and $0.9 million in deferred tax benefits from non-qualified stock option exercises. These were offset by $1.7 million for repayment of the revolving line of credit and long-term debt and $2.4 million paid in equity offering costs related to our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net working capital as of September 30, 2008 was $92.3 million, consisting of $104.4 million in current assets and $12.1 million in current liabilities. Our net working capital as of March 31, 2008 was $104.3 million, consisting of $116.9 million in current assets and $12.6 million in current liabilities. We may increase our inventories of raw materials and components to the extent our sales volumes increase in the back half of fiscal 2009, as well as to reduce our risk of unexpected raw material or component shortages or supply interruptions and to continue to purchase component inventory as our wireless technology moves into the production stages. We attempt to maintain a three-month supply of on-hand inventory of purchased components and raw materials to meet anticipated demand. Our accounts receivable and payables may increase to the extent our revenue and inventory levels increase. We had available borrowing capacity under our revolving credit facility in excess of $18.6 million as of September 30, 2008, based upon our revolving credit facility borrowing base formula described below.</w:t>
      </w:r>
    </w:p>
    <w:p>
      <w:pPr>
        <w:spacing w:after="0" w:line="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our existing cash and cash equivalents, our anticipated cash flows from operating activities, our borrowing capacity under our revolving credit facility and the net proceeds from our recent initial public will be sufficient to meet our anticipated cash needs for the remainder of fiscal 2009. Our future working capital requirements for the remainder of fiscal 2009 and thereafter on a longer-term basis will depend on many factors, including the rate of our revenue growth, our introduction of new products and services and enhancements to our existing energy management system, the timing and extent of our planned expansion of our sales force and other administrative and production personnel, the timing and extent of our planned advertising and promotional campaign, and our research and development activities. To the extent that our cash and cash equivalents, cash flows from operating activities, borrowing capacity under our revolving credit facility and net proceeds from our recent initial public offering and convertible subordinated note placement are insufficient to fund our future activities, we may need to raise additional funds through additional public or private equity or debt financings. We also may need to raise additional funds in the event we decide to acquire product lines, businesses or technologies. In the event additional funding is required, we may not be able to obtain the financing on terms acceptable to us,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March 18, 2008, we entered into a credit agreement to replace a previous agreement between us and Wells Fargo Bank, N.A.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provides for a revolving credit facility that matures on August 31, 2010. The initial maximum aggregate amount of availability under the line of credit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We have a one-time option to increase the maximum aggregate amount of availability under the line of credit to up to $50.0 million,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advance from the line of credit over $25.0 million is discretionary to Wells Fargo even if no event of default has occurred. Borrowings are limited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eligible trade accounts receivables and inventories, less any borrowing base reserve that may be established from time to time. Borrowings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allowed under the line of credit as of September 30, 2008 were $18.6 million based upon available working capital as defined. There were no amounts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September 30, 2008.</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must pay a fee of 0.20% on the average daily unused amount of the line of credit, fees upon the issuance of each letter of credit equal to 1.25% per annum of the principal amount thereof, and a fee equal to 1.0% of the principal amount of the line of credit then in effect if we terminate the line of credit prior to December 23, 2008.</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the option to select the interest rate applicable to all or a portion of the outstanding principal balance under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5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addition to our revolving credit facility, we also have other existing long-term indebtedness and obligations under various debt instruments and capital lease obligations, including pursuant to a bank term note, a bank first mortgage, a debenture to a community development organization, a federal block grant loan, two city industrial revolving loans and various capital leases and equipment purchase notes. As of September 30, 2008, the total amount of principal outstanding on these various obligations was $4.9 million. These obligations have varying maturity dates between 2010 and 2024 and bear interest at annual rates of between 2.0% and 16.2%. The weighted average annual interest rate of such obligations as of September 30, 2008 was 6.0%. Based on interest rates in effect as of September 30, 2008, we expect that our total debt service payments on such remaining obligations for fiscal 2009, including scheduled principal, lease and interest payments, but excluding the repayment of our revolving line of credit, will approximate $0.6 million. As of September 30, 2008, we were in compliance with all debt covenants, as amended.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We expect to incur approximately $4.3 million in capital expenditures during the remainder of fiscal 2009 to complete our new technology center and other improvements at our manufacturing facility. We also plan to incur $0.3 million in capital expenditures to expand and improve our accounting and operating information technology systems. We expect to finance the manufacturing improvement expenditures primarily through equipment secured loans and leases, long-term debt financing, using cash on hand or by using our available capacity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September 30, 2008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interest payments on debt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1-3 Years</w:t>
            </w:r>
          </w:p>
        </w:tc>
        <w:tc>
          <w:tcPr>
            <w:tcW w:w="10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3-5 Years</w:t>
            </w: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8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Reflects non-cancellable purchase order commitment in the amount of $0.6 million for certain inventory items entered into in order to secure better pricing and ensure materials on hand and capital expenditure commitments in the amount of $4.6 million for construction of the new technology center at our Manitowoc facility, improvements to information technology systems and manufacturing equipment and tooling.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2008. There have been no material changes in any of our accounting policies since March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2008. There have been no material changes to such exposures since March 31,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2008 pursuant to Rule 13a-15(b) of the Securities Exchange Act of 1934 (the “Exchange Act”). Based upon their evaluation, our Chief Executive Officer and our Chief Financial Officer concluded that our disclosure controls and procedures were effective as of the end of the quarter ended September 30, 2008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2008 that has materially affected, or is reasonably likely to materially affect, our internal control over financial reporting.</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us, several of our officers, all members of our board of directors, and certain underwriters from our December 2007 initial public offering. The plaintiffs claim to represent certain persons who purchased shares of our common stock from December 18, 2007 through February 6, 2008. The plaintiffs allege, among other things, that the defendants made misstatements and failed to disclose material information in our registration statement and prospectus for our initial public offering. The claims allege various claims under the Securities Act of 1933, as amended. The complaints seek, among other relief, class certification, unspecified damages, fees, and such other relief as the court may deem just and proper.</w:t>
      </w:r>
    </w:p>
    <w:p>
      <w:pPr>
        <w:spacing w:after="0" w:line="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defendants filed a brief in support of our motion to dismiss the consolidated complaint. Response and reply briefs are currently scheduled to be filed by the end of December 2008.</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effect on the Company’s consolidated financial position and results of operations. In addition, although the Company carries insurance for these types of claims, a judgment significantly in excess of the Company’s insurance coverage could materially and adversely affect the Company’s financial condition, results of operations and cash flows. The Company is not presently able to reasonably estimate potential losses, if any, related to the lawsuit.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Except as noted below, during the three months ended September 30, 2008 there were no material changes to the risk factors set forth and discussed in “Part I, Item 1A. Risk Factors” in our 2008 Annual Report filed on Form 10-K for the year ended March 31, 2008 as filed with the SEC on June 27,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Adverse conditions in the global economy and disruption of financial markets have negatively impacted, and could continue to negatively impact, our customers, suppliers, and our business.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Financial markets in the United States, Europe and Asia have experienced extreme disruption in recent months, including, among other things, extreme volatility in security prices, severely diminished liquidity and credit availability, rating downgrades, declines in asset valuations, inflation, reduced consumer spending, and fluctuations in foreign currency exchange rates. While currently these conditions have not impaired our ability to finance our operations, coupled with continued recessionary type economic conditions, such conditions have adversely affected our customers’ capital budgets and purchasing decisions and, therefore, have adversely affected our previously anticipated rate of revenue growth. Our business will continue to be adversely affected to the extent these adverse financial market and general economic conditions continue to adversely affect our customers’ purchasing decisions.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acceptance of our Orion Virtual Power Plant product could expose us to additional customer credit risk and impact our financial results.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recently introduced financing program, the Orion Virtual Power Plant (OVPP), is an installment based payment plan for our customers in contrast to our traditional cash terms. This new program may subject us to additional credit risk as we do not have a long history or experience, specifically related to longer term credit decision making. Poor credit decisions or customer defaults could result in increases to our allowance for doubtful accounts and/or write-offs of accounts receivable and could have material adverse effects on our results of operations and financial condition. We do retain the option to sell completed projects into the secondary market and recognize substantially all of the project revenue at the time of sale. We also may choose not to sell completed OVPP programs to third parties, which would have the impact of decreasing our near-term revenue and creating variability in our operating results both on a quarterly and annual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Our IPO was declared effective by the SEC on December 18, 2007. The net offering proceeds received by us, after deducting underwriting discounts and commissions and expenses incurred in connection with the offering, were approximately $78.6 million. Through September 30, 2008, approximately</w:t>
      </w:r>
    </w:p>
    <w:p>
      <w:pPr>
        <w:ind w:right="40"/>
        <w:spacing w:after="0" w:line="273" w:lineRule="auto"/>
        <w:rPr>
          <w:sz w:val="20"/>
          <w:szCs w:val="20"/>
          <w:color w:val="auto"/>
        </w:rPr>
      </w:pPr>
      <w:r>
        <w:rPr>
          <w:rFonts w:ascii="Arial" w:cs="Arial" w:eastAsia="Arial" w:hAnsi="Arial"/>
          <w:sz w:val="17"/>
          <w:szCs w:val="17"/>
          <w:color w:val="auto"/>
        </w:rPr>
        <w:t>$12.7 million of the proceeds from our IPO have been used to fund operations of our business and for general corporate purposes, including $8.1 million used for the repurchase of common shares. The remainder of the net proceeds from the IPO are invested in short-term investment grade securities, commercial paper and money market accounts. Other than for our share repurchases, there has been no material change in the planned use of proceeds from our IPO as described in our final prospectus filed with the SEC on December 18, 2007 pursuant to Rule 424(b).</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2008 annual meeting of shareholders was held on September 10, 2008. Proxies with regard to the matters voted upon at the Annual Meeting were solicited under Regulation 14A of the Securities Exchange Act of 1934, as amended. Set forth below is a brief description of each matter voted upon at the annual meeting and the results of voting on each such matter.</w:t>
      </w:r>
    </w:p>
    <w:p>
      <w:pPr>
        <w:spacing w:after="0" w:line="73" w:lineRule="exact"/>
        <w:rPr>
          <w:sz w:val="20"/>
          <w:szCs w:val="20"/>
          <w:color w:val="auto"/>
        </w:rPr>
      </w:pPr>
    </w:p>
    <w:p>
      <w:pPr>
        <w:ind w:left="660" w:right="18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directors named below to serve until the 2011 Annual Meeting of Shareholders. There was no solicitation in opposition to the nominees listed in the proxy statement, and the nominees were elected.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jc w:val="center"/>
              <w:ind w:left="79"/>
              <w:spacing w:after="0" w:line="142" w:lineRule="exact"/>
              <w:rPr>
                <w:sz w:val="20"/>
                <w:szCs w:val="20"/>
                <w:color w:val="auto"/>
              </w:rPr>
            </w:pPr>
            <w:r>
              <w:rPr>
                <w:rFonts w:ascii="Arial" w:cs="Arial" w:eastAsia="Arial" w:hAnsi="Arial"/>
                <w:sz w:val="14"/>
                <w:szCs w:val="14"/>
                <w:b w:val="1"/>
                <w:bCs w:val="1"/>
                <w:color w:val="auto"/>
                <w:w w:val="97"/>
              </w:rPr>
              <w:t>For</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A. Quadracci</w:t>
            </w:r>
          </w:p>
        </w:tc>
        <w:tc>
          <w:tcPr>
            <w:tcW w:w="414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Borders>
              <w:top w:val="single" w:sz="8" w:color="auto"/>
            </w:tcBorders>
          </w:tcPr>
          <w:p>
            <w:pPr>
              <w:jc w:val="center"/>
              <w:ind w:left="99"/>
              <w:spacing w:after="0" w:line="195" w:lineRule="exact"/>
              <w:rPr>
                <w:sz w:val="20"/>
                <w:szCs w:val="20"/>
                <w:color w:val="auto"/>
              </w:rPr>
            </w:pPr>
            <w:r>
              <w:rPr>
                <w:rFonts w:ascii="Arial" w:cs="Arial" w:eastAsia="Arial" w:hAnsi="Arial"/>
                <w:sz w:val="18"/>
                <w:szCs w:val="18"/>
                <w:color w:val="auto"/>
                <w:w w:val="88"/>
              </w:rPr>
              <w:t>23,094,106</w:t>
            </w:r>
          </w:p>
        </w:tc>
        <w:tc>
          <w:tcPr>
            <w:tcW w:w="1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358,716</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Michael J. Potts</w:t>
            </w:r>
          </w:p>
        </w:tc>
        <w:tc>
          <w:tcPr>
            <w:tcW w:w="5920" w:type="dxa"/>
            <w:vAlign w:val="bottom"/>
            <w:gridSpan w:val="3"/>
          </w:tcPr>
          <w:p>
            <w:pPr>
              <w:jc w:val="center"/>
              <w:ind w:left="4750"/>
              <w:spacing w:after="0"/>
              <w:rPr>
                <w:sz w:val="20"/>
                <w:szCs w:val="20"/>
                <w:color w:val="auto"/>
              </w:rPr>
            </w:pPr>
            <w:r>
              <w:rPr>
                <w:rFonts w:ascii="Arial" w:cs="Arial" w:eastAsia="Arial" w:hAnsi="Arial"/>
                <w:sz w:val="18"/>
                <w:szCs w:val="18"/>
                <w:color w:val="auto"/>
                <w:w w:val="88"/>
              </w:rPr>
              <w:t>23,079,680</w:t>
            </w:r>
          </w:p>
        </w:tc>
        <w:tc>
          <w:tcPr>
            <w:tcW w:w="1900" w:type="dxa"/>
            <w:vAlign w:val="bottom"/>
            <w:gridSpan w:val="3"/>
          </w:tcPr>
          <w:p>
            <w:pPr>
              <w:ind w:left="1000"/>
              <w:spacing w:after="0"/>
              <w:rPr>
                <w:sz w:val="20"/>
                <w:szCs w:val="20"/>
                <w:color w:val="auto"/>
              </w:rPr>
            </w:pPr>
            <w:r>
              <w:rPr>
                <w:rFonts w:ascii="Arial" w:cs="Arial" w:eastAsia="Arial" w:hAnsi="Arial"/>
                <w:sz w:val="18"/>
                <w:szCs w:val="18"/>
                <w:color w:val="auto"/>
              </w:rPr>
              <w:t>373,142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40" w:type="dxa"/>
            <w:vAlign w:val="bottom"/>
          </w:tcPr>
          <w:p>
            <w:pPr>
              <w:jc w:val="right"/>
              <w:ind w:right="185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one Class II director named below to serve until the 2009 Annual Meeting of Shareholders. There was no solicitation in opposition to the nominee listed in the proxy statement, and the nominee was elected.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Nominee</w:t>
            </w:r>
          </w:p>
        </w:tc>
        <w:tc>
          <w:tcPr>
            <w:tcW w:w="1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42"/>
        </w:trPr>
        <w:tc>
          <w:tcPr>
            <w:tcW w:w="8260" w:type="dxa"/>
            <w:vAlign w:val="bottom"/>
            <w:gridSpan w:val="3"/>
            <w:vMerge w:val="continue"/>
          </w:tcPr>
          <w:p>
            <w:pPr>
              <w:spacing w:after="0"/>
              <w:rPr>
                <w:sz w:val="12"/>
                <w:szCs w:val="12"/>
                <w:color w:val="auto"/>
              </w:rPr>
            </w:pPr>
          </w:p>
        </w:tc>
        <w:tc>
          <w:tcPr>
            <w:tcW w:w="1260" w:type="dxa"/>
            <w:vAlign w:val="bottom"/>
          </w:tcPr>
          <w:p>
            <w:pPr>
              <w:jc w:val="center"/>
              <w:ind w:left="79"/>
              <w:spacing w:after="0" w:line="142" w:lineRule="exact"/>
              <w:rPr>
                <w:sz w:val="20"/>
                <w:szCs w:val="20"/>
                <w:color w:val="auto"/>
              </w:rPr>
            </w:pPr>
            <w:r>
              <w:rPr>
                <w:rFonts w:ascii="Arial" w:cs="Arial" w:eastAsia="Arial" w:hAnsi="Arial"/>
                <w:sz w:val="14"/>
                <w:szCs w:val="14"/>
                <w:b w:val="1"/>
                <w:bCs w:val="1"/>
                <w:color w:val="auto"/>
                <w:w w:val="97"/>
              </w:rPr>
              <w:t>For</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Russell M. Flaum</w:t>
            </w:r>
          </w:p>
        </w:tc>
        <w:tc>
          <w:tcPr>
            <w:tcW w:w="520" w:type="dxa"/>
            <w:vAlign w:val="bottom"/>
          </w:tcPr>
          <w:p>
            <w:pPr>
              <w:spacing w:after="0"/>
              <w:rPr>
                <w:sz w:val="19"/>
                <w:szCs w:val="19"/>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23,058,940</w:t>
            </w:r>
          </w:p>
        </w:tc>
        <w:tc>
          <w:tcPr>
            <w:tcW w:w="1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393,882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September 30, 2008,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Through September 30, 2008</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1,310</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1,684</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387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5,915,123</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455,465</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4,031</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670,099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1.68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2006, which is the most current full year for which this information is available, was $0.089 per kilowatt hour according to the United States Energy Information Administration. (Still valid)</w:t>
      </w:r>
    </w:p>
    <w:p>
      <w:pPr>
        <w:spacing w:after="0" w:line="32"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 Using the prior eGrid data as reported in our 10-K, cumulative indirect carbon emission reductions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customers’ energy savings from December 1, 2001 through September 30, 2008 would have equaled 5,766,653 tons.</w:t>
      </w:r>
    </w:p>
    <w:p>
      <w:pPr>
        <w:spacing w:after="0" w:line="77" w:lineRule="exact"/>
        <w:rPr>
          <w:sz w:val="20"/>
          <w:szCs w:val="20"/>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1.684 million total units sold, which contain a total of approximately 8.4 million lamps. Each lamp illuminates approximately 75 square feet. The majority of our installed fixtures contain six lamps and typically illuminate approximately 450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1360" w:right="220" w:hanging="445"/>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76" w:lineRule="exact"/>
        <w:rPr>
          <w:sz w:val="20"/>
          <w:szCs w:val="20"/>
          <w:color w:val="auto"/>
        </w:rPr>
      </w:pPr>
    </w:p>
    <w:p>
      <w:pPr>
        <w:ind w:left="1360" w:hanging="445"/>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76" w:lineRule="exact"/>
        <w:rPr>
          <w:sz w:val="20"/>
          <w:szCs w:val="20"/>
          <w:color w:val="auto"/>
        </w:rPr>
      </w:pPr>
    </w:p>
    <w:p>
      <w:pPr>
        <w:ind w:left="1360" w:right="180" w:hanging="445"/>
        <w:spacing w:after="0" w:line="342" w:lineRule="auto"/>
        <w:rPr>
          <w:sz w:val="20"/>
          <w:szCs w:val="20"/>
          <w:color w:val="auto"/>
        </w:rPr>
      </w:pPr>
      <w:r>
        <w:rPr>
          <w:rFonts w:ascii="Arial" w:cs="Arial" w:eastAsia="Arial" w:hAnsi="Arial"/>
          <w:sz w:val="16"/>
          <w:szCs w:val="16"/>
          <w:color w:val="auto"/>
        </w:rPr>
        <w:t>32.1 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29" w:lineRule="exact"/>
        <w:rPr>
          <w:sz w:val="20"/>
          <w:szCs w:val="20"/>
          <w:color w:val="auto"/>
        </w:rPr>
      </w:pPr>
    </w:p>
    <w:p>
      <w:pPr>
        <w:ind w:left="1360" w:right="180" w:hanging="445"/>
        <w:spacing w:after="0" w:line="342" w:lineRule="auto"/>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14, 2008.</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2008</w:t>
      </w:r>
    </w:p>
    <w:p>
      <w:pPr>
        <w:spacing w:after="0" w:line="121"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76" w:lineRule="exact"/>
        <w:rPr>
          <w:sz w:val="20"/>
          <w:szCs w:val="20"/>
          <w:color w:val="auto"/>
        </w:rPr>
      </w:pPr>
    </w:p>
    <w:p>
      <w:pPr>
        <w:ind w:left="460" w:right="40" w:hanging="445"/>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of Chief Executive Officer of Orion Energy Systems, Inc. pursuant to Rule 13a-14(b) promulgated under the Securities Exchange Act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1934, as amended, and 18 U.S.C. Section 1350, as adopted pursuant to Section 906 of the Sarbanes-Oxley Act of 2002.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1934, as amended, and 18 U.S.C. Section 1350, as adopted pursuant to Section 906 of the Sarbanes-Oxley Act of 2002.</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19"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2008, as filed with the Securities and Exchange Commission on the date hereof (the “Report”), I, Neal R. Verfuerth, President and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November 14, 2008</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747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Neal R. Verfuerth</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2008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November 14, 2008</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747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upperLetter"/>
      <w:start w:val="9"/>
    </w:lvl>
  </w:abstractNum>
  <w:abstractNum w:abstractNumId="5">
    <w:nsid w:val="12200854"/>
    <w:multiLevelType w:val="hybridMultilevel"/>
    <w:lvl w:ilvl="0">
      <w:lvlJc w:val="left"/>
      <w:lvlText w:val="(%1)"/>
      <w:numFmt w:val="upperLetter"/>
      <w:start w:val="35"/>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2019-12-15T13:41:33Z</dcterms:created>
  <dcterms:modified xsi:type="dcterms:W3CDTF">2019-12-15T13:41:33Z</dcterms:modified>
</cp:coreProperties>
</file>